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556" w:rsidRDefault="006A0553">
      <w:pPr>
        <w:jc w:val="left"/>
        <w:rPr>
          <w:rFonts w:ascii="Arial" w:hAnsi="Arial" w:cs="Arial"/>
          <w:b/>
          <w:bCs/>
          <w:sz w:val="20"/>
          <w:szCs w:val="20"/>
          <w:lang w:val="en-US"/>
        </w:rPr>
      </w:pPr>
      <w:r w:rsidRPr="006A0553">
        <w:rPr>
          <w:rFonts w:ascii="Arial" w:hAnsi="Arial" w:cs="Arial"/>
          <w:b/>
          <w:bCs/>
          <w:sz w:val="20"/>
          <w:szCs w:val="20"/>
          <w:lang w:val="en-US"/>
        </w:rPr>
        <w:t xml:space="preserve">PART 1 </w:t>
      </w:r>
    </w:p>
    <w:p w:rsidR="006A0553" w:rsidRDefault="006A0553">
      <w:pPr>
        <w:jc w:val="left"/>
        <w:rPr>
          <w:rFonts w:ascii="Arial" w:hAnsi="Arial" w:cs="Arial"/>
          <w:b/>
          <w:bCs/>
          <w:sz w:val="20"/>
          <w:szCs w:val="20"/>
          <w:lang w:val="en-US"/>
        </w:rPr>
      </w:pPr>
    </w:p>
    <w:p w:rsidR="006A0553" w:rsidRDefault="00D50DED" w:rsidP="00377094">
      <w:pPr>
        <w:pStyle w:val="ListParagraph"/>
        <w:numPr>
          <w:ilvl w:val="0"/>
          <w:numId w:val="14"/>
        </w:numPr>
        <w:jc w:val="left"/>
      </w:pPr>
      <w:r w:rsidRPr="00D50DED">
        <w:t>Rights of business and individuals, I believe</w:t>
      </w:r>
      <w:r>
        <w:t xml:space="preserve"> the Charter of Rights and Freedoms</w:t>
      </w:r>
      <w:r w:rsidRPr="00D50DED">
        <w:t xml:space="preserve"> </w:t>
      </w:r>
      <w:r w:rsidR="00377094">
        <w:t>have come to a fair</w:t>
      </w:r>
      <w:r>
        <w:t xml:space="preserve">ly great balance between the two.  </w:t>
      </w:r>
      <w:r w:rsidR="005813A2">
        <w:t xml:space="preserve">I think that it’s a fair say that the government can make legislations to our freedoms, if only it’s justified and necessary to maintain Canada as a free and democratic society.  </w:t>
      </w:r>
    </w:p>
    <w:p w:rsidR="00413777" w:rsidRDefault="00413777" w:rsidP="004657C2">
      <w:pPr>
        <w:pStyle w:val="ListParagraph"/>
        <w:jc w:val="left"/>
      </w:pPr>
    </w:p>
    <w:p w:rsidR="007B556C" w:rsidRDefault="00413777" w:rsidP="004657C2">
      <w:pPr>
        <w:pStyle w:val="ListParagraph"/>
        <w:jc w:val="left"/>
      </w:pPr>
      <w:r>
        <w:t xml:space="preserve">Section 1 of the Charter of Rights and Freedoms is very important. The fundamental principles that we all enjoy as Canadians is because of </w:t>
      </w:r>
      <w:r w:rsidR="00AE7C4D">
        <w:t xml:space="preserve">it. Charter 1 is important to protect our freedoms and allow government to limit the Charter so long as those limits are ones that a free and democratic society would accept as reasonable. </w:t>
      </w:r>
      <w:r w:rsidR="007B556C">
        <w:t xml:space="preserve">This part is really important as it takes the government a long process to try to pass or limit a certain right. </w:t>
      </w:r>
      <w:r w:rsidR="007B556C">
        <w:br/>
      </w:r>
    </w:p>
    <w:p w:rsidR="007B556C" w:rsidRDefault="007B556C" w:rsidP="004657C2">
      <w:pPr>
        <w:pStyle w:val="ListParagraph"/>
        <w:jc w:val="left"/>
      </w:pPr>
      <w:r>
        <w:t xml:space="preserve">The Charter controls government laws and other government actions, if a government wants to limit a right, it must first take it to the courts. The court will then decide if </w:t>
      </w:r>
      <w:r w:rsidR="005F5022">
        <w:t>it’s</w:t>
      </w:r>
      <w:r>
        <w:t xml:space="preserve"> justified and necessary </w:t>
      </w:r>
      <w:r w:rsidR="005F5022">
        <w:t>to defend a protected right or freedom</w:t>
      </w:r>
    </w:p>
    <w:p w:rsidR="007B556C" w:rsidRDefault="007B556C" w:rsidP="004657C2">
      <w:pPr>
        <w:pStyle w:val="ListParagraph"/>
        <w:jc w:val="left"/>
      </w:pPr>
    </w:p>
    <w:p w:rsidR="007B556C" w:rsidRDefault="005F5022" w:rsidP="004657C2">
      <w:pPr>
        <w:pStyle w:val="ListParagraph"/>
        <w:jc w:val="left"/>
      </w:pPr>
      <w:r>
        <w:t xml:space="preserve">I do however believe that government should have powers to limit some rights. </w:t>
      </w:r>
      <w:r w:rsidR="00AE7C4D">
        <w:t>If the government didn’t have the right to limit, such as enforcing food and product safety,</w:t>
      </w:r>
      <w:r>
        <w:t xml:space="preserve"> free speech, freedom of expression</w:t>
      </w:r>
      <w:r w:rsidR="00AE7C4D">
        <w:t xml:space="preserve"> </w:t>
      </w:r>
      <w:r w:rsidR="006462E4">
        <w:t xml:space="preserve">it could be </w:t>
      </w:r>
      <w:r>
        <w:t xml:space="preserve">harmful and damaging to society. </w:t>
      </w:r>
    </w:p>
    <w:p w:rsidR="00D50DED" w:rsidRDefault="00D50DED" w:rsidP="00D50DED">
      <w:pPr>
        <w:jc w:val="left"/>
      </w:pPr>
    </w:p>
    <w:p w:rsidR="00D50DED" w:rsidRPr="00D50DED" w:rsidRDefault="00D50DED" w:rsidP="00D50DED">
      <w:pPr>
        <w:jc w:val="left"/>
      </w:pPr>
    </w:p>
    <w:p w:rsidR="00C9024F" w:rsidRDefault="00463D40" w:rsidP="00CD329F">
      <w:pPr>
        <w:pStyle w:val="ListParagraph"/>
        <w:numPr>
          <w:ilvl w:val="0"/>
          <w:numId w:val="14"/>
        </w:numPr>
        <w:jc w:val="left"/>
      </w:pPr>
      <w:r>
        <w:t>Courts may put consumers’ or public rights above business all the time. A good example is junk food advertising, or tobacco advertising</w:t>
      </w:r>
      <w:r w:rsidR="00CD329F">
        <w:t xml:space="preserve"> all examples of health policies</w:t>
      </w:r>
      <w:r>
        <w:t xml:space="preserve">. The courts make decisions for the common good of everyone. </w:t>
      </w:r>
      <w:r w:rsidR="00CD329F">
        <w:t>A great example of health policies that courts may</w:t>
      </w:r>
      <w:r w:rsidR="00DA4BC8">
        <w:t>/did</w:t>
      </w:r>
      <w:r w:rsidR="00CD329F">
        <w:t xml:space="preserve"> take the consumer over</w:t>
      </w:r>
      <w:r w:rsidR="00A50B85">
        <w:t xml:space="preserve"> the business is the banning of</w:t>
      </w:r>
      <w:r w:rsidR="00CD329F">
        <w:t xml:space="preserve"> smoking in bars and city parks and other public areas. (Malls, restaurants, hospitals, workplace etc.)  </w:t>
      </w:r>
      <w:r w:rsidR="00DA4BC8">
        <w:t>Scientific evidence that shows tobacco smoking is harmful to the consumer themselves and to those inhaling second-hand smoke.</w:t>
      </w:r>
    </w:p>
    <w:p w:rsidR="00C9024F" w:rsidRDefault="00C9024F" w:rsidP="00C9024F">
      <w:pPr>
        <w:pStyle w:val="ListParagraph"/>
        <w:jc w:val="left"/>
      </w:pPr>
    </w:p>
    <w:p w:rsidR="00CD329F" w:rsidRPr="00CD329F" w:rsidRDefault="00CD329F" w:rsidP="00C9024F">
      <w:pPr>
        <w:pStyle w:val="ListParagraph"/>
        <w:jc w:val="left"/>
      </w:pPr>
      <w:r>
        <w:t xml:space="preserve">Laws implementing bans on indoor smoking, to protect people from breathing the effects of </w:t>
      </w:r>
      <w:hyperlink r:id="rId8" w:tooltip="Second-hand smoke" w:history="1">
        <w:r w:rsidRPr="00CD329F">
          <w:t>second-hand smoke</w:t>
        </w:r>
      </w:hyperlink>
      <w:r>
        <w:t xml:space="preserve">, which include an increased risk of </w:t>
      </w:r>
      <w:hyperlink r:id="rId9" w:tooltip="Heart disease" w:history="1">
        <w:r w:rsidRPr="00CD329F">
          <w:t>heart disease</w:t>
        </w:r>
      </w:hyperlink>
      <w:r>
        <w:t xml:space="preserve">, </w:t>
      </w:r>
      <w:hyperlink r:id="rId10" w:tooltip="Cancer" w:history="1">
        <w:r w:rsidRPr="00CD329F">
          <w:t>cancer</w:t>
        </w:r>
      </w:hyperlink>
      <w:r>
        <w:t xml:space="preserve">, </w:t>
      </w:r>
      <w:hyperlink r:id="rId11" w:tooltip="Chronic obstructive pulmonary disease" w:history="1">
        <w:r w:rsidRPr="00CD329F">
          <w:t>emphysema</w:t>
        </w:r>
      </w:hyperlink>
      <w:r>
        <w:t xml:space="preserve">, and other diseases.  The courts in this case put the health of </w:t>
      </w:r>
      <w:r w:rsidR="00C9024F">
        <w:t>consumer’s</w:t>
      </w:r>
      <w:r>
        <w:t xml:space="preserve"> rights over the business rights</w:t>
      </w:r>
      <w:r w:rsidR="00C9024F">
        <w:t xml:space="preserve">, believing this is a justified cause. </w:t>
      </w:r>
    </w:p>
    <w:p w:rsidR="00CD329F" w:rsidRPr="00CD329F" w:rsidRDefault="00CD329F" w:rsidP="00CD329F">
      <w:pPr>
        <w:jc w:val="left"/>
        <w:rPr>
          <w:rFonts w:ascii="Arial" w:hAnsi="Arial" w:cs="Arial"/>
          <w:b/>
          <w:bCs/>
          <w:sz w:val="20"/>
          <w:szCs w:val="20"/>
          <w:lang w:val="en-US"/>
        </w:rPr>
      </w:pPr>
    </w:p>
    <w:p w:rsidR="00CD329F" w:rsidRPr="00CD329F" w:rsidRDefault="00CD329F" w:rsidP="00CD329F">
      <w:pPr>
        <w:pStyle w:val="ListParagraph"/>
        <w:jc w:val="left"/>
        <w:rPr>
          <w:rFonts w:ascii="Arial" w:hAnsi="Arial" w:cs="Arial"/>
          <w:b/>
          <w:bCs/>
          <w:sz w:val="20"/>
          <w:szCs w:val="20"/>
          <w:lang w:val="en-US"/>
        </w:rPr>
      </w:pPr>
    </w:p>
    <w:p w:rsidR="00377094" w:rsidRDefault="00377094" w:rsidP="00377094">
      <w:pPr>
        <w:jc w:val="left"/>
        <w:rPr>
          <w:rFonts w:ascii="Arial" w:hAnsi="Arial" w:cs="Arial"/>
          <w:b/>
          <w:bCs/>
          <w:sz w:val="20"/>
          <w:szCs w:val="20"/>
          <w:lang w:val="en-US"/>
        </w:rPr>
      </w:pPr>
    </w:p>
    <w:p w:rsidR="00A25058" w:rsidRDefault="00A25058" w:rsidP="00A25058">
      <w:pPr>
        <w:pStyle w:val="ListParagraph"/>
        <w:numPr>
          <w:ilvl w:val="0"/>
          <w:numId w:val="14"/>
        </w:numPr>
        <w:jc w:val="left"/>
      </w:pPr>
      <w:r w:rsidRPr="00A25058">
        <w:t xml:space="preserve">Joe has </w:t>
      </w:r>
      <w:r>
        <w:t xml:space="preserve">violated many municipal by-laws which has lead to the lost of his liquor licence, and the loss of his business name. </w:t>
      </w:r>
    </w:p>
    <w:p w:rsidR="00A25058" w:rsidRDefault="00A25058" w:rsidP="004657C2">
      <w:pPr>
        <w:pStyle w:val="ListParagraph"/>
        <w:jc w:val="left"/>
      </w:pPr>
    </w:p>
    <w:p w:rsidR="00E6607B" w:rsidRDefault="00A25058" w:rsidP="004657C2">
      <w:pPr>
        <w:pStyle w:val="ListParagraph"/>
        <w:jc w:val="left"/>
      </w:pPr>
      <w:r>
        <w:t>When Joe opened his business and applied for a liquor licence, he was agreeing to the terms and conditions</w:t>
      </w:r>
      <w:r w:rsidR="00E6607B">
        <w:t xml:space="preserve"> of the provincial</w:t>
      </w:r>
      <w:r>
        <w:t xml:space="preserve"> </w:t>
      </w:r>
      <w:r w:rsidRPr="00A25058">
        <w:t>Liquor Licence Act</w:t>
      </w:r>
      <w:r>
        <w:t xml:space="preserve">.  Conditions of the liquor licence must be followed at all time. </w:t>
      </w:r>
      <w:r w:rsidR="00E6607B">
        <w:t xml:space="preserve">The licence stated that Joe only had capacity for 30 guests and employees at any given time, because the number of guests and employees went above the maximum limit on the licensed premises, Joe lost his licence. </w:t>
      </w:r>
    </w:p>
    <w:p w:rsidR="00E6607B" w:rsidRDefault="00E6607B" w:rsidP="00E6607B">
      <w:pPr>
        <w:ind w:left="720"/>
        <w:jc w:val="left"/>
      </w:pPr>
    </w:p>
    <w:p w:rsidR="00E6607B" w:rsidRDefault="00E6607B" w:rsidP="00E6607B">
      <w:pPr>
        <w:ind w:left="720"/>
        <w:jc w:val="left"/>
      </w:pPr>
      <w:r>
        <w:lastRenderedPageBreak/>
        <w:t xml:space="preserve">To avoid this and protect his bar, Joe should of counted the people inside the bar including his staff at all times, and not allow more than 30 people in at any given time.  </w:t>
      </w:r>
    </w:p>
    <w:p w:rsidR="00D93BB5" w:rsidRDefault="00D93BB5" w:rsidP="004657C2">
      <w:pPr>
        <w:ind w:left="720"/>
        <w:jc w:val="left"/>
      </w:pPr>
    </w:p>
    <w:p w:rsidR="006A0553" w:rsidRDefault="00E6607B" w:rsidP="00D93BB5">
      <w:pPr>
        <w:ind w:left="720"/>
        <w:jc w:val="left"/>
      </w:pPr>
      <w:r>
        <w:t xml:space="preserve">This act is in place to protect and control the </w:t>
      </w:r>
      <w:r w:rsidR="00D93BB5">
        <w:t xml:space="preserve">people inside the bar, being above the limit of 30 could also be a violation of fire safety rules. </w:t>
      </w:r>
    </w:p>
    <w:p w:rsidR="00D93BB5" w:rsidRDefault="00D93BB5" w:rsidP="00D93BB5">
      <w:pPr>
        <w:ind w:left="720"/>
        <w:jc w:val="left"/>
      </w:pPr>
    </w:p>
    <w:p w:rsidR="00A25058" w:rsidRPr="00D93BB5" w:rsidRDefault="00D93BB5" w:rsidP="00D93BB5">
      <w:pPr>
        <w:ind w:left="720"/>
        <w:jc w:val="left"/>
      </w:pPr>
      <w:r>
        <w:t xml:space="preserve">Serving food means Joe needs to follow health and safety and handling of foods. The fact that several reports have come in about food poising from Joes bar, food-handling practices not been followed. </w:t>
      </w:r>
      <w:r w:rsidR="00656902">
        <w:t xml:space="preserve"> Joe may be in violation</w:t>
      </w:r>
      <w:r>
        <w:t xml:space="preserve"> of yet another by-law. </w:t>
      </w:r>
      <w:r>
        <w:br/>
      </w:r>
      <w:r w:rsidR="00656902">
        <w:t xml:space="preserve">Joe may not have been inspecting his facilities to verify that safe food-handling practices are being followed. </w:t>
      </w:r>
    </w:p>
    <w:p w:rsidR="00A25058" w:rsidRDefault="00A25058" w:rsidP="00A25058">
      <w:pPr>
        <w:pStyle w:val="ListParagraph"/>
        <w:jc w:val="left"/>
      </w:pPr>
    </w:p>
    <w:p w:rsidR="00377927" w:rsidRPr="00377927" w:rsidRDefault="00BE4818" w:rsidP="00377927">
      <w:pPr>
        <w:jc w:val="left"/>
        <w:rPr>
          <w:rFonts w:ascii="Arial" w:hAnsi="Arial" w:cs="Arial"/>
          <w:b/>
          <w:bCs/>
          <w:sz w:val="20"/>
          <w:szCs w:val="20"/>
          <w:lang w:val="en-US"/>
        </w:rPr>
      </w:pPr>
      <w:r w:rsidRPr="00834685">
        <w:rPr>
          <w:rFonts w:ascii="Arial" w:hAnsi="Arial" w:cs="Arial"/>
          <w:b/>
          <w:bCs/>
          <w:sz w:val="20"/>
          <w:szCs w:val="20"/>
          <w:lang w:val="en-US"/>
        </w:rPr>
        <w:t xml:space="preserve">PART </w:t>
      </w:r>
      <w:r>
        <w:rPr>
          <w:rFonts w:ascii="Arial" w:hAnsi="Arial" w:cs="Arial"/>
          <w:b/>
          <w:bCs/>
          <w:sz w:val="20"/>
          <w:szCs w:val="20"/>
          <w:lang w:val="en-US"/>
        </w:rPr>
        <w:t>2</w:t>
      </w:r>
    </w:p>
    <w:p w:rsidR="00A25058" w:rsidRDefault="00A25058" w:rsidP="00BE4818">
      <w:pPr>
        <w:jc w:val="left"/>
      </w:pPr>
    </w:p>
    <w:p w:rsidR="008860AE" w:rsidRDefault="008860AE" w:rsidP="008860AE">
      <w:pPr>
        <w:ind w:left="720"/>
        <w:jc w:val="left"/>
      </w:pPr>
      <w:r>
        <w:t xml:space="preserve">1.  The courts are bound by prior decisions of superior courts; the courts in Canada must follow the past decisions.  The Supreme Court in Canada or appeals can hear the case.  </w:t>
      </w:r>
      <w:r w:rsidR="00722E1D">
        <w:t>If</w:t>
      </w:r>
      <w:r>
        <w:t xml:space="preserve"> a higher court has made a significant legal point in one case, it would be considered as binding in later courts</w:t>
      </w:r>
      <w:r w:rsidR="00156CC3">
        <w:t xml:space="preserve">. All provincial courts lower than the Court of Appeal </w:t>
      </w:r>
      <w:proofErr w:type="gramStart"/>
      <w:r w:rsidR="00156CC3">
        <w:t>are</w:t>
      </w:r>
      <w:proofErr w:type="gramEnd"/>
      <w:r w:rsidR="00156CC3">
        <w:t xml:space="preserve"> bound to follow a decision of the Ontario Court of Appeal. </w:t>
      </w:r>
    </w:p>
    <w:p w:rsidR="00BE4818" w:rsidRDefault="00BE4818" w:rsidP="004657C2">
      <w:pPr>
        <w:ind w:left="720"/>
        <w:jc w:val="left"/>
      </w:pPr>
    </w:p>
    <w:p w:rsidR="00BE4818" w:rsidRDefault="008860AE" w:rsidP="004657C2">
      <w:pPr>
        <w:ind w:left="720"/>
        <w:jc w:val="left"/>
      </w:pPr>
      <w:r>
        <w:t xml:space="preserve">2. The British Columbia court is supposed to obey the holdings of prior decisions, so they must following the ruling of the decisions by prior superior courts. </w:t>
      </w:r>
      <w:r w:rsidR="00722E1D">
        <w:t>The fact that a higher court made the ruling, the British Columbia courts must follow the ruling of the higher courts. The higher court ruling would be binding to lower courts</w:t>
      </w:r>
    </w:p>
    <w:p w:rsidR="00BE4818" w:rsidRDefault="00BE4818" w:rsidP="004657C2">
      <w:pPr>
        <w:ind w:left="720"/>
        <w:jc w:val="left"/>
      </w:pPr>
    </w:p>
    <w:p w:rsidR="00BE4818" w:rsidRDefault="00722E1D" w:rsidP="004657C2">
      <w:pPr>
        <w:ind w:left="720"/>
        <w:jc w:val="left"/>
      </w:pPr>
      <w:r>
        <w:t xml:space="preserve">3. The courts are on the same level, so the court of appeal in Alberta </w:t>
      </w:r>
      <w:r w:rsidR="004657C2">
        <w:t>could hear the same case as the court of appeal of Ontario.  However due to the fact that the Supreme court of Canada, a higher level court has made the decision, The Appeal Court of Alberta will follow that ruling.</w:t>
      </w:r>
      <w:r w:rsidR="00156CC3">
        <w:t xml:space="preserve"> </w:t>
      </w:r>
    </w:p>
    <w:p w:rsidR="00156CC3" w:rsidRDefault="00156CC3" w:rsidP="004657C2">
      <w:pPr>
        <w:ind w:left="720"/>
        <w:jc w:val="left"/>
      </w:pPr>
    </w:p>
    <w:p w:rsidR="00BE4818" w:rsidRDefault="00722E1D" w:rsidP="004657C2">
      <w:pPr>
        <w:ind w:left="720"/>
        <w:jc w:val="left"/>
      </w:pPr>
      <w:r>
        <w:t xml:space="preserve">4. </w:t>
      </w:r>
      <w:r w:rsidR="004657C2">
        <w:t xml:space="preserve">If the Supreme Court of Canada heard the appeal, made a decision, because a higher court has made a significant legal point in one case, it would be considered binding in later courts at lower levels. If a group of cases involves the same point, the parties expect the same decision, If however new evidence or new material is added to the case, other courts may make a different ruling.  </w:t>
      </w:r>
      <w:r w:rsidR="00B470CC">
        <w:t xml:space="preserve">The Supreme Court of </w:t>
      </w:r>
      <w:proofErr w:type="gramStart"/>
      <w:r w:rsidR="00B470CC">
        <w:t>Canada,</w:t>
      </w:r>
      <w:proofErr w:type="gramEnd"/>
      <w:r w:rsidR="00B470CC">
        <w:t xml:space="preserve"> is highest court in the country. </w:t>
      </w:r>
    </w:p>
    <w:p w:rsidR="00BE4818" w:rsidRPr="00A25058" w:rsidRDefault="00BE4818" w:rsidP="00BE4818">
      <w:pPr>
        <w:jc w:val="left"/>
      </w:pPr>
    </w:p>
    <w:p w:rsidR="00377927" w:rsidRDefault="00377927" w:rsidP="00377927">
      <w:pPr>
        <w:ind w:left="360"/>
        <w:jc w:val="left"/>
      </w:pPr>
      <w:r>
        <w:t xml:space="preserve">Subject notes </w:t>
      </w:r>
      <w:r w:rsidRPr="00377927">
        <w:rPr>
          <w:color w:val="FF0000"/>
        </w:rPr>
        <w:t>(delete)</w:t>
      </w:r>
      <w:r>
        <w:t xml:space="preserve"> </w:t>
      </w:r>
      <w:r>
        <w:br/>
      </w:r>
      <w:r>
        <w:br/>
        <w:t>- All Canadian courts are bound to follow a precedent of the Supreme Court of Canada</w:t>
      </w:r>
    </w:p>
    <w:p w:rsidR="00377927" w:rsidRDefault="00377927" w:rsidP="00377927">
      <w:pPr>
        <w:ind w:left="360"/>
        <w:jc w:val="left"/>
      </w:pPr>
      <w:r>
        <w:t xml:space="preserve">-The Ontario Court of Appeal is not bound to follow a decision of the appellate court of another province. </w:t>
      </w:r>
    </w:p>
    <w:p w:rsidR="00377927" w:rsidRDefault="00377927" w:rsidP="00377927">
      <w:pPr>
        <w:ind w:left="360"/>
        <w:jc w:val="left"/>
      </w:pPr>
      <w:r>
        <w:t>-The Ontario Court of Appeal will generally be bound by its own prior decisions</w:t>
      </w:r>
    </w:p>
    <w:p w:rsidR="00377927" w:rsidRDefault="00377927" w:rsidP="00377927">
      <w:pPr>
        <w:ind w:left="360"/>
        <w:jc w:val="left"/>
      </w:pPr>
      <w:r>
        <w:t>-All Ontario provincial courts lower than the Court of Appeal are bound to follow a decision of the Ontario Court of Appeal</w:t>
      </w:r>
    </w:p>
    <w:p w:rsidR="00377927" w:rsidRDefault="00377927" w:rsidP="00377927">
      <w:pPr>
        <w:ind w:left="360"/>
        <w:jc w:val="left"/>
      </w:pPr>
      <w:r>
        <w:t>-All Ontario provincial courts are not bound by the decisions of the appellate courts of other provinces</w:t>
      </w:r>
    </w:p>
    <w:p w:rsidR="00377927" w:rsidRPr="00834685" w:rsidRDefault="00377927" w:rsidP="00834685">
      <w:pPr>
        <w:jc w:val="left"/>
        <w:rPr>
          <w:rFonts w:ascii="Arial" w:hAnsi="Arial" w:cs="Arial"/>
          <w:b/>
          <w:bCs/>
          <w:sz w:val="20"/>
          <w:szCs w:val="20"/>
          <w:lang w:val="en-US"/>
        </w:rPr>
      </w:pPr>
    </w:p>
    <w:p w:rsidR="00377927" w:rsidRDefault="00377927" w:rsidP="00834685">
      <w:pPr>
        <w:jc w:val="left"/>
        <w:rPr>
          <w:rFonts w:ascii="Arial" w:hAnsi="Arial" w:cs="Arial"/>
          <w:b/>
          <w:bCs/>
          <w:sz w:val="20"/>
          <w:szCs w:val="20"/>
          <w:lang w:val="en-US"/>
        </w:rPr>
      </w:pPr>
    </w:p>
    <w:p w:rsidR="00A25058" w:rsidRPr="005156CF" w:rsidRDefault="00834685" w:rsidP="00834685">
      <w:pPr>
        <w:jc w:val="left"/>
        <w:rPr>
          <w:rFonts w:ascii="Arial" w:hAnsi="Arial" w:cs="Arial"/>
          <w:bCs/>
          <w:sz w:val="20"/>
          <w:szCs w:val="20"/>
          <w:lang w:val="en-US"/>
        </w:rPr>
      </w:pPr>
      <w:r w:rsidRPr="00834685">
        <w:rPr>
          <w:rFonts w:ascii="Arial" w:hAnsi="Arial" w:cs="Arial"/>
          <w:b/>
          <w:bCs/>
          <w:sz w:val="20"/>
          <w:szCs w:val="20"/>
          <w:lang w:val="en-US"/>
        </w:rPr>
        <w:t xml:space="preserve">PART 3 </w:t>
      </w:r>
    </w:p>
    <w:p w:rsidR="00834685" w:rsidRPr="00A373C3" w:rsidRDefault="00834685" w:rsidP="00A373C3">
      <w:pPr>
        <w:ind w:left="720"/>
        <w:jc w:val="left"/>
      </w:pPr>
    </w:p>
    <w:p w:rsidR="005156CF" w:rsidRPr="00A373C3" w:rsidRDefault="005156CF" w:rsidP="00A373C3">
      <w:pPr>
        <w:ind w:left="720"/>
        <w:jc w:val="left"/>
      </w:pPr>
      <w:r w:rsidRPr="00A373C3">
        <w:t xml:space="preserve">Pitt-Meadows can minimize risk several ways. </w:t>
      </w:r>
      <w:r w:rsidR="00EB2AC1" w:rsidRPr="00A373C3">
        <w:t>Identify risks</w:t>
      </w:r>
      <w:r w:rsidR="0073217F" w:rsidRPr="00A373C3">
        <w:t xml:space="preserve">, and discover a way to eliminate a risk If they can’t eliminate the risk, then they need to find ways to lower the risk.  </w:t>
      </w:r>
      <w:r w:rsidR="00EB2AC1" w:rsidRPr="00A373C3">
        <w:t>Estimate frequency &amp; severity of each risk</w:t>
      </w:r>
      <w:r w:rsidRPr="00A373C3">
        <w:t xml:space="preserve">, maintenance of property and facilities, </w:t>
      </w:r>
      <w:r w:rsidR="00EB2AC1" w:rsidRPr="00A373C3">
        <w:t>Determine alternative approaches to controlling the risk</w:t>
      </w:r>
      <w:r w:rsidRPr="00A373C3">
        <w:t xml:space="preserve">s.  Pitt-Meadows should also send its employees to training for the proper maintenance </w:t>
      </w:r>
      <w:r w:rsidR="0073217F" w:rsidRPr="00A373C3">
        <w:t xml:space="preserve">and food handling process; go through health and safety training as well. </w:t>
      </w:r>
      <w:r w:rsidRPr="00A373C3">
        <w:t xml:space="preserve">  </w:t>
      </w:r>
    </w:p>
    <w:p w:rsidR="005156CF" w:rsidRPr="00A373C3" w:rsidRDefault="005156CF" w:rsidP="00A373C3">
      <w:pPr>
        <w:ind w:left="720"/>
        <w:jc w:val="left"/>
      </w:pPr>
    </w:p>
    <w:p w:rsidR="002F7D40" w:rsidRPr="00A373C3" w:rsidRDefault="005156CF" w:rsidP="00A373C3">
      <w:pPr>
        <w:ind w:left="720"/>
        <w:jc w:val="left"/>
      </w:pPr>
      <w:r w:rsidRPr="00A373C3">
        <w:t xml:space="preserve">Pitt- Meadows should also have regular inspection and quality control </w:t>
      </w:r>
      <w:r w:rsidR="002F7D40" w:rsidRPr="00A373C3">
        <w:t xml:space="preserve">process; it should also be done on a daily basis. </w:t>
      </w:r>
      <w:r w:rsidRPr="00A373C3">
        <w:t xml:space="preserve"> This would lower the risk of Pitt-Meadows greatly. Quality control and regular inspections would insure </w:t>
      </w:r>
      <w:r w:rsidR="002F7D40" w:rsidRPr="00A373C3">
        <w:t xml:space="preserve">if </w:t>
      </w:r>
      <w:r w:rsidRPr="00A373C3">
        <w:t>infected foods</w:t>
      </w:r>
      <w:r w:rsidR="002F7D40" w:rsidRPr="00A373C3">
        <w:t xml:space="preserve"> were discovered, they</w:t>
      </w:r>
      <w:r w:rsidRPr="00A373C3">
        <w:t xml:space="preserve"> would never leave the plant. Good communication set-ups would </w:t>
      </w:r>
      <w:r w:rsidR="0073217F" w:rsidRPr="00A373C3">
        <w:t>also help risk</w:t>
      </w:r>
      <w:r w:rsidR="002F7D40" w:rsidRPr="00A373C3">
        <w:t xml:space="preserve">. If a recall was to take place, this would allow for fast contact and insure little damage. </w:t>
      </w:r>
    </w:p>
    <w:p w:rsidR="002F7D40" w:rsidRPr="00A373C3" w:rsidRDefault="002F7D40" w:rsidP="00A373C3">
      <w:pPr>
        <w:ind w:left="720"/>
        <w:jc w:val="left"/>
      </w:pPr>
    </w:p>
    <w:p w:rsidR="00834685" w:rsidRDefault="0073217F" w:rsidP="00A373C3">
      <w:pPr>
        <w:ind w:left="720"/>
        <w:jc w:val="left"/>
      </w:pPr>
      <w:r w:rsidRPr="00A373C3">
        <w:t xml:space="preserve">Pitt-meadows should also set up liability insurance, mistakes can still happen, and this will reduce the financial impact it will have if the courts still place liability on the company. </w:t>
      </w:r>
    </w:p>
    <w:p w:rsidR="00BA34B1" w:rsidRDefault="00BA34B1" w:rsidP="00A373C3">
      <w:pPr>
        <w:ind w:left="720"/>
        <w:jc w:val="left"/>
      </w:pPr>
    </w:p>
    <w:p w:rsidR="00BA34B1" w:rsidRDefault="00BA34B1" w:rsidP="00BA34B1">
      <w:pPr>
        <w:jc w:val="left"/>
        <w:rPr>
          <w:rFonts w:ascii="Arial" w:hAnsi="Arial" w:cs="Arial"/>
          <w:b/>
          <w:bCs/>
          <w:sz w:val="20"/>
          <w:szCs w:val="20"/>
          <w:lang w:val="en-US"/>
        </w:rPr>
      </w:pPr>
      <w:r w:rsidRPr="00BA34B1">
        <w:rPr>
          <w:rFonts w:ascii="Arial" w:hAnsi="Arial" w:cs="Arial"/>
          <w:b/>
          <w:bCs/>
          <w:sz w:val="20"/>
          <w:szCs w:val="20"/>
          <w:lang w:val="en-US"/>
        </w:rPr>
        <w:t xml:space="preserve">Part 4 </w:t>
      </w:r>
    </w:p>
    <w:p w:rsidR="00BA34B1" w:rsidRDefault="00BA34B1" w:rsidP="00BA34B1">
      <w:pPr>
        <w:jc w:val="left"/>
        <w:rPr>
          <w:rFonts w:ascii="Arial" w:hAnsi="Arial" w:cs="Arial"/>
          <w:b/>
          <w:bCs/>
          <w:sz w:val="20"/>
          <w:szCs w:val="20"/>
          <w:lang w:val="en-US"/>
        </w:rPr>
      </w:pPr>
    </w:p>
    <w:p w:rsidR="000F2263" w:rsidRDefault="007B48BA" w:rsidP="00BA34B1">
      <w:pPr>
        <w:ind w:left="720"/>
        <w:jc w:val="left"/>
      </w:pPr>
      <w:r>
        <w:t xml:space="preserve">ADR (Alternative Dispute Resolution) has the potential to save business hundreds of thousands in legal fees.  I do believe Samsung should of used this method, not only would ADR have saved Samsung hundreds of thousands, it also had other advantages.  </w:t>
      </w:r>
    </w:p>
    <w:p w:rsidR="000F2263" w:rsidRDefault="000F2263" w:rsidP="00BA34B1">
      <w:pPr>
        <w:ind w:left="720"/>
        <w:jc w:val="left"/>
      </w:pPr>
    </w:p>
    <w:p w:rsidR="00BA34B1" w:rsidRDefault="007B48BA" w:rsidP="00BA34B1">
      <w:pPr>
        <w:ind w:left="720"/>
        <w:jc w:val="left"/>
      </w:pPr>
      <w:r>
        <w:t xml:space="preserve">Samsung would </w:t>
      </w:r>
      <w:r w:rsidR="000F2263">
        <w:t>have</w:t>
      </w:r>
      <w:r>
        <w:t xml:space="preserve"> </w:t>
      </w:r>
      <w:r w:rsidR="000F2263" w:rsidRPr="007B48BA">
        <w:t>preserved</w:t>
      </w:r>
      <w:r w:rsidRPr="007B48BA">
        <w:t xml:space="preserve"> business relationships</w:t>
      </w:r>
      <w:r>
        <w:t xml:space="preserve"> it already had with Apple, by using ADR it would </w:t>
      </w:r>
      <w:r w:rsidR="000F2263">
        <w:t>have</w:t>
      </w:r>
      <w:r>
        <w:t xml:space="preserve"> allowed the two </w:t>
      </w:r>
      <w:r w:rsidRPr="007B48BA">
        <w:t>parties to resolve legitimate disputes while saving their opportunity to preserve future business relationship.</w:t>
      </w:r>
    </w:p>
    <w:p w:rsidR="007B48BA" w:rsidRDefault="007B48BA" w:rsidP="00BA34B1">
      <w:pPr>
        <w:ind w:left="720"/>
        <w:jc w:val="left"/>
      </w:pPr>
    </w:p>
    <w:p w:rsidR="007B48BA" w:rsidRDefault="007B48BA" w:rsidP="00BA34B1">
      <w:pPr>
        <w:ind w:left="720"/>
        <w:jc w:val="left"/>
      </w:pPr>
      <w:r>
        <w:t>Another great reason Samsung should</w:t>
      </w:r>
      <w:r w:rsidR="000F2263">
        <w:t xml:space="preserve"> have</w:t>
      </w:r>
      <w:r>
        <w:t xml:space="preserve"> used ADR is for privacy. </w:t>
      </w:r>
      <w:r w:rsidRPr="000F2263">
        <w:t xml:space="preserve">ADR mechanisms would </w:t>
      </w:r>
      <w:r w:rsidR="000F2263" w:rsidRPr="000F2263">
        <w:t>have</w:t>
      </w:r>
      <w:r w:rsidRPr="000F2263">
        <w:t xml:space="preserve"> made it possible for Samsung to keep business practices</w:t>
      </w:r>
      <w:r w:rsidR="000F2263">
        <w:t xml:space="preserve"> private from its competitors, being a huge corporation it would have attacked allot of attention in the media. </w:t>
      </w:r>
      <w:r w:rsidR="000F2263" w:rsidRPr="000F2263">
        <w:t xml:space="preserve">More privacy in the dispute may have also saved its stocks.  </w:t>
      </w:r>
    </w:p>
    <w:p w:rsidR="000F2263" w:rsidRDefault="000F2263" w:rsidP="00BA34B1">
      <w:pPr>
        <w:ind w:left="720"/>
        <w:jc w:val="left"/>
      </w:pPr>
    </w:p>
    <w:p w:rsidR="000F2263" w:rsidRDefault="000F2263" w:rsidP="006517B0">
      <w:pPr>
        <w:ind w:left="720"/>
        <w:jc w:val="left"/>
      </w:pPr>
      <w:r>
        <w:t xml:space="preserve">ADR would have also been great in saving time and </w:t>
      </w:r>
      <w:r w:rsidRPr="000F2263">
        <w:t>business uncertainty</w:t>
      </w:r>
      <w:r>
        <w:t xml:space="preserve">. Having a dispute held up in the courts for months at a time can drain business resources, and time management.  This would also lead to business uncertainty, </w:t>
      </w:r>
      <w:r w:rsidRPr="000F2263">
        <w:t xml:space="preserve">paralyzing the management process. </w:t>
      </w:r>
      <w:r>
        <w:t xml:space="preserve"> </w:t>
      </w:r>
      <w:r w:rsidR="006517B0">
        <w:t xml:space="preserve">Being in the media for months at a time, negative and or positive can damage a business reputation.  </w:t>
      </w:r>
      <w:r>
        <w:t xml:space="preserve">The faster a business can solve its dispute the faster </w:t>
      </w:r>
      <w:r w:rsidRPr="000F2263">
        <w:t>managers can get on with the business of the company</w:t>
      </w:r>
    </w:p>
    <w:p w:rsidR="006517B0" w:rsidRDefault="006517B0" w:rsidP="006517B0">
      <w:pPr>
        <w:ind w:left="720"/>
        <w:jc w:val="left"/>
      </w:pPr>
    </w:p>
    <w:p w:rsidR="006517B0" w:rsidRPr="007B48BA" w:rsidRDefault="006517B0" w:rsidP="006517B0">
      <w:pPr>
        <w:ind w:left="720"/>
        <w:jc w:val="left"/>
      </w:pPr>
    </w:p>
    <w:p w:rsidR="00BA34B1" w:rsidRPr="007B48BA" w:rsidRDefault="00BA34B1" w:rsidP="007B48BA">
      <w:pPr>
        <w:ind w:left="720"/>
        <w:jc w:val="left"/>
      </w:pPr>
    </w:p>
    <w:p w:rsidR="00BA34B1" w:rsidRPr="00A373C3" w:rsidRDefault="00BA34B1" w:rsidP="00A373C3">
      <w:pPr>
        <w:ind w:left="720"/>
        <w:jc w:val="left"/>
      </w:pPr>
    </w:p>
    <w:p w:rsidR="004657C2" w:rsidRDefault="004657C2" w:rsidP="00413777">
      <w:pPr>
        <w:pStyle w:val="Heading2"/>
      </w:pPr>
    </w:p>
    <w:p w:rsidR="004657C2" w:rsidRDefault="004657C2" w:rsidP="00413777">
      <w:pPr>
        <w:pStyle w:val="Heading2"/>
        <w:rPr>
          <w:rStyle w:val="mw-headline"/>
        </w:rPr>
      </w:pPr>
    </w:p>
    <w:p w:rsidR="00625FCE" w:rsidRDefault="0003231C" w:rsidP="00A50B85">
      <w:pPr>
        <w:jc w:val="left"/>
        <w:rPr>
          <w:rFonts w:ascii="Arial" w:hAnsi="Arial" w:cs="Arial"/>
          <w:bCs/>
          <w:sz w:val="20"/>
          <w:szCs w:val="20"/>
          <w:lang w:val="en-US"/>
        </w:rPr>
      </w:pPr>
      <w:r w:rsidRPr="00A50B85">
        <w:rPr>
          <w:rFonts w:ascii="Arial" w:hAnsi="Arial" w:cs="Arial"/>
          <w:bCs/>
          <w:sz w:val="20"/>
          <w:szCs w:val="20"/>
          <w:lang w:val="en-US"/>
        </w:rPr>
        <w:t>End Notes</w:t>
      </w:r>
    </w:p>
    <w:p w:rsidR="00A50B85" w:rsidRPr="00A50B85" w:rsidRDefault="00A50B85" w:rsidP="00A50B85">
      <w:pPr>
        <w:jc w:val="left"/>
        <w:rPr>
          <w:rFonts w:ascii="Arial" w:hAnsi="Arial" w:cs="Arial"/>
          <w:bCs/>
          <w:sz w:val="20"/>
          <w:szCs w:val="20"/>
          <w:lang w:val="en-US"/>
        </w:rPr>
      </w:pPr>
    </w:p>
    <w:p w:rsidR="0003231C" w:rsidRPr="0003231C" w:rsidRDefault="0003231C" w:rsidP="0003231C">
      <w:pPr>
        <w:pStyle w:val="ListParagraph"/>
        <w:numPr>
          <w:ilvl w:val="0"/>
          <w:numId w:val="16"/>
        </w:numPr>
        <w:jc w:val="left"/>
        <w:rPr>
          <w:rFonts w:ascii="Arial" w:hAnsi="Arial" w:cs="Arial"/>
          <w:bCs/>
          <w:sz w:val="20"/>
          <w:szCs w:val="20"/>
          <w:lang w:val="en-US"/>
        </w:rPr>
      </w:pPr>
      <w:r w:rsidRPr="0003231C">
        <w:rPr>
          <w:rFonts w:ascii="Arial" w:hAnsi="Arial" w:cs="Arial"/>
          <w:bCs/>
          <w:sz w:val="20"/>
          <w:szCs w:val="20"/>
          <w:lang w:val="en-US"/>
        </w:rPr>
        <w:t>Business Law [Law 1702/1732]</w:t>
      </w:r>
    </w:p>
    <w:p w:rsidR="0003231C" w:rsidRPr="00A50B85" w:rsidRDefault="00837725" w:rsidP="0003231C">
      <w:pPr>
        <w:pStyle w:val="ListParagraph"/>
        <w:numPr>
          <w:ilvl w:val="0"/>
          <w:numId w:val="16"/>
        </w:numPr>
        <w:jc w:val="left"/>
        <w:rPr>
          <w:rFonts w:ascii="Arial" w:hAnsi="Arial" w:cs="Arial"/>
          <w:bCs/>
          <w:sz w:val="20"/>
          <w:szCs w:val="20"/>
          <w:lang w:val="en-US"/>
        </w:rPr>
      </w:pPr>
      <w:hyperlink r:id="rId12" w:history="1">
        <w:r w:rsidR="0003231C" w:rsidRPr="00A50B85">
          <w:rPr>
            <w:rFonts w:ascii="Arial" w:hAnsi="Arial" w:cs="Arial"/>
            <w:bCs/>
            <w:sz w:val="20"/>
            <w:szCs w:val="20"/>
            <w:lang w:val="en-US"/>
          </w:rPr>
          <w:t>http://www.cba.org/bc/Home/main/default.aspx</w:t>
        </w:r>
      </w:hyperlink>
    </w:p>
    <w:p w:rsidR="0003231C" w:rsidRPr="00A50B85" w:rsidRDefault="00837725" w:rsidP="0003231C">
      <w:pPr>
        <w:pStyle w:val="ListParagraph"/>
        <w:numPr>
          <w:ilvl w:val="0"/>
          <w:numId w:val="16"/>
        </w:numPr>
        <w:jc w:val="left"/>
        <w:rPr>
          <w:rFonts w:ascii="Arial" w:hAnsi="Arial" w:cs="Arial"/>
          <w:bCs/>
          <w:sz w:val="20"/>
          <w:szCs w:val="20"/>
          <w:lang w:val="en-US"/>
        </w:rPr>
      </w:pPr>
      <w:hyperlink r:id="rId13" w:history="1">
        <w:r w:rsidR="0003231C" w:rsidRPr="00A50B85">
          <w:rPr>
            <w:rFonts w:ascii="Arial" w:hAnsi="Arial" w:cs="Arial"/>
            <w:bCs/>
            <w:sz w:val="20"/>
            <w:szCs w:val="20"/>
            <w:lang w:val="en-US"/>
          </w:rPr>
          <w:t>http://www.cba.org/BC/Public_Media/main/legal_community.aspx</w:t>
        </w:r>
      </w:hyperlink>
    </w:p>
    <w:p w:rsidR="0003231C" w:rsidRPr="00A50B85" w:rsidRDefault="00837725" w:rsidP="0003231C">
      <w:pPr>
        <w:pStyle w:val="ListParagraph"/>
        <w:numPr>
          <w:ilvl w:val="0"/>
          <w:numId w:val="16"/>
        </w:numPr>
        <w:jc w:val="left"/>
        <w:rPr>
          <w:rFonts w:ascii="Arial" w:hAnsi="Arial" w:cs="Arial"/>
          <w:bCs/>
          <w:sz w:val="20"/>
          <w:szCs w:val="20"/>
          <w:lang w:val="en-US"/>
        </w:rPr>
      </w:pPr>
      <w:hyperlink r:id="rId14" w:history="1">
        <w:r w:rsidR="0003231C" w:rsidRPr="00A50B85">
          <w:rPr>
            <w:rFonts w:ascii="Arial" w:hAnsi="Arial" w:cs="Arial"/>
            <w:bCs/>
            <w:sz w:val="20"/>
            <w:szCs w:val="20"/>
            <w:lang w:val="en-US"/>
          </w:rPr>
          <w:t>http://www.parl.gc.ca/Content/LOP/ResearchPublications/bp402-e.htm</w:t>
        </w:r>
      </w:hyperlink>
    </w:p>
    <w:p w:rsidR="0003231C" w:rsidRPr="00A50B85" w:rsidRDefault="00AE7C4D" w:rsidP="0003231C">
      <w:pPr>
        <w:pStyle w:val="ListParagraph"/>
        <w:numPr>
          <w:ilvl w:val="0"/>
          <w:numId w:val="16"/>
        </w:numPr>
        <w:jc w:val="left"/>
        <w:rPr>
          <w:rFonts w:ascii="Arial" w:hAnsi="Arial" w:cs="Arial"/>
          <w:bCs/>
          <w:sz w:val="20"/>
          <w:szCs w:val="20"/>
          <w:lang w:val="en-US"/>
        </w:rPr>
      </w:pPr>
      <w:r w:rsidRPr="00A50B85">
        <w:rPr>
          <w:rFonts w:ascii="Arial" w:hAnsi="Arial" w:cs="Arial"/>
          <w:bCs/>
          <w:sz w:val="20"/>
          <w:szCs w:val="20"/>
          <w:lang w:val="en-US"/>
        </w:rPr>
        <w:t>http://www.parl.gc.ca/Content/LOP/ResearchPublications/bp194-e.htm</w:t>
      </w:r>
    </w:p>
    <w:p w:rsidR="0003231C" w:rsidRPr="00A50B85" w:rsidRDefault="00463D40" w:rsidP="0003231C">
      <w:pPr>
        <w:pStyle w:val="ListParagraph"/>
        <w:numPr>
          <w:ilvl w:val="0"/>
          <w:numId w:val="16"/>
        </w:numPr>
        <w:jc w:val="left"/>
        <w:rPr>
          <w:rFonts w:ascii="Arial" w:hAnsi="Arial" w:cs="Arial"/>
          <w:bCs/>
          <w:sz w:val="20"/>
          <w:szCs w:val="20"/>
          <w:lang w:val="en-US"/>
        </w:rPr>
      </w:pPr>
      <w:r w:rsidRPr="00A50B85">
        <w:rPr>
          <w:rFonts w:ascii="Arial" w:hAnsi="Arial" w:cs="Arial"/>
          <w:bCs/>
          <w:sz w:val="20"/>
          <w:szCs w:val="20"/>
          <w:lang w:val="en-US"/>
        </w:rPr>
        <w:t>http://www.nytimes.com/2012/09/14/nyregion/health-board-approves-bloombergs-soda-ban.html?_r=0</w:t>
      </w:r>
    </w:p>
    <w:p w:rsidR="00413777" w:rsidRPr="00A50B85" w:rsidRDefault="00656902" w:rsidP="0003231C">
      <w:pPr>
        <w:pStyle w:val="ListParagraph"/>
        <w:numPr>
          <w:ilvl w:val="0"/>
          <w:numId w:val="16"/>
        </w:numPr>
        <w:jc w:val="left"/>
        <w:rPr>
          <w:rFonts w:ascii="Arial" w:hAnsi="Arial" w:cs="Arial"/>
          <w:bCs/>
          <w:sz w:val="20"/>
          <w:szCs w:val="20"/>
          <w:lang w:val="en-US"/>
        </w:rPr>
      </w:pPr>
      <w:r w:rsidRPr="00A50B85">
        <w:rPr>
          <w:rFonts w:ascii="Arial" w:hAnsi="Arial" w:cs="Arial"/>
          <w:bCs/>
          <w:sz w:val="20"/>
          <w:szCs w:val="20"/>
          <w:lang w:val="en-US"/>
        </w:rPr>
        <w:t>http://www.hc-sc.gc.ca/fn-an/securit/index-eng.php</w:t>
      </w:r>
    </w:p>
    <w:p w:rsidR="00413777" w:rsidRPr="00A50B85" w:rsidRDefault="00311216" w:rsidP="0003231C">
      <w:pPr>
        <w:pStyle w:val="ListParagraph"/>
        <w:numPr>
          <w:ilvl w:val="0"/>
          <w:numId w:val="16"/>
        </w:numPr>
        <w:jc w:val="left"/>
        <w:rPr>
          <w:rFonts w:ascii="Arial" w:hAnsi="Arial" w:cs="Arial"/>
          <w:bCs/>
          <w:sz w:val="20"/>
          <w:szCs w:val="20"/>
          <w:lang w:val="en-US"/>
        </w:rPr>
      </w:pPr>
      <w:r w:rsidRPr="00A50B85">
        <w:rPr>
          <w:rFonts w:ascii="Arial" w:hAnsi="Arial" w:cs="Arial"/>
          <w:bCs/>
          <w:sz w:val="20"/>
          <w:szCs w:val="20"/>
          <w:lang w:val="en-US"/>
        </w:rPr>
        <w:t>http://laws-lois.justice.gc.ca/eng/</w:t>
      </w:r>
    </w:p>
    <w:p w:rsidR="000F2263" w:rsidRPr="00A50B85" w:rsidRDefault="00837725" w:rsidP="0003231C">
      <w:pPr>
        <w:pStyle w:val="ListParagraph"/>
        <w:numPr>
          <w:ilvl w:val="0"/>
          <w:numId w:val="16"/>
        </w:numPr>
        <w:jc w:val="left"/>
        <w:rPr>
          <w:rFonts w:ascii="Arial" w:hAnsi="Arial" w:cs="Arial"/>
          <w:bCs/>
          <w:sz w:val="20"/>
          <w:szCs w:val="20"/>
          <w:lang w:val="en-US"/>
        </w:rPr>
      </w:pPr>
      <w:hyperlink r:id="rId15" w:history="1">
        <w:r w:rsidR="000F2263" w:rsidRPr="00A50B85">
          <w:rPr>
            <w:rFonts w:ascii="Arial" w:hAnsi="Arial" w:cs="Arial"/>
            <w:bCs/>
            <w:sz w:val="20"/>
            <w:szCs w:val="20"/>
            <w:lang w:val="en-US"/>
          </w:rPr>
          <w:t>http://www.cbc.ca/news/canada/british-columbia/story/2011/01/19/contaminated-meat-halal-plant-pitt-meadows.html</w:t>
        </w:r>
      </w:hyperlink>
    </w:p>
    <w:p w:rsidR="000F2263" w:rsidRPr="00A50B85" w:rsidRDefault="00837725" w:rsidP="0003231C">
      <w:pPr>
        <w:pStyle w:val="ListParagraph"/>
        <w:numPr>
          <w:ilvl w:val="0"/>
          <w:numId w:val="16"/>
        </w:numPr>
        <w:jc w:val="left"/>
        <w:rPr>
          <w:rFonts w:ascii="Arial" w:hAnsi="Arial" w:cs="Arial"/>
          <w:bCs/>
          <w:sz w:val="20"/>
          <w:szCs w:val="20"/>
          <w:lang w:val="en-US"/>
        </w:rPr>
      </w:pPr>
      <w:hyperlink r:id="rId16" w:history="1">
        <w:r w:rsidR="000F2263" w:rsidRPr="00A50B85">
          <w:rPr>
            <w:rFonts w:ascii="Arial" w:hAnsi="Arial" w:cs="Arial"/>
            <w:bCs/>
            <w:sz w:val="20"/>
            <w:szCs w:val="20"/>
            <w:lang w:val="en-US"/>
          </w:rPr>
          <w:t>http://www.montrealgazette.com/technology/Analysis+Apple+prevailed+over+Samsung+patent+case/7150197/story.html</w:t>
        </w:r>
      </w:hyperlink>
    </w:p>
    <w:p w:rsidR="000F2263" w:rsidRPr="00A50B85" w:rsidRDefault="00837725" w:rsidP="0003231C">
      <w:pPr>
        <w:pStyle w:val="ListParagraph"/>
        <w:numPr>
          <w:ilvl w:val="0"/>
          <w:numId w:val="16"/>
        </w:numPr>
        <w:jc w:val="left"/>
        <w:rPr>
          <w:rFonts w:ascii="Arial" w:hAnsi="Arial" w:cs="Arial"/>
          <w:bCs/>
          <w:sz w:val="20"/>
          <w:szCs w:val="20"/>
          <w:lang w:val="en-US"/>
        </w:rPr>
      </w:pPr>
      <w:hyperlink r:id="rId17" w:history="1">
        <w:r w:rsidR="000F2263" w:rsidRPr="00A50B85">
          <w:rPr>
            <w:rFonts w:ascii="Arial" w:hAnsi="Arial" w:cs="Arial"/>
            <w:bCs/>
            <w:sz w:val="20"/>
            <w:szCs w:val="20"/>
          </w:rPr>
          <w:t>http://www.flexstudy.com/catalog/schpdf.cfm?coursenum=96010</w:t>
        </w:r>
      </w:hyperlink>
    </w:p>
    <w:p w:rsidR="00625FCE" w:rsidRPr="000F2263" w:rsidRDefault="00625FCE" w:rsidP="00A50B85">
      <w:pPr>
        <w:pStyle w:val="ListParagraph"/>
        <w:ind w:left="810"/>
        <w:jc w:val="left"/>
        <w:rPr>
          <w:lang w:val="en-US"/>
        </w:rPr>
      </w:pPr>
      <w:r w:rsidRPr="00A50B85">
        <w:rPr>
          <w:rFonts w:ascii="Arial" w:hAnsi="Arial" w:cs="Arial"/>
          <w:bCs/>
          <w:sz w:val="20"/>
          <w:szCs w:val="20"/>
          <w:lang w:val="en-US"/>
        </w:rPr>
        <w:br/>
      </w:r>
      <w:r w:rsidRPr="000F2263">
        <w:rPr>
          <w:lang w:val="en-US"/>
        </w:rPr>
        <w:br/>
      </w:r>
    </w:p>
    <w:sectPr w:rsidR="00625FCE" w:rsidRPr="000F2263" w:rsidSect="00A34212">
      <w:footerReference w:type="default" r:id="rId1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7A19" w:rsidRDefault="00527A19">
      <w:r>
        <w:separator/>
      </w:r>
    </w:p>
  </w:endnote>
  <w:endnote w:type="continuationSeparator" w:id="0">
    <w:p w:rsidR="00527A19" w:rsidRDefault="00527A1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5556" w:rsidRDefault="00C46398">
    <w:pPr>
      <w:pStyle w:val="Footer"/>
    </w:pPr>
    <w:r>
      <w:tab/>
    </w:r>
    <w:r w:rsidR="00837725">
      <w:rPr>
        <w:rStyle w:val="PageNumber"/>
      </w:rPr>
      <w:fldChar w:fldCharType="begin"/>
    </w:r>
    <w:r>
      <w:rPr>
        <w:rStyle w:val="PageNumber"/>
      </w:rPr>
      <w:instrText xml:space="preserve"> PAGE </w:instrText>
    </w:r>
    <w:r w:rsidR="00837725">
      <w:rPr>
        <w:rStyle w:val="PageNumber"/>
      </w:rPr>
      <w:fldChar w:fldCharType="separate"/>
    </w:r>
    <w:r w:rsidR="00705B59">
      <w:rPr>
        <w:rStyle w:val="PageNumber"/>
        <w:noProof/>
      </w:rPr>
      <w:t>4</w:t>
    </w:r>
    <w:r w:rsidR="00837725">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7A19" w:rsidRDefault="00527A19">
      <w:r>
        <w:separator/>
      </w:r>
    </w:p>
  </w:footnote>
  <w:footnote w:type="continuationSeparator" w:id="0">
    <w:p w:rsidR="00527A19" w:rsidRDefault="00527A1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in;height:3in" o:bullet="t"/>
    </w:pict>
  </w:numPicBullet>
  <w:numPicBullet w:numPicBulletId="1">
    <w:pict>
      <v:shape id="_x0000_i1030" type="#_x0000_t75" style="width:3in;height:3in" o:bullet="t"/>
    </w:pict>
  </w:numPicBullet>
  <w:numPicBullet w:numPicBulletId="2">
    <w:pict>
      <v:shape id="_x0000_i1031" type="#_x0000_t75" style="width:3in;height:3in" o:bullet="t"/>
    </w:pict>
  </w:numPicBullet>
  <w:abstractNum w:abstractNumId="0">
    <w:nsid w:val="093A2A50"/>
    <w:multiLevelType w:val="hybridMultilevel"/>
    <w:tmpl w:val="025CC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FF3F5A"/>
    <w:multiLevelType w:val="hybridMultilevel"/>
    <w:tmpl w:val="2AFC48F0"/>
    <w:lvl w:ilvl="0" w:tplc="04090017">
      <w:start w:val="1"/>
      <w:numFmt w:val="lowerLetter"/>
      <w:lvlText w:val="%1)"/>
      <w:lvlJc w:val="left"/>
      <w:pPr>
        <w:tabs>
          <w:tab w:val="num" w:pos="630"/>
        </w:tabs>
        <w:ind w:left="630" w:hanging="360"/>
      </w:p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
    <w:nsid w:val="0C1648E6"/>
    <w:multiLevelType w:val="hybridMultilevel"/>
    <w:tmpl w:val="C3309048"/>
    <w:lvl w:ilvl="0" w:tplc="3CBA194C">
      <w:start w:val="2"/>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9D175B"/>
    <w:multiLevelType w:val="hybridMultilevel"/>
    <w:tmpl w:val="F8FC86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813479"/>
    <w:multiLevelType w:val="hybridMultilevel"/>
    <w:tmpl w:val="87D0DD42"/>
    <w:lvl w:ilvl="0" w:tplc="04090017">
      <w:start w:val="1"/>
      <w:numFmt w:val="lowerLetter"/>
      <w:lvlText w:val="%1)"/>
      <w:lvlJc w:val="left"/>
      <w:pPr>
        <w:tabs>
          <w:tab w:val="num" w:pos="630"/>
        </w:tabs>
        <w:ind w:left="630" w:hanging="360"/>
      </w:p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5">
    <w:nsid w:val="18B03EFE"/>
    <w:multiLevelType w:val="hybridMultilevel"/>
    <w:tmpl w:val="5C8A72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1779D5"/>
    <w:multiLevelType w:val="hybridMultilevel"/>
    <w:tmpl w:val="ED1040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5183CEF"/>
    <w:multiLevelType w:val="hybridMultilevel"/>
    <w:tmpl w:val="F33E10A4"/>
    <w:lvl w:ilvl="0" w:tplc="C478BDFC">
      <w:start w:val="1"/>
      <w:numFmt w:val="lowerLetter"/>
      <w:lvlText w:val="%1."/>
      <w:lvlJc w:val="left"/>
      <w:pPr>
        <w:tabs>
          <w:tab w:val="num" w:pos="270"/>
        </w:tabs>
        <w:ind w:left="270" w:hanging="360"/>
      </w:pPr>
      <w:rPr>
        <w:rFonts w:hint="default"/>
        <w:b w:val="0"/>
      </w:rPr>
    </w:lvl>
    <w:lvl w:ilvl="1" w:tplc="04090019" w:tentative="1">
      <w:start w:val="1"/>
      <w:numFmt w:val="lowerLetter"/>
      <w:lvlText w:val="%2."/>
      <w:lvlJc w:val="left"/>
      <w:pPr>
        <w:tabs>
          <w:tab w:val="num" w:pos="990"/>
        </w:tabs>
        <w:ind w:left="990" w:hanging="360"/>
      </w:pPr>
    </w:lvl>
    <w:lvl w:ilvl="2" w:tplc="0409001B" w:tentative="1">
      <w:start w:val="1"/>
      <w:numFmt w:val="lowerRoman"/>
      <w:lvlText w:val="%3."/>
      <w:lvlJc w:val="right"/>
      <w:pPr>
        <w:tabs>
          <w:tab w:val="num" w:pos="1710"/>
        </w:tabs>
        <w:ind w:left="1710" w:hanging="180"/>
      </w:pPr>
    </w:lvl>
    <w:lvl w:ilvl="3" w:tplc="0409000F" w:tentative="1">
      <w:start w:val="1"/>
      <w:numFmt w:val="decimal"/>
      <w:lvlText w:val="%4."/>
      <w:lvlJc w:val="left"/>
      <w:pPr>
        <w:tabs>
          <w:tab w:val="num" w:pos="2430"/>
        </w:tabs>
        <w:ind w:left="2430" w:hanging="360"/>
      </w:pPr>
    </w:lvl>
    <w:lvl w:ilvl="4" w:tplc="04090019" w:tentative="1">
      <w:start w:val="1"/>
      <w:numFmt w:val="lowerLetter"/>
      <w:lvlText w:val="%5."/>
      <w:lvlJc w:val="left"/>
      <w:pPr>
        <w:tabs>
          <w:tab w:val="num" w:pos="3150"/>
        </w:tabs>
        <w:ind w:left="3150" w:hanging="360"/>
      </w:pPr>
    </w:lvl>
    <w:lvl w:ilvl="5" w:tplc="0409001B" w:tentative="1">
      <w:start w:val="1"/>
      <w:numFmt w:val="lowerRoman"/>
      <w:lvlText w:val="%6."/>
      <w:lvlJc w:val="right"/>
      <w:pPr>
        <w:tabs>
          <w:tab w:val="num" w:pos="3870"/>
        </w:tabs>
        <w:ind w:left="3870" w:hanging="180"/>
      </w:pPr>
    </w:lvl>
    <w:lvl w:ilvl="6" w:tplc="0409000F" w:tentative="1">
      <w:start w:val="1"/>
      <w:numFmt w:val="decimal"/>
      <w:lvlText w:val="%7."/>
      <w:lvlJc w:val="left"/>
      <w:pPr>
        <w:tabs>
          <w:tab w:val="num" w:pos="4590"/>
        </w:tabs>
        <w:ind w:left="4590" w:hanging="360"/>
      </w:pPr>
    </w:lvl>
    <w:lvl w:ilvl="7" w:tplc="04090019" w:tentative="1">
      <w:start w:val="1"/>
      <w:numFmt w:val="lowerLetter"/>
      <w:lvlText w:val="%8."/>
      <w:lvlJc w:val="left"/>
      <w:pPr>
        <w:tabs>
          <w:tab w:val="num" w:pos="5310"/>
        </w:tabs>
        <w:ind w:left="5310" w:hanging="360"/>
      </w:pPr>
    </w:lvl>
    <w:lvl w:ilvl="8" w:tplc="0409001B" w:tentative="1">
      <w:start w:val="1"/>
      <w:numFmt w:val="lowerRoman"/>
      <w:lvlText w:val="%9."/>
      <w:lvlJc w:val="right"/>
      <w:pPr>
        <w:tabs>
          <w:tab w:val="num" w:pos="6030"/>
        </w:tabs>
        <w:ind w:left="6030" w:hanging="180"/>
      </w:pPr>
    </w:lvl>
  </w:abstractNum>
  <w:abstractNum w:abstractNumId="8">
    <w:nsid w:val="26D617A7"/>
    <w:multiLevelType w:val="hybridMultilevel"/>
    <w:tmpl w:val="BC106312"/>
    <w:lvl w:ilvl="0" w:tplc="AD04E0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2145754"/>
    <w:multiLevelType w:val="hybridMultilevel"/>
    <w:tmpl w:val="DBBE980A"/>
    <w:lvl w:ilvl="0" w:tplc="1E88CCEC">
      <w:start w:val="1"/>
      <w:numFmt w:val="decimal"/>
      <w:lvlText w:val="%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344330"/>
    <w:multiLevelType w:val="hybridMultilevel"/>
    <w:tmpl w:val="C5D626E2"/>
    <w:lvl w:ilvl="0" w:tplc="948C297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43937D4"/>
    <w:multiLevelType w:val="multilevel"/>
    <w:tmpl w:val="E01AC0F8"/>
    <w:lvl w:ilvl="0">
      <w:start w:val="1"/>
      <w:numFmt w:val="bullet"/>
      <w:lvlText w:val=""/>
      <w:lvlPicBulletId w:val="0"/>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D4675A3"/>
    <w:multiLevelType w:val="hybridMultilevel"/>
    <w:tmpl w:val="7A56CE2A"/>
    <w:lvl w:ilvl="0" w:tplc="B49C6632">
      <w:start w:val="1"/>
      <w:numFmt w:val="decimal"/>
      <w:lvlText w:val="%1."/>
      <w:lvlJc w:val="left"/>
      <w:pPr>
        <w:tabs>
          <w:tab w:val="num" w:pos="720"/>
        </w:tabs>
        <w:ind w:left="720" w:hanging="360"/>
      </w:pPr>
    </w:lvl>
    <w:lvl w:ilvl="1" w:tplc="292848A2" w:tentative="1">
      <w:start w:val="1"/>
      <w:numFmt w:val="decimal"/>
      <w:lvlText w:val="%2."/>
      <w:lvlJc w:val="left"/>
      <w:pPr>
        <w:tabs>
          <w:tab w:val="num" w:pos="1440"/>
        </w:tabs>
        <w:ind w:left="1440" w:hanging="360"/>
      </w:pPr>
    </w:lvl>
    <w:lvl w:ilvl="2" w:tplc="D0D89A86" w:tentative="1">
      <w:start w:val="1"/>
      <w:numFmt w:val="decimal"/>
      <w:lvlText w:val="%3."/>
      <w:lvlJc w:val="left"/>
      <w:pPr>
        <w:tabs>
          <w:tab w:val="num" w:pos="2160"/>
        </w:tabs>
        <w:ind w:left="2160" w:hanging="360"/>
      </w:pPr>
    </w:lvl>
    <w:lvl w:ilvl="3" w:tplc="AB741AA8" w:tentative="1">
      <w:start w:val="1"/>
      <w:numFmt w:val="decimal"/>
      <w:lvlText w:val="%4."/>
      <w:lvlJc w:val="left"/>
      <w:pPr>
        <w:tabs>
          <w:tab w:val="num" w:pos="2880"/>
        </w:tabs>
        <w:ind w:left="2880" w:hanging="360"/>
      </w:pPr>
    </w:lvl>
    <w:lvl w:ilvl="4" w:tplc="12A49BB2" w:tentative="1">
      <w:start w:val="1"/>
      <w:numFmt w:val="decimal"/>
      <w:lvlText w:val="%5."/>
      <w:lvlJc w:val="left"/>
      <w:pPr>
        <w:tabs>
          <w:tab w:val="num" w:pos="3600"/>
        </w:tabs>
        <w:ind w:left="3600" w:hanging="360"/>
      </w:pPr>
    </w:lvl>
    <w:lvl w:ilvl="5" w:tplc="737CC4C0" w:tentative="1">
      <w:start w:val="1"/>
      <w:numFmt w:val="decimal"/>
      <w:lvlText w:val="%6."/>
      <w:lvlJc w:val="left"/>
      <w:pPr>
        <w:tabs>
          <w:tab w:val="num" w:pos="4320"/>
        </w:tabs>
        <w:ind w:left="4320" w:hanging="360"/>
      </w:pPr>
    </w:lvl>
    <w:lvl w:ilvl="6" w:tplc="6B749DA0" w:tentative="1">
      <w:start w:val="1"/>
      <w:numFmt w:val="decimal"/>
      <w:lvlText w:val="%7."/>
      <w:lvlJc w:val="left"/>
      <w:pPr>
        <w:tabs>
          <w:tab w:val="num" w:pos="5040"/>
        </w:tabs>
        <w:ind w:left="5040" w:hanging="360"/>
      </w:pPr>
    </w:lvl>
    <w:lvl w:ilvl="7" w:tplc="9996891E" w:tentative="1">
      <w:start w:val="1"/>
      <w:numFmt w:val="decimal"/>
      <w:lvlText w:val="%8."/>
      <w:lvlJc w:val="left"/>
      <w:pPr>
        <w:tabs>
          <w:tab w:val="num" w:pos="5760"/>
        </w:tabs>
        <w:ind w:left="5760" w:hanging="360"/>
      </w:pPr>
    </w:lvl>
    <w:lvl w:ilvl="8" w:tplc="A3A0AC2E" w:tentative="1">
      <w:start w:val="1"/>
      <w:numFmt w:val="decimal"/>
      <w:lvlText w:val="%9."/>
      <w:lvlJc w:val="left"/>
      <w:pPr>
        <w:tabs>
          <w:tab w:val="num" w:pos="6480"/>
        </w:tabs>
        <w:ind w:left="6480" w:hanging="360"/>
      </w:pPr>
    </w:lvl>
  </w:abstractNum>
  <w:abstractNum w:abstractNumId="13">
    <w:nsid w:val="41146416"/>
    <w:multiLevelType w:val="hybridMultilevel"/>
    <w:tmpl w:val="C0E244A4"/>
    <w:lvl w:ilvl="0" w:tplc="4B42B6A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2655E33"/>
    <w:multiLevelType w:val="hybridMultilevel"/>
    <w:tmpl w:val="4FC25006"/>
    <w:lvl w:ilvl="0" w:tplc="04090017">
      <w:start w:val="1"/>
      <w:numFmt w:val="lowerLetter"/>
      <w:lvlText w:val="%1)"/>
      <w:lvlJc w:val="left"/>
      <w:pPr>
        <w:tabs>
          <w:tab w:val="num" w:pos="720"/>
        </w:tabs>
        <w:ind w:left="720" w:hanging="360"/>
      </w:pPr>
    </w:lvl>
    <w:lvl w:ilvl="1" w:tplc="785E439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C896DFE"/>
    <w:multiLevelType w:val="hybridMultilevel"/>
    <w:tmpl w:val="D6B2094E"/>
    <w:lvl w:ilvl="0" w:tplc="43DA7368">
      <w:start w:val="1"/>
      <w:numFmt w:val="decimal"/>
      <w:lvlText w:val="%1."/>
      <w:lvlJc w:val="left"/>
      <w:pPr>
        <w:tabs>
          <w:tab w:val="num" w:pos="720"/>
        </w:tabs>
        <w:ind w:left="720" w:hanging="360"/>
      </w:pPr>
    </w:lvl>
    <w:lvl w:ilvl="1" w:tplc="F66E9F5A" w:tentative="1">
      <w:start w:val="1"/>
      <w:numFmt w:val="decimal"/>
      <w:lvlText w:val="%2."/>
      <w:lvlJc w:val="left"/>
      <w:pPr>
        <w:tabs>
          <w:tab w:val="num" w:pos="1440"/>
        </w:tabs>
        <w:ind w:left="1440" w:hanging="360"/>
      </w:pPr>
    </w:lvl>
    <w:lvl w:ilvl="2" w:tplc="D63C456E" w:tentative="1">
      <w:start w:val="1"/>
      <w:numFmt w:val="decimal"/>
      <w:lvlText w:val="%3."/>
      <w:lvlJc w:val="left"/>
      <w:pPr>
        <w:tabs>
          <w:tab w:val="num" w:pos="2160"/>
        </w:tabs>
        <w:ind w:left="2160" w:hanging="360"/>
      </w:pPr>
    </w:lvl>
    <w:lvl w:ilvl="3" w:tplc="136E9FDC" w:tentative="1">
      <w:start w:val="1"/>
      <w:numFmt w:val="decimal"/>
      <w:lvlText w:val="%4."/>
      <w:lvlJc w:val="left"/>
      <w:pPr>
        <w:tabs>
          <w:tab w:val="num" w:pos="2880"/>
        </w:tabs>
        <w:ind w:left="2880" w:hanging="360"/>
      </w:pPr>
    </w:lvl>
    <w:lvl w:ilvl="4" w:tplc="229657D8" w:tentative="1">
      <w:start w:val="1"/>
      <w:numFmt w:val="decimal"/>
      <w:lvlText w:val="%5."/>
      <w:lvlJc w:val="left"/>
      <w:pPr>
        <w:tabs>
          <w:tab w:val="num" w:pos="3600"/>
        </w:tabs>
        <w:ind w:left="3600" w:hanging="360"/>
      </w:pPr>
    </w:lvl>
    <w:lvl w:ilvl="5" w:tplc="4F143F9E" w:tentative="1">
      <w:start w:val="1"/>
      <w:numFmt w:val="decimal"/>
      <w:lvlText w:val="%6."/>
      <w:lvlJc w:val="left"/>
      <w:pPr>
        <w:tabs>
          <w:tab w:val="num" w:pos="4320"/>
        </w:tabs>
        <w:ind w:left="4320" w:hanging="360"/>
      </w:pPr>
    </w:lvl>
    <w:lvl w:ilvl="6" w:tplc="FD0AF2C0" w:tentative="1">
      <w:start w:val="1"/>
      <w:numFmt w:val="decimal"/>
      <w:lvlText w:val="%7."/>
      <w:lvlJc w:val="left"/>
      <w:pPr>
        <w:tabs>
          <w:tab w:val="num" w:pos="5040"/>
        </w:tabs>
        <w:ind w:left="5040" w:hanging="360"/>
      </w:pPr>
    </w:lvl>
    <w:lvl w:ilvl="7" w:tplc="498CD3FE" w:tentative="1">
      <w:start w:val="1"/>
      <w:numFmt w:val="decimal"/>
      <w:lvlText w:val="%8."/>
      <w:lvlJc w:val="left"/>
      <w:pPr>
        <w:tabs>
          <w:tab w:val="num" w:pos="5760"/>
        </w:tabs>
        <w:ind w:left="5760" w:hanging="360"/>
      </w:pPr>
    </w:lvl>
    <w:lvl w:ilvl="8" w:tplc="3AF43052" w:tentative="1">
      <w:start w:val="1"/>
      <w:numFmt w:val="decimal"/>
      <w:lvlText w:val="%9."/>
      <w:lvlJc w:val="left"/>
      <w:pPr>
        <w:tabs>
          <w:tab w:val="num" w:pos="6480"/>
        </w:tabs>
        <w:ind w:left="6480" w:hanging="360"/>
      </w:pPr>
    </w:lvl>
  </w:abstractNum>
  <w:abstractNum w:abstractNumId="16">
    <w:nsid w:val="502F5700"/>
    <w:multiLevelType w:val="hybridMultilevel"/>
    <w:tmpl w:val="DF6E3E86"/>
    <w:lvl w:ilvl="0" w:tplc="0A8633DC">
      <w:start w:val="1"/>
      <w:numFmt w:val="decimal"/>
      <w:lvlText w:val="%1."/>
      <w:lvlJc w:val="left"/>
      <w:pPr>
        <w:tabs>
          <w:tab w:val="num" w:pos="720"/>
        </w:tabs>
        <w:ind w:left="720" w:hanging="360"/>
      </w:pPr>
    </w:lvl>
    <w:lvl w:ilvl="1" w:tplc="0FBE2928" w:tentative="1">
      <w:start w:val="1"/>
      <w:numFmt w:val="decimal"/>
      <w:lvlText w:val="%2."/>
      <w:lvlJc w:val="left"/>
      <w:pPr>
        <w:tabs>
          <w:tab w:val="num" w:pos="1440"/>
        </w:tabs>
        <w:ind w:left="1440" w:hanging="360"/>
      </w:pPr>
    </w:lvl>
    <w:lvl w:ilvl="2" w:tplc="6248E3BA" w:tentative="1">
      <w:start w:val="1"/>
      <w:numFmt w:val="decimal"/>
      <w:lvlText w:val="%3."/>
      <w:lvlJc w:val="left"/>
      <w:pPr>
        <w:tabs>
          <w:tab w:val="num" w:pos="2160"/>
        </w:tabs>
        <w:ind w:left="2160" w:hanging="360"/>
      </w:pPr>
    </w:lvl>
    <w:lvl w:ilvl="3" w:tplc="FA58859C" w:tentative="1">
      <w:start w:val="1"/>
      <w:numFmt w:val="decimal"/>
      <w:lvlText w:val="%4."/>
      <w:lvlJc w:val="left"/>
      <w:pPr>
        <w:tabs>
          <w:tab w:val="num" w:pos="2880"/>
        </w:tabs>
        <w:ind w:left="2880" w:hanging="360"/>
      </w:pPr>
    </w:lvl>
    <w:lvl w:ilvl="4" w:tplc="158AC4E8" w:tentative="1">
      <w:start w:val="1"/>
      <w:numFmt w:val="decimal"/>
      <w:lvlText w:val="%5."/>
      <w:lvlJc w:val="left"/>
      <w:pPr>
        <w:tabs>
          <w:tab w:val="num" w:pos="3600"/>
        </w:tabs>
        <w:ind w:left="3600" w:hanging="360"/>
      </w:pPr>
    </w:lvl>
    <w:lvl w:ilvl="5" w:tplc="A5483A3C" w:tentative="1">
      <w:start w:val="1"/>
      <w:numFmt w:val="decimal"/>
      <w:lvlText w:val="%6."/>
      <w:lvlJc w:val="left"/>
      <w:pPr>
        <w:tabs>
          <w:tab w:val="num" w:pos="4320"/>
        </w:tabs>
        <w:ind w:left="4320" w:hanging="360"/>
      </w:pPr>
    </w:lvl>
    <w:lvl w:ilvl="6" w:tplc="96549024" w:tentative="1">
      <w:start w:val="1"/>
      <w:numFmt w:val="decimal"/>
      <w:lvlText w:val="%7."/>
      <w:lvlJc w:val="left"/>
      <w:pPr>
        <w:tabs>
          <w:tab w:val="num" w:pos="5040"/>
        </w:tabs>
        <w:ind w:left="5040" w:hanging="360"/>
      </w:pPr>
    </w:lvl>
    <w:lvl w:ilvl="7" w:tplc="1F205312" w:tentative="1">
      <w:start w:val="1"/>
      <w:numFmt w:val="decimal"/>
      <w:lvlText w:val="%8."/>
      <w:lvlJc w:val="left"/>
      <w:pPr>
        <w:tabs>
          <w:tab w:val="num" w:pos="5760"/>
        </w:tabs>
        <w:ind w:left="5760" w:hanging="360"/>
      </w:pPr>
    </w:lvl>
    <w:lvl w:ilvl="8" w:tplc="414C6BE6" w:tentative="1">
      <w:start w:val="1"/>
      <w:numFmt w:val="decimal"/>
      <w:lvlText w:val="%9."/>
      <w:lvlJc w:val="left"/>
      <w:pPr>
        <w:tabs>
          <w:tab w:val="num" w:pos="6480"/>
        </w:tabs>
        <w:ind w:left="6480" w:hanging="360"/>
      </w:pPr>
    </w:lvl>
  </w:abstractNum>
  <w:abstractNum w:abstractNumId="17">
    <w:nsid w:val="50882A4D"/>
    <w:multiLevelType w:val="multilevel"/>
    <w:tmpl w:val="A0601A5E"/>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52222400"/>
    <w:multiLevelType w:val="hybridMultilevel"/>
    <w:tmpl w:val="0B868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E244543"/>
    <w:multiLevelType w:val="hybridMultilevel"/>
    <w:tmpl w:val="A0601A5E"/>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FF03805"/>
    <w:multiLevelType w:val="hybridMultilevel"/>
    <w:tmpl w:val="3A2ADC66"/>
    <w:lvl w:ilvl="0" w:tplc="BAE44CB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7F209CA"/>
    <w:multiLevelType w:val="hybridMultilevel"/>
    <w:tmpl w:val="601C9C4C"/>
    <w:lvl w:ilvl="0" w:tplc="B2D2CF7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898699E"/>
    <w:multiLevelType w:val="hybridMultilevel"/>
    <w:tmpl w:val="5CD281E2"/>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DBB7A82"/>
    <w:multiLevelType w:val="multilevel"/>
    <w:tmpl w:val="5CD281E2"/>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77F5352E"/>
    <w:multiLevelType w:val="hybridMultilevel"/>
    <w:tmpl w:val="E8A22E08"/>
    <w:lvl w:ilvl="0" w:tplc="04090017">
      <w:start w:val="1"/>
      <w:numFmt w:val="lowerLetter"/>
      <w:lvlText w:val="%1)"/>
      <w:lvlJc w:val="left"/>
      <w:pPr>
        <w:tabs>
          <w:tab w:val="num" w:pos="630"/>
        </w:tabs>
        <w:ind w:left="630" w:hanging="360"/>
      </w:p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5">
    <w:nsid w:val="798110B0"/>
    <w:multiLevelType w:val="hybridMultilevel"/>
    <w:tmpl w:val="F68AA9D2"/>
    <w:lvl w:ilvl="0" w:tplc="E4B44C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1"/>
  </w:num>
  <w:num w:numId="2">
    <w:abstractNumId w:val="11"/>
    <w:lvlOverride w:ilvl="0">
      <w:lvl w:ilvl="0">
        <w:numFmt w:val="decimal"/>
        <w:lvlText w:val=""/>
        <w:lvlJc w:val="left"/>
      </w:lvl>
    </w:lvlOverride>
    <w:lvlOverride w:ilvl="1">
      <w:lvl w:ilvl="1">
        <w:numFmt w:val="decimal"/>
        <w:lvlText w:val="%2."/>
        <w:lvlJc w:val="left"/>
        <w:pPr>
          <w:tabs>
            <w:tab w:val="num" w:pos="1440"/>
          </w:tabs>
          <w:ind w:left="1440" w:hanging="360"/>
        </w:pPr>
      </w:lvl>
    </w:lvlOverride>
  </w:num>
  <w:num w:numId="3">
    <w:abstractNumId w:val="14"/>
  </w:num>
  <w:num w:numId="4">
    <w:abstractNumId w:val="20"/>
  </w:num>
  <w:num w:numId="5">
    <w:abstractNumId w:val="24"/>
  </w:num>
  <w:num w:numId="6">
    <w:abstractNumId w:val="7"/>
  </w:num>
  <w:num w:numId="7">
    <w:abstractNumId w:val="22"/>
  </w:num>
  <w:num w:numId="8">
    <w:abstractNumId w:val="23"/>
  </w:num>
  <w:num w:numId="9">
    <w:abstractNumId w:val="4"/>
  </w:num>
  <w:num w:numId="10">
    <w:abstractNumId w:val="19"/>
  </w:num>
  <w:num w:numId="11">
    <w:abstractNumId w:val="17"/>
  </w:num>
  <w:num w:numId="12">
    <w:abstractNumId w:val="1"/>
  </w:num>
  <w:num w:numId="13">
    <w:abstractNumId w:val="3"/>
  </w:num>
  <w:num w:numId="14">
    <w:abstractNumId w:val="6"/>
  </w:num>
  <w:num w:numId="15">
    <w:abstractNumId w:val="5"/>
  </w:num>
  <w:num w:numId="16">
    <w:abstractNumId w:val="9"/>
  </w:num>
  <w:num w:numId="17">
    <w:abstractNumId w:val="12"/>
  </w:num>
  <w:num w:numId="18">
    <w:abstractNumId w:val="16"/>
  </w:num>
  <w:num w:numId="19">
    <w:abstractNumId w:val="15"/>
  </w:num>
  <w:num w:numId="20">
    <w:abstractNumId w:val="25"/>
  </w:num>
  <w:num w:numId="21">
    <w:abstractNumId w:val="0"/>
  </w:num>
  <w:num w:numId="22">
    <w:abstractNumId w:val="18"/>
  </w:num>
  <w:num w:numId="23">
    <w:abstractNumId w:val="2"/>
  </w:num>
  <w:num w:numId="24">
    <w:abstractNumId w:val="8"/>
  </w:num>
  <w:num w:numId="25">
    <w:abstractNumId w:val="10"/>
  </w:num>
  <w:num w:numId="26">
    <w:abstractNumId w:val="13"/>
  </w:num>
  <w:num w:numId="27">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cVars>
    <w:docVar w:name="85TrailerDate" w:val="0"/>
    <w:docVar w:name="85TrailerDateField" w:val="0"/>
    <w:docVar w:name="85TrailerDraft" w:val="0"/>
    <w:docVar w:name="85TrailerFileNumber" w:val="0"/>
    <w:docVar w:name="85TrailerTime" w:val="0"/>
    <w:docVar w:name="85TrailerType" w:val="102"/>
    <w:docVar w:name="MPDocID" w:val="C:\Documents and Settings\hejazij\Desktop\ECO2305_Assignment1.doc"/>
    <w:docVar w:name="MPDocIDTemplateDefault" w:val="%l\ |%n|\%v"/>
    <w:docVar w:name="NewDocStampType" w:val="7"/>
  </w:docVars>
  <w:rsids>
    <w:rsidRoot w:val="00DB7538"/>
    <w:rsid w:val="0003199F"/>
    <w:rsid w:val="0003231C"/>
    <w:rsid w:val="000A5F71"/>
    <w:rsid w:val="000D5189"/>
    <w:rsid w:val="000D66D0"/>
    <w:rsid w:val="000E3423"/>
    <w:rsid w:val="000F2263"/>
    <w:rsid w:val="000F77F7"/>
    <w:rsid w:val="00103ACC"/>
    <w:rsid w:val="00125885"/>
    <w:rsid w:val="00133F16"/>
    <w:rsid w:val="00144358"/>
    <w:rsid w:val="00156CC3"/>
    <w:rsid w:val="00216C32"/>
    <w:rsid w:val="00295120"/>
    <w:rsid w:val="002E6603"/>
    <w:rsid w:val="002F7D40"/>
    <w:rsid w:val="00311216"/>
    <w:rsid w:val="0031219B"/>
    <w:rsid w:val="003207B5"/>
    <w:rsid w:val="003269EA"/>
    <w:rsid w:val="0036046B"/>
    <w:rsid w:val="00377094"/>
    <w:rsid w:val="00377927"/>
    <w:rsid w:val="00377FD4"/>
    <w:rsid w:val="003D522E"/>
    <w:rsid w:val="003D74CA"/>
    <w:rsid w:val="004130E2"/>
    <w:rsid w:val="00413777"/>
    <w:rsid w:val="00441727"/>
    <w:rsid w:val="00463D40"/>
    <w:rsid w:val="004657C2"/>
    <w:rsid w:val="004960DB"/>
    <w:rsid w:val="005156CF"/>
    <w:rsid w:val="005170A6"/>
    <w:rsid w:val="00527A19"/>
    <w:rsid w:val="005813A2"/>
    <w:rsid w:val="005C669B"/>
    <w:rsid w:val="005F5022"/>
    <w:rsid w:val="0061368A"/>
    <w:rsid w:val="00620D11"/>
    <w:rsid w:val="00625FCE"/>
    <w:rsid w:val="006462E4"/>
    <w:rsid w:val="006517B0"/>
    <w:rsid w:val="00652AB1"/>
    <w:rsid w:val="00656902"/>
    <w:rsid w:val="006609B8"/>
    <w:rsid w:val="006A0553"/>
    <w:rsid w:val="006A5556"/>
    <w:rsid w:val="00705B59"/>
    <w:rsid w:val="00722E1D"/>
    <w:rsid w:val="0073217F"/>
    <w:rsid w:val="00761D1C"/>
    <w:rsid w:val="007B48BA"/>
    <w:rsid w:val="007B556C"/>
    <w:rsid w:val="007E26CB"/>
    <w:rsid w:val="007F4E5E"/>
    <w:rsid w:val="008032BD"/>
    <w:rsid w:val="0081499F"/>
    <w:rsid w:val="00834685"/>
    <w:rsid w:val="00837725"/>
    <w:rsid w:val="008449B1"/>
    <w:rsid w:val="008860AE"/>
    <w:rsid w:val="008B731D"/>
    <w:rsid w:val="008D04C9"/>
    <w:rsid w:val="008D6ED7"/>
    <w:rsid w:val="00931A3B"/>
    <w:rsid w:val="00980378"/>
    <w:rsid w:val="009A3CC9"/>
    <w:rsid w:val="009E616A"/>
    <w:rsid w:val="00A00AA9"/>
    <w:rsid w:val="00A25058"/>
    <w:rsid w:val="00A34212"/>
    <w:rsid w:val="00A373C3"/>
    <w:rsid w:val="00A50B85"/>
    <w:rsid w:val="00A5281E"/>
    <w:rsid w:val="00AB20F9"/>
    <w:rsid w:val="00AE7C4D"/>
    <w:rsid w:val="00B235B8"/>
    <w:rsid w:val="00B446D0"/>
    <w:rsid w:val="00B45DC5"/>
    <w:rsid w:val="00B470CC"/>
    <w:rsid w:val="00BA34B1"/>
    <w:rsid w:val="00BE4818"/>
    <w:rsid w:val="00BF644F"/>
    <w:rsid w:val="00C46398"/>
    <w:rsid w:val="00C9024F"/>
    <w:rsid w:val="00CC1EB2"/>
    <w:rsid w:val="00CC5023"/>
    <w:rsid w:val="00CD0B25"/>
    <w:rsid w:val="00CD329F"/>
    <w:rsid w:val="00CE3383"/>
    <w:rsid w:val="00D32A34"/>
    <w:rsid w:val="00D50DED"/>
    <w:rsid w:val="00D81ED9"/>
    <w:rsid w:val="00D83690"/>
    <w:rsid w:val="00D93BB5"/>
    <w:rsid w:val="00DA3181"/>
    <w:rsid w:val="00DA4BC8"/>
    <w:rsid w:val="00DA68EE"/>
    <w:rsid w:val="00DB7538"/>
    <w:rsid w:val="00DC6B1C"/>
    <w:rsid w:val="00DF41FD"/>
    <w:rsid w:val="00E03E8F"/>
    <w:rsid w:val="00E419E0"/>
    <w:rsid w:val="00E6607B"/>
    <w:rsid w:val="00E8261E"/>
    <w:rsid w:val="00EA6C71"/>
    <w:rsid w:val="00EB2AC1"/>
    <w:rsid w:val="00F10E8E"/>
    <w:rsid w:val="00F304CC"/>
    <w:rsid w:val="00FF14F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Cite"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A5556"/>
    <w:pPr>
      <w:jc w:val="both"/>
    </w:pPr>
    <w:rPr>
      <w:sz w:val="24"/>
      <w:szCs w:val="24"/>
      <w:lang w:val="en-CA"/>
    </w:rPr>
  </w:style>
  <w:style w:type="paragraph" w:styleId="Heading1">
    <w:name w:val="heading 1"/>
    <w:basedOn w:val="BodyText"/>
    <w:qFormat/>
    <w:rsid w:val="006A5556"/>
    <w:pPr>
      <w:outlineLvl w:val="0"/>
    </w:pPr>
  </w:style>
  <w:style w:type="paragraph" w:styleId="Heading2">
    <w:name w:val="heading 2"/>
    <w:basedOn w:val="BodyText"/>
    <w:qFormat/>
    <w:rsid w:val="006A5556"/>
    <w:pPr>
      <w:outlineLvl w:val="1"/>
    </w:pPr>
  </w:style>
  <w:style w:type="paragraph" w:styleId="Heading3">
    <w:name w:val="heading 3"/>
    <w:basedOn w:val="BodyText"/>
    <w:qFormat/>
    <w:rsid w:val="006A5556"/>
    <w:pPr>
      <w:outlineLvl w:val="2"/>
    </w:pPr>
  </w:style>
  <w:style w:type="paragraph" w:styleId="Heading4">
    <w:name w:val="heading 4"/>
    <w:basedOn w:val="BodyText"/>
    <w:qFormat/>
    <w:rsid w:val="006A5556"/>
    <w:pPr>
      <w:outlineLvl w:val="3"/>
    </w:pPr>
  </w:style>
  <w:style w:type="paragraph" w:styleId="Heading5">
    <w:name w:val="heading 5"/>
    <w:basedOn w:val="BodyText"/>
    <w:qFormat/>
    <w:rsid w:val="006A5556"/>
    <w:pPr>
      <w:outlineLvl w:val="4"/>
    </w:pPr>
  </w:style>
  <w:style w:type="paragraph" w:styleId="Heading6">
    <w:name w:val="heading 6"/>
    <w:basedOn w:val="BodyText"/>
    <w:qFormat/>
    <w:rsid w:val="006A5556"/>
    <w:pPr>
      <w:tabs>
        <w:tab w:val="left" w:pos="2880"/>
      </w:tabs>
      <w:outlineLvl w:val="5"/>
    </w:pPr>
  </w:style>
  <w:style w:type="paragraph" w:styleId="Heading7">
    <w:name w:val="heading 7"/>
    <w:basedOn w:val="BodyText"/>
    <w:qFormat/>
    <w:rsid w:val="006A5556"/>
    <w:pPr>
      <w:outlineLvl w:val="6"/>
    </w:pPr>
  </w:style>
  <w:style w:type="paragraph" w:styleId="Heading8">
    <w:name w:val="heading 8"/>
    <w:basedOn w:val="BodyText"/>
    <w:qFormat/>
    <w:rsid w:val="006A5556"/>
    <w:pPr>
      <w:tabs>
        <w:tab w:val="left" w:pos="4320"/>
      </w:tabs>
      <w:outlineLvl w:val="7"/>
    </w:pPr>
  </w:style>
  <w:style w:type="paragraph" w:styleId="Heading9">
    <w:name w:val="heading 9"/>
    <w:basedOn w:val="BodyText"/>
    <w:qFormat/>
    <w:rsid w:val="006A555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A5556"/>
    <w:pPr>
      <w:widowControl w:val="0"/>
      <w:spacing w:after="240"/>
    </w:pPr>
  </w:style>
  <w:style w:type="paragraph" w:customStyle="1" w:styleId="BodyText05">
    <w:name w:val="BodyText 0.5"/>
    <w:basedOn w:val="BodyText"/>
    <w:rsid w:val="006A5556"/>
    <w:pPr>
      <w:ind w:firstLine="720"/>
    </w:pPr>
  </w:style>
  <w:style w:type="paragraph" w:customStyle="1" w:styleId="BodyText1">
    <w:name w:val="BodyText 1&quot;"/>
    <w:basedOn w:val="BodyText"/>
    <w:rsid w:val="006A5556"/>
    <w:pPr>
      <w:ind w:firstLine="1440"/>
    </w:pPr>
  </w:style>
  <w:style w:type="paragraph" w:customStyle="1" w:styleId="BodyTxt15spc">
    <w:name w:val="BodyTxt 1.5 spc"/>
    <w:basedOn w:val="Normal"/>
    <w:rsid w:val="006A5556"/>
    <w:pPr>
      <w:spacing w:line="360" w:lineRule="auto"/>
    </w:pPr>
  </w:style>
  <w:style w:type="paragraph" w:customStyle="1" w:styleId="BodyTxtdblspc">
    <w:name w:val="BodyTxt dbl spc"/>
    <w:basedOn w:val="Normal"/>
    <w:rsid w:val="006A5556"/>
    <w:pPr>
      <w:spacing w:line="480" w:lineRule="auto"/>
    </w:pPr>
  </w:style>
  <w:style w:type="character" w:styleId="EndnoteReference">
    <w:name w:val="endnote reference"/>
    <w:basedOn w:val="DefaultParagraphFont"/>
    <w:semiHidden/>
    <w:rsid w:val="006A5556"/>
    <w:rPr>
      <w:rFonts w:ascii="Times New Roman" w:hAnsi="Times New Roman"/>
      <w:color w:val="auto"/>
      <w:spacing w:val="0"/>
      <w:w w:val="100"/>
      <w:kern w:val="0"/>
      <w:position w:val="0"/>
      <w:sz w:val="24"/>
      <w:u w:val="none"/>
      <w:vertAlign w:val="superscript"/>
    </w:rPr>
  </w:style>
  <w:style w:type="paragraph" w:styleId="EndnoteText">
    <w:name w:val="endnote text"/>
    <w:basedOn w:val="Normal"/>
    <w:semiHidden/>
    <w:rsid w:val="006A5556"/>
    <w:rPr>
      <w:sz w:val="20"/>
    </w:rPr>
  </w:style>
  <w:style w:type="paragraph" w:customStyle="1" w:styleId="FlushRight">
    <w:name w:val="FlushRight"/>
    <w:next w:val="BodyText"/>
    <w:rsid w:val="006A5556"/>
    <w:pPr>
      <w:jc w:val="right"/>
    </w:pPr>
    <w:rPr>
      <w:sz w:val="24"/>
      <w:lang w:val="en-CA"/>
    </w:rPr>
  </w:style>
  <w:style w:type="paragraph" w:styleId="Footer">
    <w:name w:val="footer"/>
    <w:basedOn w:val="Normal"/>
    <w:rsid w:val="006A5556"/>
    <w:pPr>
      <w:tabs>
        <w:tab w:val="center" w:pos="4680"/>
        <w:tab w:val="right" w:pos="9360"/>
      </w:tabs>
    </w:pPr>
  </w:style>
  <w:style w:type="paragraph" w:styleId="Header">
    <w:name w:val="header"/>
    <w:basedOn w:val="Normal"/>
    <w:link w:val="HeaderChar"/>
    <w:rsid w:val="006A5556"/>
    <w:pPr>
      <w:tabs>
        <w:tab w:val="center" w:pos="4680"/>
        <w:tab w:val="right" w:pos="9360"/>
      </w:tabs>
    </w:pPr>
  </w:style>
  <w:style w:type="paragraph" w:customStyle="1" w:styleId="NoticeAddress">
    <w:name w:val="Notice Address"/>
    <w:basedOn w:val="Normal"/>
    <w:rsid w:val="006A5556"/>
    <w:pPr>
      <w:tabs>
        <w:tab w:val="left" w:pos="1440"/>
      </w:tabs>
      <w:ind w:left="2880" w:hanging="1440"/>
    </w:pPr>
  </w:style>
  <w:style w:type="character" w:styleId="PageNumber">
    <w:name w:val="page number"/>
    <w:basedOn w:val="DefaultParagraphFont"/>
    <w:rsid w:val="006A5556"/>
  </w:style>
  <w:style w:type="paragraph" w:customStyle="1" w:styleId="Parties">
    <w:name w:val="Parties"/>
    <w:basedOn w:val="BodyText"/>
    <w:next w:val="BodyText"/>
    <w:rsid w:val="006A5556"/>
    <w:pPr>
      <w:ind w:left="3600"/>
      <w:jc w:val="left"/>
    </w:pPr>
  </w:style>
  <w:style w:type="paragraph" w:styleId="Quote">
    <w:name w:val="Quote"/>
    <w:basedOn w:val="Normal"/>
    <w:next w:val="BodyTextContinued"/>
    <w:qFormat/>
    <w:rsid w:val="006A5556"/>
    <w:pPr>
      <w:spacing w:after="240"/>
      <w:ind w:left="1440" w:right="1440"/>
    </w:pPr>
    <w:rPr>
      <w:szCs w:val="20"/>
    </w:rPr>
  </w:style>
  <w:style w:type="paragraph" w:customStyle="1" w:styleId="RecipientAddress">
    <w:name w:val="Recipient Address"/>
    <w:basedOn w:val="BodyText"/>
    <w:next w:val="BodyText"/>
    <w:rsid w:val="006A5556"/>
    <w:pPr>
      <w:spacing w:after="0"/>
    </w:pPr>
  </w:style>
  <w:style w:type="paragraph" w:customStyle="1" w:styleId="Recital">
    <w:name w:val="Recital"/>
    <w:basedOn w:val="BodyText"/>
    <w:next w:val="BodyText"/>
    <w:rsid w:val="006A5556"/>
    <w:pPr>
      <w:keepNext/>
      <w:tabs>
        <w:tab w:val="left" w:pos="1440"/>
      </w:tabs>
    </w:pPr>
  </w:style>
  <w:style w:type="paragraph" w:customStyle="1" w:styleId="Schedule1">
    <w:name w:val="Schedule 1"/>
    <w:basedOn w:val="BodyText"/>
    <w:next w:val="BodyText"/>
    <w:rsid w:val="006A5556"/>
    <w:pPr>
      <w:jc w:val="center"/>
    </w:pPr>
    <w:rPr>
      <w:b/>
      <w:caps/>
    </w:rPr>
  </w:style>
  <w:style w:type="paragraph" w:customStyle="1" w:styleId="Schedule2">
    <w:name w:val="Schedule 2"/>
    <w:basedOn w:val="BodyText"/>
    <w:rsid w:val="006A5556"/>
    <w:pPr>
      <w:tabs>
        <w:tab w:val="left" w:pos="1440"/>
      </w:tabs>
    </w:pPr>
  </w:style>
  <w:style w:type="paragraph" w:customStyle="1" w:styleId="Schedule3">
    <w:name w:val="Schedule 3"/>
    <w:basedOn w:val="BodyText"/>
    <w:rsid w:val="006A5556"/>
  </w:style>
  <w:style w:type="paragraph" w:customStyle="1" w:styleId="Schedule4">
    <w:name w:val="Schedule 4"/>
    <w:basedOn w:val="BodyText"/>
    <w:rsid w:val="006A5556"/>
  </w:style>
  <w:style w:type="paragraph" w:customStyle="1" w:styleId="SubtitleCAPSLeft">
    <w:name w:val="Subtitle CAPS_Left"/>
    <w:basedOn w:val="BodyText"/>
    <w:rsid w:val="006A5556"/>
    <w:pPr>
      <w:keepNext/>
    </w:pPr>
    <w:rPr>
      <w:caps/>
    </w:rPr>
  </w:style>
  <w:style w:type="paragraph" w:customStyle="1" w:styleId="SubtitleULcaseLeft">
    <w:name w:val="Subtitle U&amp;L case Left"/>
    <w:basedOn w:val="BodyText"/>
    <w:next w:val="BodyText"/>
    <w:rsid w:val="006A5556"/>
    <w:pPr>
      <w:keepNext/>
      <w:jc w:val="left"/>
    </w:pPr>
    <w:rPr>
      <w:b/>
      <w:u w:val="single"/>
    </w:rPr>
  </w:style>
  <w:style w:type="paragraph" w:styleId="Title">
    <w:name w:val="Title"/>
    <w:basedOn w:val="Normal"/>
    <w:next w:val="BodyText"/>
    <w:qFormat/>
    <w:rsid w:val="006A5556"/>
    <w:pPr>
      <w:keepNext/>
      <w:widowControl w:val="0"/>
      <w:adjustRightInd w:val="0"/>
      <w:spacing w:after="360"/>
      <w:jc w:val="center"/>
      <w:outlineLvl w:val="0"/>
    </w:pPr>
    <w:rPr>
      <w:b/>
      <w:bCs/>
      <w:caps/>
      <w:szCs w:val="32"/>
    </w:rPr>
  </w:style>
  <w:style w:type="paragraph" w:customStyle="1" w:styleId="TitleBULeft">
    <w:name w:val="Title B_U_Left"/>
    <w:basedOn w:val="Normal"/>
    <w:next w:val="BodyText"/>
    <w:rsid w:val="006A5556"/>
    <w:pPr>
      <w:keepNext/>
      <w:widowControl w:val="0"/>
      <w:spacing w:after="240"/>
    </w:pPr>
    <w:rPr>
      <w:u w:val="single"/>
    </w:rPr>
  </w:style>
  <w:style w:type="paragraph" w:customStyle="1" w:styleId="TitleNoBoldCntr">
    <w:name w:val="Title NoBold Cntr"/>
    <w:basedOn w:val="BodyText"/>
    <w:next w:val="BodyText"/>
    <w:rsid w:val="006A5556"/>
    <w:pPr>
      <w:keepNext/>
      <w:jc w:val="center"/>
    </w:pPr>
    <w:rPr>
      <w:caps/>
    </w:rPr>
  </w:style>
  <w:style w:type="paragraph" w:customStyle="1" w:styleId="TitleCntrBoldUnd">
    <w:name w:val="TitleCntrBoldUnd"/>
    <w:basedOn w:val="Normal"/>
    <w:rsid w:val="006A5556"/>
    <w:pPr>
      <w:keepNext/>
      <w:spacing w:after="360"/>
      <w:jc w:val="center"/>
    </w:pPr>
    <w:rPr>
      <w:b/>
      <w:caps/>
      <w:u w:val="single"/>
    </w:rPr>
  </w:style>
  <w:style w:type="paragraph" w:customStyle="1" w:styleId="TitleLeftCaps">
    <w:name w:val="TitleLeftCaps"/>
    <w:basedOn w:val="Normal"/>
    <w:next w:val="BodyText"/>
    <w:rsid w:val="006A5556"/>
    <w:pPr>
      <w:keepNext/>
      <w:jc w:val="left"/>
    </w:pPr>
    <w:rPr>
      <w:b/>
      <w:caps/>
    </w:rPr>
  </w:style>
  <w:style w:type="paragraph" w:styleId="TOC1">
    <w:name w:val="toc 1"/>
    <w:basedOn w:val="BodyText"/>
    <w:next w:val="BodyText"/>
    <w:semiHidden/>
    <w:rsid w:val="006A5556"/>
    <w:pPr>
      <w:tabs>
        <w:tab w:val="center" w:pos="4680"/>
        <w:tab w:val="right" w:pos="9346"/>
      </w:tabs>
    </w:pPr>
    <w:rPr>
      <w:caps/>
    </w:rPr>
  </w:style>
  <w:style w:type="paragraph" w:styleId="TOC2">
    <w:name w:val="toc 2"/>
    <w:basedOn w:val="BodyText"/>
    <w:next w:val="BodyText"/>
    <w:semiHidden/>
    <w:rsid w:val="006A5556"/>
    <w:pPr>
      <w:tabs>
        <w:tab w:val="right" w:pos="259"/>
        <w:tab w:val="right" w:pos="9346"/>
      </w:tabs>
      <w:ind w:left="259"/>
    </w:pPr>
    <w:rPr>
      <w:smallCaps/>
    </w:rPr>
  </w:style>
  <w:style w:type="paragraph" w:customStyle="1" w:styleId="BodyTextContinued">
    <w:name w:val="Body Text Continued"/>
    <w:basedOn w:val="BodyText"/>
    <w:next w:val="BodyText"/>
    <w:rsid w:val="006A5556"/>
    <w:rPr>
      <w:szCs w:val="20"/>
    </w:rPr>
  </w:style>
  <w:style w:type="character" w:styleId="Strong">
    <w:name w:val="Strong"/>
    <w:basedOn w:val="DefaultParagraphFont"/>
    <w:qFormat/>
    <w:rsid w:val="006A5556"/>
    <w:rPr>
      <w:b/>
      <w:bCs/>
    </w:rPr>
  </w:style>
  <w:style w:type="character" w:customStyle="1" w:styleId="zzmpTrailerItem">
    <w:name w:val="zzmpTrailerItem"/>
    <w:basedOn w:val="DefaultParagraphFont"/>
    <w:rsid w:val="006A5556"/>
    <w:rPr>
      <w:rFonts w:ascii="Times New Roman" w:hAnsi="Times New Roman" w:cs="Times New Roman"/>
      <w:dstrike w:val="0"/>
      <w:noProof/>
      <w:color w:val="auto"/>
      <w:spacing w:val="0"/>
      <w:position w:val="0"/>
      <w:sz w:val="16"/>
      <w:szCs w:val="16"/>
      <w:u w:val="none"/>
      <w:effect w:val="none"/>
      <w:vertAlign w:val="baseline"/>
    </w:rPr>
  </w:style>
  <w:style w:type="character" w:customStyle="1" w:styleId="HeaderChar">
    <w:name w:val="Header Char"/>
    <w:basedOn w:val="DefaultParagraphFont"/>
    <w:link w:val="Header"/>
    <w:locked/>
    <w:rsid w:val="006A5556"/>
    <w:rPr>
      <w:sz w:val="24"/>
      <w:szCs w:val="24"/>
      <w:lang w:val="en-CA" w:eastAsia="en-US" w:bidi="ar-SA"/>
    </w:rPr>
  </w:style>
  <w:style w:type="character" w:styleId="Hyperlink">
    <w:name w:val="Hyperlink"/>
    <w:basedOn w:val="DefaultParagraphFont"/>
    <w:uiPriority w:val="99"/>
    <w:unhideWhenUsed/>
    <w:rsid w:val="005170A6"/>
    <w:rPr>
      <w:color w:val="0000FF"/>
      <w:u w:val="single"/>
    </w:rPr>
  </w:style>
  <w:style w:type="character" w:customStyle="1" w:styleId="snippet">
    <w:name w:val="snippet"/>
    <w:basedOn w:val="DefaultParagraphFont"/>
    <w:rsid w:val="00980378"/>
  </w:style>
  <w:style w:type="paragraph" w:styleId="ListParagraph">
    <w:name w:val="List Paragraph"/>
    <w:basedOn w:val="Normal"/>
    <w:uiPriority w:val="34"/>
    <w:qFormat/>
    <w:rsid w:val="009A3CC9"/>
    <w:pPr>
      <w:ind w:left="720"/>
      <w:contextualSpacing/>
    </w:pPr>
  </w:style>
  <w:style w:type="character" w:customStyle="1" w:styleId="mw-headline">
    <w:name w:val="mw-headline"/>
    <w:basedOn w:val="DefaultParagraphFont"/>
    <w:rsid w:val="00413777"/>
  </w:style>
  <w:style w:type="character" w:styleId="HTMLCite">
    <w:name w:val="HTML Cite"/>
    <w:basedOn w:val="DefaultParagraphFont"/>
    <w:uiPriority w:val="99"/>
    <w:unhideWhenUsed/>
    <w:rsid w:val="00D93BB5"/>
    <w:rPr>
      <w:i/>
      <w:iCs/>
    </w:rPr>
  </w:style>
</w:styles>
</file>

<file path=word/webSettings.xml><?xml version="1.0" encoding="utf-8"?>
<w:webSettings xmlns:r="http://schemas.openxmlformats.org/officeDocument/2006/relationships" xmlns:w="http://schemas.openxmlformats.org/wordprocessingml/2006/main">
  <w:divs>
    <w:div w:id="56903826">
      <w:bodyDiv w:val="1"/>
      <w:marLeft w:val="0"/>
      <w:marRight w:val="0"/>
      <w:marTop w:val="0"/>
      <w:marBottom w:val="0"/>
      <w:divBdr>
        <w:top w:val="none" w:sz="0" w:space="0" w:color="auto"/>
        <w:left w:val="none" w:sz="0" w:space="0" w:color="auto"/>
        <w:bottom w:val="none" w:sz="0" w:space="0" w:color="auto"/>
        <w:right w:val="none" w:sz="0" w:space="0" w:color="auto"/>
      </w:divBdr>
    </w:div>
    <w:div w:id="83377997">
      <w:bodyDiv w:val="1"/>
      <w:marLeft w:val="0"/>
      <w:marRight w:val="0"/>
      <w:marTop w:val="0"/>
      <w:marBottom w:val="0"/>
      <w:divBdr>
        <w:top w:val="none" w:sz="0" w:space="0" w:color="auto"/>
        <w:left w:val="none" w:sz="0" w:space="0" w:color="auto"/>
        <w:bottom w:val="none" w:sz="0" w:space="0" w:color="auto"/>
        <w:right w:val="none" w:sz="0" w:space="0" w:color="auto"/>
      </w:divBdr>
      <w:divsChild>
        <w:div w:id="136731401">
          <w:marLeft w:val="965"/>
          <w:marRight w:val="0"/>
          <w:marTop w:val="154"/>
          <w:marBottom w:val="0"/>
          <w:divBdr>
            <w:top w:val="none" w:sz="0" w:space="0" w:color="auto"/>
            <w:left w:val="none" w:sz="0" w:space="0" w:color="auto"/>
            <w:bottom w:val="none" w:sz="0" w:space="0" w:color="auto"/>
            <w:right w:val="none" w:sz="0" w:space="0" w:color="auto"/>
          </w:divBdr>
        </w:div>
      </w:divsChild>
    </w:div>
    <w:div w:id="356202269">
      <w:bodyDiv w:val="1"/>
      <w:marLeft w:val="0"/>
      <w:marRight w:val="0"/>
      <w:marTop w:val="0"/>
      <w:marBottom w:val="0"/>
      <w:divBdr>
        <w:top w:val="none" w:sz="0" w:space="0" w:color="auto"/>
        <w:left w:val="none" w:sz="0" w:space="0" w:color="auto"/>
        <w:bottom w:val="none" w:sz="0" w:space="0" w:color="auto"/>
        <w:right w:val="none" w:sz="0" w:space="0" w:color="auto"/>
      </w:divBdr>
      <w:divsChild>
        <w:div w:id="1977879256">
          <w:marLeft w:val="965"/>
          <w:marRight w:val="0"/>
          <w:marTop w:val="154"/>
          <w:marBottom w:val="0"/>
          <w:divBdr>
            <w:top w:val="none" w:sz="0" w:space="0" w:color="auto"/>
            <w:left w:val="none" w:sz="0" w:space="0" w:color="auto"/>
            <w:bottom w:val="none" w:sz="0" w:space="0" w:color="auto"/>
            <w:right w:val="none" w:sz="0" w:space="0" w:color="auto"/>
          </w:divBdr>
        </w:div>
      </w:divsChild>
    </w:div>
    <w:div w:id="388461156">
      <w:bodyDiv w:val="1"/>
      <w:marLeft w:val="0"/>
      <w:marRight w:val="0"/>
      <w:marTop w:val="0"/>
      <w:marBottom w:val="0"/>
      <w:divBdr>
        <w:top w:val="none" w:sz="0" w:space="0" w:color="auto"/>
        <w:left w:val="none" w:sz="0" w:space="0" w:color="auto"/>
        <w:bottom w:val="none" w:sz="0" w:space="0" w:color="auto"/>
        <w:right w:val="none" w:sz="0" w:space="0" w:color="auto"/>
      </w:divBdr>
    </w:div>
    <w:div w:id="413749373">
      <w:bodyDiv w:val="1"/>
      <w:marLeft w:val="0"/>
      <w:marRight w:val="0"/>
      <w:marTop w:val="0"/>
      <w:marBottom w:val="0"/>
      <w:divBdr>
        <w:top w:val="none" w:sz="0" w:space="0" w:color="auto"/>
        <w:left w:val="none" w:sz="0" w:space="0" w:color="auto"/>
        <w:bottom w:val="none" w:sz="0" w:space="0" w:color="auto"/>
        <w:right w:val="none" w:sz="0" w:space="0" w:color="auto"/>
      </w:divBdr>
      <w:divsChild>
        <w:div w:id="1389911290">
          <w:marLeft w:val="0"/>
          <w:marRight w:val="0"/>
          <w:marTop w:val="200"/>
          <w:marBottom w:val="0"/>
          <w:divBdr>
            <w:top w:val="none" w:sz="0" w:space="0" w:color="auto"/>
            <w:left w:val="none" w:sz="0" w:space="0" w:color="auto"/>
            <w:bottom w:val="none" w:sz="0" w:space="0" w:color="auto"/>
            <w:right w:val="none" w:sz="0" w:space="0" w:color="auto"/>
          </w:divBdr>
          <w:divsChild>
            <w:div w:id="803959768">
              <w:marLeft w:val="0"/>
              <w:marRight w:val="0"/>
              <w:marTop w:val="0"/>
              <w:marBottom w:val="0"/>
              <w:divBdr>
                <w:top w:val="none" w:sz="0" w:space="0" w:color="auto"/>
                <w:left w:val="none" w:sz="0" w:space="0" w:color="auto"/>
                <w:bottom w:val="none" w:sz="0" w:space="0" w:color="auto"/>
                <w:right w:val="none" w:sz="0" w:space="0" w:color="auto"/>
              </w:divBdr>
              <w:divsChild>
                <w:div w:id="1636713791">
                  <w:marLeft w:val="0"/>
                  <w:marRight w:val="0"/>
                  <w:marTop w:val="0"/>
                  <w:marBottom w:val="0"/>
                  <w:divBdr>
                    <w:top w:val="none" w:sz="0" w:space="0" w:color="auto"/>
                    <w:left w:val="none" w:sz="0" w:space="0" w:color="auto"/>
                    <w:bottom w:val="none" w:sz="0" w:space="0" w:color="auto"/>
                    <w:right w:val="none" w:sz="0" w:space="0" w:color="auto"/>
                  </w:divBdr>
                  <w:divsChild>
                    <w:div w:id="252932083">
                      <w:marLeft w:val="0"/>
                      <w:marRight w:val="0"/>
                      <w:marTop w:val="0"/>
                      <w:marBottom w:val="0"/>
                      <w:divBdr>
                        <w:top w:val="single" w:sz="24" w:space="0" w:color="666666"/>
                        <w:left w:val="single" w:sz="24" w:space="0" w:color="666666"/>
                        <w:bottom w:val="single" w:sz="24" w:space="0" w:color="666666"/>
                        <w:right w:val="single" w:sz="24" w:space="0" w:color="666666"/>
                      </w:divBdr>
                      <w:divsChild>
                        <w:div w:id="2119136551">
                          <w:marLeft w:val="0"/>
                          <w:marRight w:val="0"/>
                          <w:marTop w:val="0"/>
                          <w:marBottom w:val="0"/>
                          <w:divBdr>
                            <w:top w:val="none" w:sz="0" w:space="0" w:color="auto"/>
                            <w:left w:val="none" w:sz="0" w:space="0" w:color="auto"/>
                            <w:bottom w:val="none" w:sz="0" w:space="0" w:color="auto"/>
                            <w:right w:val="none" w:sz="0" w:space="0" w:color="auto"/>
                          </w:divBdr>
                          <w:divsChild>
                            <w:div w:id="851070728">
                              <w:marLeft w:val="0"/>
                              <w:marRight w:val="0"/>
                              <w:marTop w:val="0"/>
                              <w:marBottom w:val="0"/>
                              <w:divBdr>
                                <w:top w:val="none" w:sz="0" w:space="0" w:color="auto"/>
                                <w:left w:val="none" w:sz="0" w:space="0" w:color="auto"/>
                                <w:bottom w:val="none" w:sz="0" w:space="0" w:color="auto"/>
                                <w:right w:val="none" w:sz="0" w:space="0" w:color="auto"/>
                              </w:divBdr>
                              <w:divsChild>
                                <w:div w:id="1476490696">
                                  <w:marLeft w:val="360"/>
                                  <w:marRight w:val="0"/>
                                  <w:marTop w:val="0"/>
                                  <w:marBottom w:val="0"/>
                                  <w:divBdr>
                                    <w:top w:val="none" w:sz="0" w:space="0" w:color="auto"/>
                                    <w:left w:val="single" w:sz="18" w:space="20" w:color="CCCCCC"/>
                                    <w:bottom w:val="none" w:sz="0" w:space="0" w:color="auto"/>
                                    <w:right w:val="none" w:sz="0" w:space="0" w:color="auto"/>
                                  </w:divBdr>
                                  <w:divsChild>
                                    <w:div w:id="1629362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5096731">
      <w:bodyDiv w:val="1"/>
      <w:marLeft w:val="0"/>
      <w:marRight w:val="0"/>
      <w:marTop w:val="0"/>
      <w:marBottom w:val="0"/>
      <w:divBdr>
        <w:top w:val="none" w:sz="0" w:space="0" w:color="auto"/>
        <w:left w:val="none" w:sz="0" w:space="0" w:color="auto"/>
        <w:bottom w:val="none" w:sz="0" w:space="0" w:color="auto"/>
        <w:right w:val="none" w:sz="0" w:space="0" w:color="auto"/>
      </w:divBdr>
      <w:divsChild>
        <w:div w:id="1823767672">
          <w:marLeft w:val="0"/>
          <w:marRight w:val="0"/>
          <w:marTop w:val="150"/>
          <w:marBottom w:val="0"/>
          <w:divBdr>
            <w:top w:val="none" w:sz="0" w:space="0" w:color="auto"/>
            <w:left w:val="none" w:sz="0" w:space="0" w:color="auto"/>
            <w:bottom w:val="none" w:sz="0" w:space="0" w:color="auto"/>
            <w:right w:val="none" w:sz="0" w:space="0" w:color="auto"/>
          </w:divBdr>
          <w:divsChild>
            <w:div w:id="829565134">
              <w:marLeft w:val="0"/>
              <w:marRight w:val="0"/>
              <w:marTop w:val="0"/>
              <w:marBottom w:val="0"/>
              <w:divBdr>
                <w:top w:val="none" w:sz="0" w:space="0" w:color="auto"/>
                <w:left w:val="none" w:sz="0" w:space="0" w:color="auto"/>
                <w:bottom w:val="none" w:sz="0" w:space="0" w:color="auto"/>
                <w:right w:val="none" w:sz="0" w:space="0" w:color="auto"/>
              </w:divBdr>
              <w:divsChild>
                <w:div w:id="1263030579">
                  <w:marLeft w:val="0"/>
                  <w:marRight w:val="0"/>
                  <w:marTop w:val="0"/>
                  <w:marBottom w:val="0"/>
                  <w:divBdr>
                    <w:top w:val="none" w:sz="0" w:space="0" w:color="auto"/>
                    <w:left w:val="none" w:sz="0" w:space="0" w:color="auto"/>
                    <w:bottom w:val="none" w:sz="0" w:space="0" w:color="auto"/>
                    <w:right w:val="none" w:sz="0" w:space="0" w:color="auto"/>
                  </w:divBdr>
                  <w:divsChild>
                    <w:div w:id="1034112404">
                      <w:marLeft w:val="0"/>
                      <w:marRight w:val="0"/>
                      <w:marTop w:val="0"/>
                      <w:marBottom w:val="0"/>
                      <w:divBdr>
                        <w:top w:val="single" w:sz="18" w:space="0" w:color="666666"/>
                        <w:left w:val="single" w:sz="18" w:space="0" w:color="666666"/>
                        <w:bottom w:val="single" w:sz="18" w:space="0" w:color="666666"/>
                        <w:right w:val="single" w:sz="18" w:space="0" w:color="666666"/>
                      </w:divBdr>
                      <w:divsChild>
                        <w:div w:id="410397694">
                          <w:marLeft w:val="0"/>
                          <w:marRight w:val="0"/>
                          <w:marTop w:val="0"/>
                          <w:marBottom w:val="0"/>
                          <w:divBdr>
                            <w:top w:val="none" w:sz="0" w:space="0" w:color="auto"/>
                            <w:left w:val="none" w:sz="0" w:space="0" w:color="auto"/>
                            <w:bottom w:val="none" w:sz="0" w:space="0" w:color="auto"/>
                            <w:right w:val="none" w:sz="0" w:space="0" w:color="auto"/>
                          </w:divBdr>
                          <w:divsChild>
                            <w:div w:id="1529641890">
                              <w:marLeft w:val="0"/>
                              <w:marRight w:val="0"/>
                              <w:marTop w:val="0"/>
                              <w:marBottom w:val="0"/>
                              <w:divBdr>
                                <w:top w:val="none" w:sz="0" w:space="0" w:color="auto"/>
                                <w:left w:val="none" w:sz="0" w:space="0" w:color="auto"/>
                                <w:bottom w:val="none" w:sz="0" w:space="0" w:color="auto"/>
                                <w:right w:val="none" w:sz="0" w:space="0" w:color="auto"/>
                              </w:divBdr>
                              <w:divsChild>
                                <w:div w:id="1095787523">
                                  <w:marLeft w:val="270"/>
                                  <w:marRight w:val="0"/>
                                  <w:marTop w:val="0"/>
                                  <w:marBottom w:val="0"/>
                                  <w:divBdr>
                                    <w:top w:val="none" w:sz="0" w:space="0" w:color="auto"/>
                                    <w:left w:val="single" w:sz="12" w:space="15" w:color="CCCCCC"/>
                                    <w:bottom w:val="none" w:sz="0" w:space="0" w:color="auto"/>
                                    <w:right w:val="none" w:sz="0" w:space="0" w:color="auto"/>
                                  </w:divBdr>
                                  <w:divsChild>
                                    <w:div w:id="755513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1448241">
      <w:bodyDiv w:val="1"/>
      <w:marLeft w:val="0"/>
      <w:marRight w:val="0"/>
      <w:marTop w:val="0"/>
      <w:marBottom w:val="0"/>
      <w:divBdr>
        <w:top w:val="none" w:sz="0" w:space="0" w:color="auto"/>
        <w:left w:val="none" w:sz="0" w:space="0" w:color="auto"/>
        <w:bottom w:val="none" w:sz="0" w:space="0" w:color="auto"/>
        <w:right w:val="none" w:sz="0" w:space="0" w:color="auto"/>
      </w:divBdr>
    </w:div>
    <w:div w:id="1376464099">
      <w:bodyDiv w:val="1"/>
      <w:marLeft w:val="0"/>
      <w:marRight w:val="0"/>
      <w:marTop w:val="0"/>
      <w:marBottom w:val="0"/>
      <w:divBdr>
        <w:top w:val="none" w:sz="0" w:space="0" w:color="auto"/>
        <w:left w:val="none" w:sz="0" w:space="0" w:color="auto"/>
        <w:bottom w:val="none" w:sz="0" w:space="0" w:color="auto"/>
        <w:right w:val="none" w:sz="0" w:space="0" w:color="auto"/>
      </w:divBdr>
      <w:divsChild>
        <w:div w:id="594752541">
          <w:marLeft w:val="965"/>
          <w:marRight w:val="0"/>
          <w:marTop w:val="154"/>
          <w:marBottom w:val="0"/>
          <w:divBdr>
            <w:top w:val="none" w:sz="0" w:space="0" w:color="auto"/>
            <w:left w:val="none" w:sz="0" w:space="0" w:color="auto"/>
            <w:bottom w:val="none" w:sz="0" w:space="0" w:color="auto"/>
            <w:right w:val="none" w:sz="0" w:space="0" w:color="auto"/>
          </w:divBdr>
        </w:div>
      </w:divsChild>
    </w:div>
    <w:div w:id="1502356514">
      <w:bodyDiv w:val="1"/>
      <w:marLeft w:val="0"/>
      <w:marRight w:val="0"/>
      <w:marTop w:val="0"/>
      <w:marBottom w:val="0"/>
      <w:divBdr>
        <w:top w:val="none" w:sz="0" w:space="0" w:color="auto"/>
        <w:left w:val="none" w:sz="0" w:space="0" w:color="auto"/>
        <w:bottom w:val="none" w:sz="0" w:space="0" w:color="auto"/>
        <w:right w:val="none" w:sz="0" w:space="0" w:color="auto"/>
      </w:divBdr>
    </w:div>
    <w:div w:id="1639408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Second-hand_smoke" TargetMode="External"/><Relationship Id="rId13" Type="http://schemas.openxmlformats.org/officeDocument/2006/relationships/hyperlink" Target="http://www.cba.org/BC/Public_Media/main/legal_community.aspx"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ba.org/bc/Home/main/default.aspx" TargetMode="External"/><Relationship Id="rId17" Type="http://schemas.openxmlformats.org/officeDocument/2006/relationships/hyperlink" Target="http://www.flexstudy.com/catalog/schpdf.cfm?coursenum=96010" TargetMode="External"/><Relationship Id="rId2" Type="http://schemas.openxmlformats.org/officeDocument/2006/relationships/numbering" Target="numbering.xml"/><Relationship Id="rId16" Type="http://schemas.openxmlformats.org/officeDocument/2006/relationships/hyperlink" Target="http://www.montrealgazette.com/technology/Analysis+Apple+prevailed+over+Samsung+patent+case/7150197/story.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n.wikipedia.org/wiki/Chronic_obstructive_pulmonary_disease" TargetMode="External"/><Relationship Id="rId5" Type="http://schemas.openxmlformats.org/officeDocument/2006/relationships/webSettings" Target="webSettings.xml"/><Relationship Id="rId15" Type="http://schemas.openxmlformats.org/officeDocument/2006/relationships/hyperlink" Target="http://www.cbc.ca/news/canada/british-columbia/story/2011/01/19/contaminated-meat-halal-plant-pitt-meadows.html" TargetMode="External"/><Relationship Id="rId10" Type="http://schemas.openxmlformats.org/officeDocument/2006/relationships/hyperlink" Target="http://en.wikipedia.org/wiki/Cance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en.wikipedia.org/wiki/Heart_disease" TargetMode="External"/><Relationship Id="rId14" Type="http://schemas.openxmlformats.org/officeDocument/2006/relationships/hyperlink" Target="http://www.parl.gc.ca/Content/LOP/ResearchPublications/bp402-e.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ECB22C-823B-4811-B2FF-4336B28FB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TotalTime>
  <Pages>4</Pages>
  <Words>1415</Words>
  <Characters>8069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lpstr>
    </vt:vector>
  </TitlesOfParts>
  <Company>Gowlings</Company>
  <LinksUpToDate>false</LinksUpToDate>
  <CharactersWithSpaces>9466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hejazij</dc:creator>
  <cp:keywords/>
  <dc:description/>
  <cp:lastModifiedBy>k</cp:lastModifiedBy>
  <cp:revision>41</cp:revision>
  <dcterms:created xsi:type="dcterms:W3CDTF">2012-10-04T00:50:00Z</dcterms:created>
  <dcterms:modified xsi:type="dcterms:W3CDTF">2013-01-19T18:17:00Z</dcterms:modified>
</cp:coreProperties>
</file>