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4E" w:rsidRDefault="003848F8" w:rsidP="003848F8">
      <w:pPr>
        <w:pStyle w:val="NoSpacing"/>
        <w:rPr>
          <w:b/>
        </w:rPr>
      </w:pPr>
      <w:r>
        <w:tab/>
      </w:r>
      <w:r>
        <w:tab/>
      </w:r>
      <w:r>
        <w:tab/>
      </w:r>
      <w:r>
        <w:tab/>
      </w:r>
      <w:r w:rsidRPr="00560D6C">
        <w:rPr>
          <w:b/>
        </w:rPr>
        <w:t>ADM1340 MIDTERM REVIEW</w:t>
      </w:r>
    </w:p>
    <w:p w:rsidR="00560D6C" w:rsidRDefault="00560D6C" w:rsidP="003848F8">
      <w:pPr>
        <w:pStyle w:val="NoSpacing"/>
        <w:rPr>
          <w:b/>
          <w:i/>
        </w:rPr>
      </w:pPr>
      <w:r>
        <w:rPr>
          <w:b/>
          <w:i/>
        </w:rPr>
        <w:t>Chapter One</w:t>
      </w:r>
    </w:p>
    <w:p w:rsidR="00D35ADA" w:rsidRPr="00D35ADA" w:rsidRDefault="00D35ADA" w:rsidP="003848F8">
      <w:pPr>
        <w:pStyle w:val="NoSpacing"/>
        <w:rPr>
          <w:i/>
        </w:rPr>
      </w:pPr>
      <w:r>
        <w:rPr>
          <w:i/>
        </w:rPr>
        <w:t>See pages 27-30 in the textbook for all needed theory.</w:t>
      </w:r>
    </w:p>
    <w:p w:rsidR="003848F8" w:rsidRDefault="003848F8" w:rsidP="003848F8">
      <w:pPr>
        <w:pStyle w:val="NoSpacing"/>
        <w:rPr>
          <w:b/>
        </w:rPr>
      </w:pPr>
      <w:r>
        <w:rPr>
          <w:b/>
        </w:rPr>
        <w:t>Statements</w:t>
      </w:r>
    </w:p>
    <w:p w:rsidR="003848F8" w:rsidRDefault="003848F8" w:rsidP="003848F8">
      <w:pPr>
        <w:pStyle w:val="NoSpacing"/>
      </w:pPr>
      <w:r w:rsidRPr="00560D6C">
        <w:rPr>
          <w:i/>
        </w:rPr>
        <w:t>The Income Statement</w:t>
      </w:r>
      <w:r>
        <w:t>: Revenues-Expenses= Net Income (Net Loss)</w:t>
      </w:r>
    </w:p>
    <w:p w:rsidR="003848F8" w:rsidRDefault="003848F8" w:rsidP="003848F8">
      <w:pPr>
        <w:pStyle w:val="NoSpacing"/>
      </w:pPr>
      <w:r w:rsidRPr="00560D6C">
        <w:rPr>
          <w:i/>
        </w:rPr>
        <w:t>Statement of Retained Earnings</w:t>
      </w:r>
      <w:r>
        <w:t>: Beginning Retained Earnings+ Net income- Dividends= Ending RE</w:t>
      </w:r>
    </w:p>
    <w:p w:rsidR="003848F8" w:rsidRDefault="002F6F46" w:rsidP="003848F8">
      <w:pPr>
        <w:pStyle w:val="NoSpacing"/>
      </w:pPr>
      <w:r w:rsidRPr="00560D6C">
        <w:rPr>
          <w:i/>
        </w:rPr>
        <w:t>Balance Sheet</w:t>
      </w:r>
      <w:r>
        <w:t>: Assets = Liabilities + Owners’ Equity</w:t>
      </w:r>
    </w:p>
    <w:p w:rsidR="003848F8" w:rsidRDefault="003848F8" w:rsidP="00560D6C">
      <w:pPr>
        <w:pStyle w:val="NoSpacing"/>
      </w:pPr>
    </w:p>
    <w:p w:rsidR="00560D6C" w:rsidRDefault="00560D6C" w:rsidP="00560D6C">
      <w:pPr>
        <w:pStyle w:val="NoSpacing"/>
        <w:rPr>
          <w:b/>
        </w:rPr>
      </w:pPr>
      <w:r>
        <w:rPr>
          <w:b/>
        </w:rPr>
        <w:t>Assumptions</w:t>
      </w:r>
    </w:p>
    <w:p w:rsidR="00560D6C" w:rsidRDefault="00560D6C" w:rsidP="00560D6C">
      <w:pPr>
        <w:pStyle w:val="NoSpacing"/>
      </w:pPr>
      <w:r w:rsidRPr="00560D6C">
        <w:rPr>
          <w:i/>
        </w:rPr>
        <w:t>The En</w:t>
      </w:r>
      <w:r>
        <w:rPr>
          <w:i/>
        </w:rPr>
        <w:t>tity Assumption</w:t>
      </w:r>
      <w:r>
        <w:t>: An accounting entity is an organization that stands apart as a separate economic unit.</w:t>
      </w:r>
    </w:p>
    <w:p w:rsidR="00560D6C" w:rsidRDefault="00560D6C" w:rsidP="00560D6C">
      <w:pPr>
        <w:pStyle w:val="NoSpacing"/>
      </w:pPr>
      <w:r>
        <w:rPr>
          <w:i/>
        </w:rPr>
        <w:t xml:space="preserve">The Going-Concern Assumption: </w:t>
      </w:r>
      <w:r>
        <w:t>The entity will continue to operate in the foreseeable future.</w:t>
      </w:r>
    </w:p>
    <w:p w:rsidR="00560D6C" w:rsidRDefault="004021D6" w:rsidP="00560D6C">
      <w:pPr>
        <w:pStyle w:val="NoSpacing"/>
      </w:pPr>
      <w:r>
        <w:rPr>
          <w:i/>
        </w:rPr>
        <w:t xml:space="preserve">The Cost Assumption: </w:t>
      </w:r>
      <w:r>
        <w:t>Assets and services acquired should be recorded at their actual (historical) cost.</w:t>
      </w:r>
    </w:p>
    <w:p w:rsidR="004021D6" w:rsidRDefault="004021D6" w:rsidP="00560D6C">
      <w:pPr>
        <w:pStyle w:val="NoSpacing"/>
      </w:pPr>
      <w:r>
        <w:rPr>
          <w:i/>
        </w:rPr>
        <w:t>The Stable-Monetary-Unit Assumption</w:t>
      </w:r>
      <w:r>
        <w:t>: The dollar’s purchasing power is relatively stable.</w:t>
      </w:r>
    </w:p>
    <w:p w:rsidR="004021D6" w:rsidRDefault="004021D6" w:rsidP="00560D6C">
      <w:pPr>
        <w:pStyle w:val="NoSpacing"/>
      </w:pPr>
    </w:p>
    <w:p w:rsidR="007E2A17" w:rsidRPr="007E2A17" w:rsidRDefault="007E2A17" w:rsidP="00560D6C">
      <w:pPr>
        <w:pStyle w:val="NoSpacing"/>
        <w:rPr>
          <w:b/>
          <w:i/>
        </w:rPr>
      </w:pPr>
      <w:r>
        <w:rPr>
          <w:b/>
          <w:i/>
        </w:rPr>
        <w:t>Chapter 2</w:t>
      </w:r>
    </w:p>
    <w:p w:rsidR="004021D6" w:rsidRDefault="004021D6" w:rsidP="00560D6C">
      <w:pPr>
        <w:pStyle w:val="NoSpacing"/>
        <w:rPr>
          <w:b/>
        </w:rPr>
      </w:pPr>
      <w:r>
        <w:rPr>
          <w:b/>
        </w:rPr>
        <w:t>Normal Balances of the Accounts</w:t>
      </w:r>
    </w:p>
    <w:p w:rsidR="00227707" w:rsidRDefault="00227707" w:rsidP="00560D6C">
      <w:pPr>
        <w:pStyle w:val="NoSpacing"/>
        <w:rPr>
          <w:b/>
        </w:rPr>
      </w:pPr>
    </w:p>
    <w:p w:rsidR="004021D6" w:rsidRDefault="004021D6" w:rsidP="00560D6C">
      <w:pPr>
        <w:pStyle w:val="NoSpacing"/>
        <w:rPr>
          <w:b/>
        </w:rPr>
      </w:pPr>
      <w:r w:rsidRPr="004021D6">
        <w:rPr>
          <w:b/>
        </w:rPr>
        <w:drawing>
          <wp:inline distT="0" distB="0" distL="0" distR="0" wp14:anchorId="281DAC04" wp14:editId="155CE840">
            <wp:extent cx="3144356" cy="14925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7258" t="31828" r="6775" b="13763"/>
                    <a:stretch/>
                  </pic:blipFill>
                  <pic:spPr bwMode="auto">
                    <a:xfrm>
                      <a:off x="0" y="0"/>
                      <a:ext cx="3144629" cy="1492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A17" w:rsidRDefault="007E2A17" w:rsidP="00560D6C">
      <w:pPr>
        <w:pStyle w:val="NoSpacing"/>
      </w:pPr>
    </w:p>
    <w:p w:rsidR="007E2A17" w:rsidRDefault="007E2A17" w:rsidP="00560D6C">
      <w:pPr>
        <w:pStyle w:val="NoSpacing"/>
        <w:rPr>
          <w:b/>
          <w:i/>
        </w:rPr>
      </w:pPr>
      <w:r>
        <w:rPr>
          <w:b/>
          <w:i/>
        </w:rPr>
        <w:t>Chapter 3</w:t>
      </w:r>
    </w:p>
    <w:p w:rsidR="00D35ADA" w:rsidRPr="00D35ADA" w:rsidRDefault="00D35ADA" w:rsidP="00560D6C">
      <w:pPr>
        <w:pStyle w:val="NoSpacing"/>
        <w:rPr>
          <w:i/>
        </w:rPr>
      </w:pPr>
      <w:r>
        <w:rPr>
          <w:i/>
        </w:rPr>
        <w:t>See pages 118-122 in textbook for all needed theory and know accruals and deferrals.</w:t>
      </w:r>
    </w:p>
    <w:p w:rsidR="007E2A17" w:rsidRDefault="007E2A17" w:rsidP="00560D6C">
      <w:pPr>
        <w:pStyle w:val="NoSpacing"/>
        <w:rPr>
          <w:b/>
        </w:rPr>
      </w:pPr>
      <w:r>
        <w:rPr>
          <w:b/>
        </w:rPr>
        <w:t>Vocabulary</w:t>
      </w:r>
    </w:p>
    <w:p w:rsidR="007E2A17" w:rsidRDefault="007E2A17" w:rsidP="00560D6C">
      <w:pPr>
        <w:pStyle w:val="NoSpacing"/>
      </w:pPr>
      <w:r>
        <w:rPr>
          <w:i/>
        </w:rPr>
        <w:t xml:space="preserve">Accrual Accounting: </w:t>
      </w:r>
      <w:r>
        <w:t>recording cash transactions and noncash transactions (i.e. purchases on account).</w:t>
      </w:r>
    </w:p>
    <w:p w:rsidR="007E2A17" w:rsidRDefault="007E2A17" w:rsidP="00560D6C">
      <w:pPr>
        <w:pStyle w:val="NoSpacing"/>
      </w:pPr>
      <w:r>
        <w:rPr>
          <w:i/>
        </w:rPr>
        <w:t xml:space="preserve">Cash Basis Accounting: </w:t>
      </w:r>
      <w:r>
        <w:t>Revenue is recorded when case is received, expenses are recorded when incurred.</w:t>
      </w:r>
      <w:r w:rsidR="004272E4">
        <w:t xml:space="preserve"> Not GAAP.</w:t>
      </w:r>
    </w:p>
    <w:p w:rsidR="007E2A17" w:rsidRDefault="007E2A17" w:rsidP="00560D6C">
      <w:pPr>
        <w:pStyle w:val="NoSpacing"/>
      </w:pPr>
      <w:r>
        <w:rPr>
          <w:i/>
        </w:rPr>
        <w:t xml:space="preserve">Accrual Basis of Accounting: </w:t>
      </w:r>
      <w:r>
        <w:t>revenues are recorded when earned, expenses are recorded when incurred regardless of when cash is received or paid.</w:t>
      </w:r>
      <w:r w:rsidR="004272E4">
        <w:t xml:space="preserve"> </w:t>
      </w:r>
      <w:proofErr w:type="gramStart"/>
      <w:r w:rsidR="004272E4">
        <w:t>GAAP.</w:t>
      </w:r>
      <w:proofErr w:type="gramEnd"/>
    </w:p>
    <w:p w:rsidR="004272E4" w:rsidRDefault="004272E4" w:rsidP="00560D6C">
      <w:pPr>
        <w:pStyle w:val="NoSpacing"/>
      </w:pPr>
      <w:r>
        <w:rPr>
          <w:i/>
        </w:rPr>
        <w:t>The Time-Period Concept</w:t>
      </w:r>
      <w:r w:rsidR="00510714">
        <w:rPr>
          <w:i/>
        </w:rPr>
        <w:t xml:space="preserve">: </w:t>
      </w:r>
      <w:r w:rsidR="00510714">
        <w:t>Businesses need regular progress reports, so accountants prepare financial statements for specific periods and at regular intervals (i.e. monthly, quarterly, annually).</w:t>
      </w:r>
    </w:p>
    <w:p w:rsidR="008F05D3" w:rsidRPr="008F05D3" w:rsidRDefault="008F05D3" w:rsidP="008F05D3">
      <w:pPr>
        <w:pStyle w:val="NoSpacing"/>
      </w:pPr>
      <w:r>
        <w:rPr>
          <w:i/>
        </w:rPr>
        <w:t>Revenue Principle:</w:t>
      </w:r>
      <w:r>
        <w:t xml:space="preserve"> Governs when to record revenue and the amount of revenue to record.</w:t>
      </w:r>
    </w:p>
    <w:p w:rsidR="004272E4" w:rsidRDefault="006637CE" w:rsidP="00560D6C">
      <w:pPr>
        <w:pStyle w:val="NoSpacing"/>
      </w:pPr>
      <w:r>
        <w:rPr>
          <w:i/>
        </w:rPr>
        <w:t xml:space="preserve">Carrying Amount: </w:t>
      </w:r>
      <w:r>
        <w:t>The net amount of a capital asset (cost minus accumulated depreciation).</w:t>
      </w:r>
    </w:p>
    <w:p w:rsidR="006637CE" w:rsidRDefault="00485D52" w:rsidP="00560D6C">
      <w:pPr>
        <w:pStyle w:val="NoSpacing"/>
      </w:pPr>
      <w:proofErr w:type="gramStart"/>
      <w:r>
        <w:rPr>
          <w:i/>
        </w:rPr>
        <w:t xml:space="preserve">Accrued Revenue: </w:t>
      </w:r>
      <w:r w:rsidR="006637CE">
        <w:t>Revenue that has been earned but not received in cash.</w:t>
      </w:r>
      <w:proofErr w:type="gramEnd"/>
    </w:p>
    <w:p w:rsidR="006A5F9A" w:rsidRDefault="006A5F9A" w:rsidP="00560D6C">
      <w:pPr>
        <w:pStyle w:val="NoSpacing"/>
        <w:rPr>
          <w:i/>
        </w:rPr>
      </w:pPr>
    </w:p>
    <w:p w:rsidR="006A5F9A" w:rsidRDefault="00485D52" w:rsidP="00560D6C">
      <w:pPr>
        <w:pStyle w:val="NoSpacing"/>
        <w:rPr>
          <w:i/>
        </w:rPr>
      </w:pPr>
      <w:r w:rsidRPr="006A5F9A">
        <w:rPr>
          <w:b/>
        </w:rPr>
        <w:t>Closing the Books</w:t>
      </w:r>
    </w:p>
    <w:p w:rsidR="00485D52" w:rsidRDefault="006A5F9A" w:rsidP="00560D6C">
      <w:pPr>
        <w:pStyle w:val="NoSpacing"/>
      </w:pPr>
      <w:proofErr w:type="gramStart"/>
      <w:r>
        <w:t>Closing the Books means p</w:t>
      </w:r>
      <w:r w:rsidR="006D7316">
        <w:t>reparing the accounts for the next period’s transactions.</w:t>
      </w:r>
      <w:proofErr w:type="gramEnd"/>
      <w:r w:rsidR="006D7316">
        <w:t xml:space="preserve"> Temporary accounts (revenue, expense, and dividends) are closed at the end of the accounting period. </w:t>
      </w:r>
      <w:r>
        <w:t xml:space="preserve">Permanent accounts (assets, liabilities, and shareholders’ equity) are not closed at the end of the period because their balances are not used to measure income. </w:t>
      </w:r>
    </w:p>
    <w:p w:rsidR="006A5F9A" w:rsidRDefault="006A5F9A" w:rsidP="00560D6C">
      <w:pPr>
        <w:pStyle w:val="NoSpacing"/>
      </w:pPr>
      <w:r>
        <w:rPr>
          <w:i/>
        </w:rPr>
        <w:t xml:space="preserve">Closing entries </w:t>
      </w:r>
      <w:r>
        <w:t>transfer the revenue, expense, and dividends balances to retained earnings.</w:t>
      </w:r>
    </w:p>
    <w:p w:rsidR="00232DB8" w:rsidRDefault="00232DB8" w:rsidP="00560D6C">
      <w:pPr>
        <w:pStyle w:val="NoSpacing"/>
      </w:pPr>
      <w:r>
        <w:lastRenderedPageBreak/>
        <w:t xml:space="preserve"> </w:t>
      </w:r>
    </w:p>
    <w:p w:rsidR="00232DB8" w:rsidRDefault="00232DB8" w:rsidP="00560D6C">
      <w:pPr>
        <w:pStyle w:val="NoSpacing"/>
      </w:pPr>
    </w:p>
    <w:p w:rsidR="00232DB8" w:rsidRDefault="00232DB8" w:rsidP="00560D6C">
      <w:pPr>
        <w:pStyle w:val="NoSpacing"/>
      </w:pPr>
      <w:r>
        <w:t>Journalizing the Closing Entries:</w:t>
      </w:r>
    </w:p>
    <w:p w:rsidR="00485D52" w:rsidRDefault="00232DB8" w:rsidP="00560D6C">
      <w:pPr>
        <w:pStyle w:val="NoSpacing"/>
      </w:pPr>
      <w:r w:rsidRPr="00232DB8">
        <w:drawing>
          <wp:inline distT="0" distB="0" distL="0" distR="0" wp14:anchorId="7EFAFFCE" wp14:editId="7E348542">
            <wp:extent cx="3256444" cy="1610524"/>
            <wp:effectExtent l="0" t="0" r="127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5484" t="22151" r="5484" b="19140"/>
                    <a:stretch/>
                  </pic:blipFill>
                  <pic:spPr bwMode="auto">
                    <a:xfrm>
                      <a:off x="0" y="0"/>
                      <a:ext cx="3256727" cy="1610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8F2" w:rsidRDefault="006718F2" w:rsidP="00560D6C">
      <w:pPr>
        <w:pStyle w:val="NoSpacing"/>
      </w:pPr>
      <w:r>
        <w:t>Posting the Closing Entries</w:t>
      </w:r>
    </w:p>
    <w:p w:rsidR="006718F2" w:rsidRPr="006637CE" w:rsidRDefault="006718F2" w:rsidP="00560D6C">
      <w:pPr>
        <w:pStyle w:val="NoSpacing"/>
      </w:pPr>
      <w:r w:rsidRPr="006718F2">
        <w:drawing>
          <wp:inline distT="0" distB="0" distL="0" distR="0" wp14:anchorId="307C767B" wp14:editId="31DA2BFE">
            <wp:extent cx="3622204" cy="1940888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968" t="22365" r="-1" b="6881"/>
                    <a:stretch/>
                  </pic:blipFill>
                  <pic:spPr bwMode="auto">
                    <a:xfrm>
                      <a:off x="0" y="0"/>
                      <a:ext cx="3622519" cy="1941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72E4" w:rsidRDefault="004272E4" w:rsidP="00560D6C">
      <w:pPr>
        <w:pStyle w:val="NoSpacing"/>
      </w:pPr>
    </w:p>
    <w:p w:rsidR="006718F2" w:rsidRDefault="006718F2" w:rsidP="00560D6C">
      <w:pPr>
        <w:pStyle w:val="NoSpacing"/>
        <w:rPr>
          <w:b/>
        </w:rPr>
      </w:pPr>
      <w:r>
        <w:rPr>
          <w:b/>
        </w:rPr>
        <w:t>Ratios</w:t>
      </w:r>
    </w:p>
    <w:p w:rsidR="006718F2" w:rsidRDefault="006718F2" w:rsidP="00560D6C">
      <w:pPr>
        <w:pStyle w:val="NoSpacing"/>
      </w:pPr>
      <w:r>
        <w:t xml:space="preserve">The </w:t>
      </w:r>
      <w:r>
        <w:rPr>
          <w:i/>
        </w:rPr>
        <w:t xml:space="preserve">Current Ratio </w:t>
      </w:r>
      <w:r>
        <w:t>measures the company’s ability to pay current liabilities with current assets.</w:t>
      </w:r>
    </w:p>
    <w:p w:rsidR="006718F2" w:rsidRPr="00446592" w:rsidRDefault="006718F2" w:rsidP="00560D6C">
      <w:pPr>
        <w:pStyle w:val="NoSpacing"/>
        <w:rPr>
          <w:color w:val="CC00CC"/>
        </w:rPr>
      </w:pPr>
      <w:r w:rsidRPr="00446592">
        <w:rPr>
          <w:color w:val="CC00CC"/>
        </w:rPr>
        <w:t>Current Ratio= Total current assets / Total current liabilities</w:t>
      </w:r>
    </w:p>
    <w:p w:rsidR="00A17054" w:rsidRDefault="00A17054" w:rsidP="00560D6C">
      <w:pPr>
        <w:pStyle w:val="NoSpacing"/>
      </w:pPr>
    </w:p>
    <w:p w:rsidR="00A17054" w:rsidRDefault="00A17054" w:rsidP="00560D6C">
      <w:pPr>
        <w:pStyle w:val="NoSpacing"/>
      </w:pPr>
      <w:r>
        <w:t xml:space="preserve">The </w:t>
      </w:r>
      <w:r>
        <w:rPr>
          <w:i/>
        </w:rPr>
        <w:t xml:space="preserve">Debt Ratio </w:t>
      </w:r>
      <w:r>
        <w:t>indicates the propor</w:t>
      </w:r>
      <w:r w:rsidR="00964877">
        <w:t>tion of assets that is financed</w:t>
      </w:r>
      <w:r>
        <w:t xml:space="preserve"> with debt.</w:t>
      </w:r>
    </w:p>
    <w:p w:rsidR="006718F2" w:rsidRPr="00446592" w:rsidRDefault="00A17054" w:rsidP="00560D6C">
      <w:pPr>
        <w:pStyle w:val="NoSpacing"/>
        <w:rPr>
          <w:color w:val="CC00CC"/>
        </w:rPr>
      </w:pPr>
      <w:r w:rsidRPr="00446592">
        <w:rPr>
          <w:color w:val="CC00CC"/>
        </w:rPr>
        <w:t>Debt ratio= To</w:t>
      </w:r>
      <w:r w:rsidR="00964877" w:rsidRPr="00446592">
        <w:rPr>
          <w:color w:val="CC00CC"/>
        </w:rPr>
        <w:t>tal liabilities / Total assets</w:t>
      </w:r>
    </w:p>
    <w:p w:rsidR="00181EE8" w:rsidRDefault="00964877" w:rsidP="00560D6C">
      <w:pPr>
        <w:pStyle w:val="NoSpacing"/>
      </w:pPr>
      <w:r>
        <w:t>This ratio measures a business’s ability to pay total liabilities.</w:t>
      </w:r>
    </w:p>
    <w:p w:rsidR="00181EE8" w:rsidRDefault="00181EE8" w:rsidP="00560D6C">
      <w:pPr>
        <w:pStyle w:val="NoSpacing"/>
      </w:pPr>
    </w:p>
    <w:p w:rsidR="00181EE8" w:rsidRDefault="00181EE8" w:rsidP="00560D6C">
      <w:pPr>
        <w:pStyle w:val="NoSpacing"/>
        <w:rPr>
          <w:b/>
          <w:i/>
        </w:rPr>
      </w:pPr>
      <w:r>
        <w:rPr>
          <w:b/>
          <w:i/>
        </w:rPr>
        <w:t>Chapter 4</w:t>
      </w:r>
    </w:p>
    <w:p w:rsidR="00181EE8" w:rsidRDefault="00181EE8" w:rsidP="00560D6C">
      <w:pPr>
        <w:pStyle w:val="NoSpacing"/>
        <w:rPr>
          <w:b/>
        </w:rPr>
      </w:pPr>
      <w:r>
        <w:rPr>
          <w:b/>
        </w:rPr>
        <w:t>Internal Control</w:t>
      </w:r>
    </w:p>
    <w:p w:rsidR="00181EE8" w:rsidRDefault="00181EE8" w:rsidP="00560D6C">
      <w:pPr>
        <w:pStyle w:val="NoSpacing"/>
      </w:pPr>
      <w:r>
        <w:t>A plan of organization and system procedures designed, implemented and maintained by company management and board of directors to deal with risks relating to: reliability of financial records and reporting, ability to operate effectively and efficiently, and compliance with legal requirements.</w:t>
      </w:r>
    </w:p>
    <w:p w:rsidR="0051288D" w:rsidRDefault="0051288D" w:rsidP="00560D6C">
      <w:pPr>
        <w:pStyle w:val="NoSpacing"/>
      </w:pPr>
      <w:r>
        <w:t>There are five components to internal control:</w:t>
      </w:r>
    </w:p>
    <w:p w:rsidR="00964877" w:rsidRDefault="0051288D" w:rsidP="0051288D">
      <w:pPr>
        <w:pStyle w:val="NoSpacing"/>
        <w:numPr>
          <w:ilvl w:val="0"/>
          <w:numId w:val="2"/>
        </w:numPr>
      </w:pPr>
      <w:r>
        <w:t>Control environment</w:t>
      </w:r>
    </w:p>
    <w:p w:rsidR="0051288D" w:rsidRDefault="0051288D" w:rsidP="0051288D">
      <w:pPr>
        <w:pStyle w:val="NoSpacing"/>
        <w:numPr>
          <w:ilvl w:val="0"/>
          <w:numId w:val="2"/>
        </w:numPr>
      </w:pPr>
      <w:r>
        <w:t>Monitoring of controls</w:t>
      </w:r>
    </w:p>
    <w:p w:rsidR="0051288D" w:rsidRDefault="0051288D" w:rsidP="0051288D">
      <w:pPr>
        <w:pStyle w:val="NoSpacing"/>
        <w:numPr>
          <w:ilvl w:val="0"/>
          <w:numId w:val="2"/>
        </w:numPr>
      </w:pPr>
      <w:r>
        <w:t>Risk assessment</w:t>
      </w:r>
    </w:p>
    <w:p w:rsidR="0051288D" w:rsidRDefault="0051288D" w:rsidP="0051288D">
      <w:pPr>
        <w:pStyle w:val="NoSpacing"/>
        <w:numPr>
          <w:ilvl w:val="0"/>
          <w:numId w:val="2"/>
        </w:numPr>
      </w:pPr>
      <w:r>
        <w:t>Information system</w:t>
      </w:r>
    </w:p>
    <w:p w:rsidR="0051288D" w:rsidRDefault="0051288D" w:rsidP="0051288D">
      <w:pPr>
        <w:pStyle w:val="NoSpacing"/>
        <w:numPr>
          <w:ilvl w:val="0"/>
          <w:numId w:val="2"/>
        </w:numPr>
      </w:pPr>
      <w:r>
        <w:t>Control procedures</w:t>
      </w:r>
    </w:p>
    <w:p w:rsidR="0051288D" w:rsidRDefault="0051288D" w:rsidP="0051288D">
      <w:pPr>
        <w:pStyle w:val="NoSpacing"/>
      </w:pPr>
      <w:r>
        <w:t>Internal control Procedures:</w:t>
      </w:r>
    </w:p>
    <w:p w:rsidR="0051288D" w:rsidRDefault="0051288D" w:rsidP="0051288D">
      <w:pPr>
        <w:pStyle w:val="NoSpacing"/>
        <w:numPr>
          <w:ilvl w:val="0"/>
          <w:numId w:val="3"/>
        </w:numPr>
      </w:pPr>
      <w:r>
        <w:t>Smart hiring practices and separation of duties</w:t>
      </w:r>
    </w:p>
    <w:p w:rsidR="0051288D" w:rsidRDefault="0051288D" w:rsidP="0051288D">
      <w:pPr>
        <w:pStyle w:val="NoSpacing"/>
        <w:numPr>
          <w:ilvl w:val="1"/>
          <w:numId w:val="3"/>
        </w:numPr>
      </w:pPr>
      <w:r>
        <w:t>Background checks, proper training, responsibilities clearly laid out.</w:t>
      </w:r>
    </w:p>
    <w:p w:rsidR="0051288D" w:rsidRDefault="0051288D" w:rsidP="0051288D">
      <w:pPr>
        <w:pStyle w:val="NoSpacing"/>
        <w:numPr>
          <w:ilvl w:val="0"/>
          <w:numId w:val="3"/>
        </w:numPr>
      </w:pPr>
      <w:r>
        <w:lastRenderedPageBreak/>
        <w:t>Comparisons and Compliance monitoring</w:t>
      </w:r>
    </w:p>
    <w:p w:rsidR="00B402FF" w:rsidRDefault="00B402FF" w:rsidP="00B402FF">
      <w:pPr>
        <w:pStyle w:val="NoSpacing"/>
        <w:numPr>
          <w:ilvl w:val="1"/>
          <w:numId w:val="3"/>
        </w:numPr>
      </w:pPr>
      <w:r>
        <w:t>Auditing.</w:t>
      </w:r>
    </w:p>
    <w:p w:rsidR="0051288D" w:rsidRDefault="0051288D" w:rsidP="0051288D">
      <w:pPr>
        <w:pStyle w:val="NoSpacing"/>
        <w:numPr>
          <w:ilvl w:val="0"/>
          <w:numId w:val="3"/>
        </w:numPr>
      </w:pPr>
      <w:r>
        <w:t>Adequate records</w:t>
      </w:r>
    </w:p>
    <w:p w:rsidR="00B402FF" w:rsidRDefault="00B402FF" w:rsidP="00B402FF">
      <w:pPr>
        <w:pStyle w:val="NoSpacing"/>
        <w:numPr>
          <w:ilvl w:val="1"/>
          <w:numId w:val="3"/>
        </w:numPr>
      </w:pPr>
      <w:r>
        <w:t>All major groups of transactions should be supported by hardcopy or virtual records.</w:t>
      </w:r>
    </w:p>
    <w:p w:rsidR="0051288D" w:rsidRDefault="0051288D" w:rsidP="0051288D">
      <w:pPr>
        <w:pStyle w:val="NoSpacing"/>
        <w:numPr>
          <w:ilvl w:val="0"/>
          <w:numId w:val="3"/>
        </w:numPr>
      </w:pPr>
      <w:r>
        <w:t>Limited access</w:t>
      </w:r>
    </w:p>
    <w:p w:rsidR="00B402FF" w:rsidRDefault="00B402FF" w:rsidP="00B402FF">
      <w:pPr>
        <w:pStyle w:val="NoSpacing"/>
        <w:numPr>
          <w:ilvl w:val="1"/>
          <w:numId w:val="3"/>
        </w:numPr>
      </w:pPr>
      <w:r>
        <w:t>Limit access to assets only to those persons or departments that have custodial responsibilities.</w:t>
      </w:r>
    </w:p>
    <w:p w:rsidR="0051288D" w:rsidRDefault="0051288D" w:rsidP="0051288D">
      <w:pPr>
        <w:pStyle w:val="NoSpacing"/>
        <w:numPr>
          <w:ilvl w:val="0"/>
          <w:numId w:val="3"/>
        </w:numPr>
      </w:pPr>
      <w:r>
        <w:t>Proper approvals</w:t>
      </w:r>
    </w:p>
    <w:p w:rsidR="005A280F" w:rsidRDefault="005A280F" w:rsidP="005A280F">
      <w:pPr>
        <w:pStyle w:val="NoSpacing"/>
        <w:numPr>
          <w:ilvl w:val="1"/>
          <w:numId w:val="3"/>
        </w:numPr>
      </w:pPr>
      <w:r>
        <w:t>No transaction should be processed w/o management approval.</w:t>
      </w:r>
    </w:p>
    <w:p w:rsidR="0051288D" w:rsidRDefault="0051288D" w:rsidP="0051288D">
      <w:pPr>
        <w:pStyle w:val="NoSpacing"/>
        <w:numPr>
          <w:ilvl w:val="0"/>
          <w:numId w:val="3"/>
        </w:numPr>
      </w:pPr>
      <w:r>
        <w:t>Information technology</w:t>
      </w:r>
    </w:p>
    <w:p w:rsidR="005A280F" w:rsidRDefault="005A280F" w:rsidP="005A280F">
      <w:pPr>
        <w:pStyle w:val="NoSpacing"/>
        <w:numPr>
          <w:ilvl w:val="1"/>
          <w:numId w:val="3"/>
        </w:numPr>
      </w:pPr>
      <w:r>
        <w:t>The basic attributes of internal control of IT does not change but the implementation procedures do.</w:t>
      </w:r>
    </w:p>
    <w:p w:rsidR="0051288D" w:rsidRDefault="005A280F" w:rsidP="0051288D">
      <w:pPr>
        <w:pStyle w:val="NoSpacing"/>
        <w:numPr>
          <w:ilvl w:val="0"/>
          <w:numId w:val="3"/>
        </w:numPr>
      </w:pPr>
      <w:r>
        <w:t>Safeguard controls</w:t>
      </w:r>
    </w:p>
    <w:p w:rsidR="005A280F" w:rsidRDefault="005A280F" w:rsidP="005A280F">
      <w:pPr>
        <w:pStyle w:val="NoSpacing"/>
        <w:numPr>
          <w:ilvl w:val="1"/>
          <w:numId w:val="3"/>
        </w:numPr>
      </w:pPr>
      <w:r>
        <w:t>Burglar alarms, security cameras, job rotation, fireproof vaults (BADASS)…</w:t>
      </w:r>
    </w:p>
    <w:p w:rsidR="00900EEE" w:rsidRDefault="00900EEE" w:rsidP="00900EEE">
      <w:pPr>
        <w:pStyle w:val="NoSpacing"/>
      </w:pPr>
    </w:p>
    <w:p w:rsidR="00900EEE" w:rsidRDefault="00900EEE" w:rsidP="00900EEE">
      <w:pPr>
        <w:pStyle w:val="NoSpacing"/>
        <w:rPr>
          <w:b/>
        </w:rPr>
      </w:pPr>
      <w:r>
        <w:rPr>
          <w:b/>
        </w:rPr>
        <w:t>Collusion</w:t>
      </w:r>
    </w:p>
    <w:p w:rsidR="00900EEE" w:rsidRDefault="00900EEE" w:rsidP="00900EEE">
      <w:pPr>
        <w:pStyle w:val="NoSpacing"/>
      </w:pPr>
      <w:r>
        <w:tab/>
      </w:r>
      <w:proofErr w:type="gramStart"/>
      <w:r>
        <w:t>The act of two or more employees working together to defraud a firm.</w:t>
      </w:r>
      <w:proofErr w:type="gramEnd"/>
    </w:p>
    <w:p w:rsidR="00402CA4" w:rsidRDefault="00402CA4" w:rsidP="00900EEE">
      <w:pPr>
        <w:pStyle w:val="NoSpacing"/>
      </w:pPr>
    </w:p>
    <w:p w:rsidR="00402CA4" w:rsidRDefault="00402CA4" w:rsidP="00900EEE">
      <w:pPr>
        <w:pStyle w:val="NoSpacing"/>
        <w:rPr>
          <w:b/>
          <w:i/>
        </w:rPr>
      </w:pPr>
      <w:r>
        <w:rPr>
          <w:b/>
          <w:i/>
        </w:rPr>
        <w:t>Chapter 5</w:t>
      </w:r>
    </w:p>
    <w:p w:rsidR="00402CA4" w:rsidRDefault="00246B54" w:rsidP="00900EEE">
      <w:pPr>
        <w:pStyle w:val="NoSpacing"/>
      </w:pPr>
      <w:r>
        <w:rPr>
          <w:i/>
        </w:rPr>
        <w:t xml:space="preserve">Separation of duties: </w:t>
      </w:r>
      <w:r>
        <w:t>separation of cash-handling and cash-accounting duties.</w:t>
      </w:r>
    </w:p>
    <w:p w:rsidR="00246B54" w:rsidRDefault="00246B54" w:rsidP="00900EEE">
      <w:pPr>
        <w:pStyle w:val="NoSpacing"/>
      </w:pPr>
    </w:p>
    <w:p w:rsidR="00246B54" w:rsidRDefault="00246B54" w:rsidP="00900EEE">
      <w:pPr>
        <w:pStyle w:val="NoSpacing"/>
        <w:rPr>
          <w:b/>
        </w:rPr>
      </w:pPr>
      <w:r>
        <w:rPr>
          <w:b/>
        </w:rPr>
        <w:t>Accounting for Uncollectible Receivables</w:t>
      </w:r>
    </w:p>
    <w:p w:rsidR="00246B54" w:rsidRDefault="00246B54" w:rsidP="00246B54">
      <w:pPr>
        <w:pStyle w:val="NoSpacing"/>
      </w:pPr>
      <w:r>
        <w:t>1. Allowance Method: records collection losses on the basis of estimates, not waiting to see which customers will not pay. The Allowance for Uncollectible Accounts (Allowance for Doubtful Accounts) is a contra account to Accounts Receivable.</w:t>
      </w:r>
    </w:p>
    <w:p w:rsidR="00246B54" w:rsidRDefault="00246B54" w:rsidP="00246B54">
      <w:pPr>
        <w:pStyle w:val="NoSpacing"/>
      </w:pPr>
      <w:r>
        <w:t>Example of the Allowance Method:</w:t>
      </w:r>
    </w:p>
    <w:p w:rsidR="00246B54" w:rsidRPr="00246B54" w:rsidRDefault="00246B54" w:rsidP="00246B54">
      <w:pPr>
        <w:pStyle w:val="NoSpacing"/>
      </w:pPr>
      <w:r w:rsidRPr="00246B54">
        <w:drawing>
          <wp:inline distT="0" distB="0" distL="0" distR="0" wp14:anchorId="0D61999B" wp14:editId="744E8362">
            <wp:extent cx="3321337" cy="1309657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4516" t="32903" r="4678" b="19355"/>
                    <a:stretch/>
                  </pic:blipFill>
                  <pic:spPr bwMode="auto">
                    <a:xfrm>
                      <a:off x="0" y="0"/>
                      <a:ext cx="3321625" cy="1309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6B54" w:rsidRDefault="00246B54" w:rsidP="00900EEE">
      <w:pPr>
        <w:pStyle w:val="NoSpacing"/>
      </w:pPr>
      <w:r>
        <w:t xml:space="preserve">There are two methods for estimating </w:t>
      </w:r>
      <w:proofErr w:type="spellStart"/>
      <w:r>
        <w:t>uncollectibles</w:t>
      </w:r>
      <w:proofErr w:type="spellEnd"/>
      <w:r>
        <w:t xml:space="preserve">:  Percent-of-Sales and Aging-of-Accounts Receivable. Percent-of-Sales computes uncollectible-account expense as a percentage of revenue and is also called the </w:t>
      </w:r>
      <w:r>
        <w:rPr>
          <w:i/>
        </w:rPr>
        <w:t>income statement approach</w:t>
      </w:r>
      <w:r>
        <w:t xml:space="preserve">. </w:t>
      </w:r>
      <w:r w:rsidR="007727DB">
        <w:t xml:space="preserve">Aging-of-Accounts Receivables analyses individual receivables from specific customers based on how long they have been outstanding and is also called the </w:t>
      </w:r>
      <w:r w:rsidR="007727DB">
        <w:rPr>
          <w:i/>
        </w:rPr>
        <w:t xml:space="preserve">balance sheet approach.  </w:t>
      </w:r>
    </w:p>
    <w:p w:rsidR="007727DB" w:rsidRDefault="007727DB" w:rsidP="00900EEE">
      <w:pPr>
        <w:pStyle w:val="NoSpacing"/>
      </w:pPr>
    </w:p>
    <w:p w:rsidR="007727DB" w:rsidRDefault="007727DB" w:rsidP="00900EEE">
      <w:pPr>
        <w:pStyle w:val="NoSpacing"/>
        <w:rPr>
          <w:b/>
        </w:rPr>
      </w:pPr>
      <w:r>
        <w:rPr>
          <w:b/>
        </w:rPr>
        <w:t xml:space="preserve">Writing </w:t>
      </w:r>
      <w:proofErr w:type="gramStart"/>
      <w:r>
        <w:rPr>
          <w:b/>
        </w:rPr>
        <w:t>Off</w:t>
      </w:r>
      <w:proofErr w:type="gramEnd"/>
      <w:r>
        <w:rPr>
          <w:b/>
        </w:rPr>
        <w:t xml:space="preserve"> Uncollectible Accounts</w:t>
      </w:r>
    </w:p>
    <w:p w:rsidR="007727DB" w:rsidRDefault="007727DB" w:rsidP="00900EEE">
      <w:pPr>
        <w:pStyle w:val="NoSpacing"/>
        <w:rPr>
          <w:b/>
        </w:rPr>
      </w:pPr>
      <w:r w:rsidRPr="007727DB">
        <w:rPr>
          <w:b/>
        </w:rPr>
        <w:drawing>
          <wp:inline distT="0" distB="0" distL="0" distR="0" wp14:anchorId="3E9F3015" wp14:editId="7C04790E">
            <wp:extent cx="3303639" cy="949796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710" t="36990" r="5968" b="28387"/>
                    <a:stretch/>
                  </pic:blipFill>
                  <pic:spPr bwMode="auto">
                    <a:xfrm>
                      <a:off x="0" y="0"/>
                      <a:ext cx="3303926" cy="949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7DB" w:rsidRDefault="007727DB" w:rsidP="00900EEE">
      <w:pPr>
        <w:pStyle w:val="NoSpacing"/>
        <w:rPr>
          <w:b/>
        </w:rPr>
      </w:pPr>
    </w:p>
    <w:p w:rsidR="007727DB" w:rsidRDefault="007727DB" w:rsidP="00900EEE">
      <w:pPr>
        <w:pStyle w:val="NoSpacing"/>
        <w:rPr>
          <w:b/>
        </w:rPr>
      </w:pPr>
    </w:p>
    <w:p w:rsidR="007727DB" w:rsidRDefault="007727DB" w:rsidP="00900EEE">
      <w:pPr>
        <w:pStyle w:val="NoSpacing"/>
        <w:rPr>
          <w:b/>
        </w:rPr>
      </w:pPr>
    </w:p>
    <w:p w:rsidR="007727DB" w:rsidRDefault="007727DB" w:rsidP="00900EEE">
      <w:pPr>
        <w:pStyle w:val="NoSpacing"/>
        <w:rPr>
          <w:b/>
        </w:rPr>
      </w:pPr>
      <w:r>
        <w:rPr>
          <w:b/>
        </w:rPr>
        <w:t>Direct Write-Off Method</w:t>
      </w:r>
    </w:p>
    <w:p w:rsidR="007727DB" w:rsidRDefault="007727DB" w:rsidP="00900EEE">
      <w:pPr>
        <w:pStyle w:val="NoSpacing"/>
      </w:pPr>
      <w:r>
        <w:t xml:space="preserve">Using this method, an account is written off only when it is decided that a specific customer’s receivable is uncontrollable. Not GAAP, not matching and does NOT use an allowance account. This method is defective for two reasons: since no allowance for </w:t>
      </w:r>
      <w:proofErr w:type="spellStart"/>
      <w:r>
        <w:t>uncollectibles</w:t>
      </w:r>
      <w:proofErr w:type="spellEnd"/>
      <w:r>
        <w:t xml:space="preserve"> is established, assets are overstated on the balance sheet, and it causes a poor matching of uncollectible-account expense against revenue and overstates net income.</w:t>
      </w:r>
    </w:p>
    <w:p w:rsidR="00A44FC2" w:rsidRDefault="00A44FC2" w:rsidP="00900EEE">
      <w:pPr>
        <w:pStyle w:val="NoSpacing"/>
      </w:pPr>
    </w:p>
    <w:p w:rsidR="00A44FC2" w:rsidRDefault="00A44FC2" w:rsidP="00900EEE">
      <w:pPr>
        <w:pStyle w:val="NoSpacing"/>
        <w:rPr>
          <w:b/>
        </w:rPr>
      </w:pPr>
      <w:r>
        <w:rPr>
          <w:b/>
        </w:rPr>
        <w:t>Ratios</w:t>
      </w:r>
    </w:p>
    <w:p w:rsidR="00A44FC2" w:rsidRPr="00A44FC2" w:rsidRDefault="00A44FC2" w:rsidP="00900EEE">
      <w:pPr>
        <w:pStyle w:val="NoSpacing"/>
      </w:pPr>
      <w:r w:rsidRPr="00A44FC2">
        <w:t>Acid Test (or Quick) Ratio: measures the company’s ability to pay its current liabilities immediately.</w:t>
      </w:r>
    </w:p>
    <w:p w:rsidR="00A44FC2" w:rsidRPr="00A44FC2" w:rsidRDefault="00A44FC2" w:rsidP="00900EEE">
      <w:pPr>
        <w:pStyle w:val="NoSpacing"/>
        <w:rPr>
          <w:color w:val="CC00CC"/>
        </w:rPr>
      </w:pPr>
      <w:r>
        <w:rPr>
          <w:color w:val="CC00CC"/>
        </w:rPr>
        <w:t>Acid Test Ratio= (Cash + Short-term investments + Net current receivables)/ total current liabilities.</w:t>
      </w:r>
    </w:p>
    <w:p w:rsidR="00246B54" w:rsidRDefault="00A44FC2" w:rsidP="00900EEE">
      <w:pPr>
        <w:pStyle w:val="NoSpacing"/>
      </w:pPr>
      <w:r>
        <w:t>The higher the acid-test ratio, the easier it is to pay current liabilities.</w:t>
      </w:r>
    </w:p>
    <w:p w:rsidR="00A44FC2" w:rsidRDefault="00A44FC2" w:rsidP="00900EEE">
      <w:pPr>
        <w:pStyle w:val="NoSpacing"/>
      </w:pPr>
    </w:p>
    <w:p w:rsidR="00A44FC2" w:rsidRDefault="00A44FC2" w:rsidP="00900EEE">
      <w:pPr>
        <w:pStyle w:val="NoSpacing"/>
      </w:pPr>
      <w:r>
        <w:t xml:space="preserve">Days’ Sales in Receivables: </w:t>
      </w:r>
    </w:p>
    <w:p w:rsidR="00A44FC2" w:rsidRDefault="00A44FC2" w:rsidP="00900EEE">
      <w:pPr>
        <w:pStyle w:val="NoSpacing"/>
      </w:pPr>
      <w:r>
        <w:t>One day’s sales: Net sales/ 365 days</w:t>
      </w:r>
    </w:p>
    <w:p w:rsidR="00A44FC2" w:rsidRDefault="00A44FC2" w:rsidP="00900EEE">
      <w:pPr>
        <w:pStyle w:val="NoSpacing"/>
        <w:rPr>
          <w:color w:val="CC00CC"/>
        </w:rPr>
      </w:pPr>
      <w:r>
        <w:rPr>
          <w:color w:val="CC00CC"/>
        </w:rPr>
        <w:t>Days’ Sales in Receivables= Average net accounts receivable/ One day’s sales</w:t>
      </w:r>
    </w:p>
    <w:p w:rsidR="00A44FC2" w:rsidRPr="00A44FC2" w:rsidRDefault="00A44FC2" w:rsidP="00900EEE">
      <w:pPr>
        <w:pStyle w:val="NoSpacing"/>
      </w:pPr>
      <w:r>
        <w:t>A smaller number indicates a quick conversion to cash.</w:t>
      </w:r>
    </w:p>
    <w:p w:rsidR="00A44FC2" w:rsidRDefault="00A44FC2" w:rsidP="00900EEE">
      <w:pPr>
        <w:pStyle w:val="NoSpacing"/>
        <w:rPr>
          <w:b/>
        </w:rPr>
      </w:pPr>
    </w:p>
    <w:p w:rsidR="00561D67" w:rsidRPr="00561D67" w:rsidRDefault="00561D67" w:rsidP="00900EEE">
      <w:pPr>
        <w:pStyle w:val="NoSpacing"/>
        <w:rPr>
          <w:b/>
          <w:i/>
        </w:rPr>
      </w:pPr>
      <w:r w:rsidRPr="00561D67">
        <w:rPr>
          <w:b/>
          <w:i/>
        </w:rPr>
        <w:t>Chapter 6</w:t>
      </w:r>
    </w:p>
    <w:p w:rsidR="00561D67" w:rsidRDefault="00561D67" w:rsidP="00900EEE">
      <w:pPr>
        <w:pStyle w:val="NoSpacing"/>
        <w:rPr>
          <w:b/>
        </w:rPr>
      </w:pPr>
      <w:r>
        <w:rPr>
          <w:b/>
        </w:rPr>
        <w:t>Different types of Income Statements</w:t>
      </w:r>
    </w:p>
    <w:p w:rsidR="00561D67" w:rsidRDefault="00561D67" w:rsidP="00900EEE">
      <w:pPr>
        <w:pStyle w:val="NoSpacing"/>
        <w:rPr>
          <w:b/>
        </w:rPr>
      </w:pPr>
      <w:r w:rsidRPr="00561D67">
        <w:rPr>
          <w:b/>
        </w:rPr>
        <w:drawing>
          <wp:inline distT="0" distB="0" distL="0" distR="0" wp14:anchorId="6F86D22E" wp14:editId="223A222D">
            <wp:extent cx="3616305" cy="2011680"/>
            <wp:effectExtent l="0" t="0" r="381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129" t="23226" r="-277" b="3235"/>
                    <a:stretch/>
                  </pic:blipFill>
                  <pic:spPr bwMode="auto">
                    <a:xfrm>
                      <a:off x="0" y="0"/>
                      <a:ext cx="3626779" cy="2017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D67" w:rsidRDefault="00561D67" w:rsidP="00561D67">
      <w:pPr>
        <w:pStyle w:val="NoSpacing"/>
        <w:rPr>
          <w:b/>
        </w:rPr>
      </w:pPr>
      <w:r>
        <w:rPr>
          <w:b/>
        </w:rPr>
        <w:t>Different types of Balance Sheets</w:t>
      </w:r>
    </w:p>
    <w:p w:rsidR="00561D67" w:rsidRDefault="00561D67" w:rsidP="00561D67">
      <w:pPr>
        <w:pStyle w:val="NoSpacing"/>
        <w:rPr>
          <w:b/>
        </w:rPr>
      </w:pPr>
      <w:r w:rsidRPr="00561D67">
        <w:rPr>
          <w:b/>
        </w:rPr>
        <w:drawing>
          <wp:inline distT="0" distB="0" distL="0" distR="0" wp14:anchorId="7F5E0B8C" wp14:editId="55EDF74A">
            <wp:extent cx="3616305" cy="1569229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25592" r="1129" b="17204"/>
                    <a:stretch/>
                  </pic:blipFill>
                  <pic:spPr bwMode="auto">
                    <a:xfrm>
                      <a:off x="0" y="0"/>
                      <a:ext cx="3616618" cy="1569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D67" w:rsidRDefault="00561D67" w:rsidP="00900EEE">
      <w:pPr>
        <w:pStyle w:val="NoSpacing"/>
      </w:pPr>
    </w:p>
    <w:p w:rsidR="00561D67" w:rsidRDefault="00561D67" w:rsidP="00900EEE">
      <w:pPr>
        <w:pStyle w:val="NoSpacing"/>
        <w:rPr>
          <w:b/>
        </w:rPr>
      </w:pPr>
      <w:r>
        <w:rPr>
          <w:b/>
        </w:rPr>
        <w:t>Accounting for Inventory</w:t>
      </w:r>
    </w:p>
    <w:p w:rsidR="00561D67" w:rsidRDefault="00561D67" w:rsidP="00900EEE">
      <w:pPr>
        <w:pStyle w:val="NoSpacing"/>
      </w:pPr>
      <w:r>
        <w:t>Balance Sheet: Cost of inventory on hand= Inventory (Asset on balance sheet).</w:t>
      </w:r>
    </w:p>
    <w:p w:rsidR="00561D67" w:rsidRDefault="00561D67" w:rsidP="00900EEE">
      <w:pPr>
        <w:pStyle w:val="NoSpacing"/>
      </w:pPr>
      <w:r>
        <w:t>Income Statement: Cost of inventory that’s been sold= Cost of Goods Sold (Expense on income statement).</w:t>
      </w:r>
    </w:p>
    <w:p w:rsidR="00561D67" w:rsidRPr="007D135B" w:rsidRDefault="00561D67" w:rsidP="00900EEE">
      <w:pPr>
        <w:pStyle w:val="NoSpacing"/>
        <w:rPr>
          <w:color w:val="CC00CC"/>
        </w:rPr>
      </w:pPr>
    </w:p>
    <w:p w:rsidR="00561D67" w:rsidRDefault="007D135B" w:rsidP="00900EEE">
      <w:pPr>
        <w:pStyle w:val="NoSpacing"/>
        <w:rPr>
          <w:color w:val="CC00CC"/>
        </w:rPr>
      </w:pPr>
      <w:r w:rsidRPr="007D135B">
        <w:rPr>
          <w:color w:val="CC00CC"/>
        </w:rPr>
        <w:t>Gross Profit (before operating expenses</w:t>
      </w:r>
      <w:proofErr w:type="gramStart"/>
      <w:r w:rsidRPr="007D135B">
        <w:rPr>
          <w:color w:val="CC00CC"/>
        </w:rPr>
        <w:t>)=</w:t>
      </w:r>
      <w:proofErr w:type="gramEnd"/>
      <w:r w:rsidRPr="007D135B">
        <w:rPr>
          <w:color w:val="CC00CC"/>
        </w:rPr>
        <w:t xml:space="preserve"> sales revenues - Cost of goods sold</w:t>
      </w:r>
    </w:p>
    <w:p w:rsidR="00D35ADA" w:rsidRDefault="002F6687" w:rsidP="00900EEE">
      <w:pPr>
        <w:pStyle w:val="NoSpacing"/>
        <w:rPr>
          <w:color w:val="CC00CC"/>
        </w:rPr>
      </w:pPr>
      <w:r>
        <w:rPr>
          <w:color w:val="CC00CC"/>
        </w:rPr>
        <w:t>Gross Profit – Operating Expenses = Net income</w:t>
      </w:r>
    </w:p>
    <w:p w:rsidR="00D35ADA" w:rsidRDefault="00D35ADA" w:rsidP="00900EEE">
      <w:pPr>
        <w:pStyle w:val="NoSpacing"/>
        <w:rPr>
          <w:color w:val="CC00CC"/>
        </w:rPr>
      </w:pPr>
    </w:p>
    <w:p w:rsidR="00D35ADA" w:rsidRDefault="00D35ADA" w:rsidP="00900EEE">
      <w:pPr>
        <w:pStyle w:val="NoSpacing"/>
        <w:rPr>
          <w:b/>
        </w:rPr>
      </w:pPr>
      <w:r>
        <w:rPr>
          <w:b/>
        </w:rPr>
        <w:t>Inventory Accounting Systems</w:t>
      </w:r>
    </w:p>
    <w:p w:rsidR="00D35ADA" w:rsidRDefault="00D35ADA" w:rsidP="00900EEE">
      <w:pPr>
        <w:pStyle w:val="NoSpacing"/>
        <w:rPr>
          <w:b/>
        </w:rPr>
      </w:pPr>
      <w:r>
        <w:rPr>
          <w:i/>
        </w:rPr>
        <w:t xml:space="preserve">Periodic systems </w:t>
      </w:r>
      <w:r w:rsidRPr="00D35ADA">
        <w:t>do not keep a continuous record of inventory on hand.</w:t>
      </w:r>
      <w:r>
        <w:rPr>
          <w:b/>
        </w:rPr>
        <w:t xml:space="preserve"> </w:t>
      </w:r>
    </w:p>
    <w:p w:rsidR="002F6687" w:rsidRDefault="00D35ADA" w:rsidP="00900EEE">
      <w:pPr>
        <w:pStyle w:val="NoSpacing"/>
        <w:rPr>
          <w:color w:val="CC00CC"/>
        </w:rPr>
      </w:pPr>
      <w:r>
        <w:rPr>
          <w:i/>
        </w:rPr>
        <w:t xml:space="preserve">Perpetual systems </w:t>
      </w:r>
      <w:r>
        <w:t>maintain a running record to show the inventory on hand at all times.</w:t>
      </w:r>
      <w:r w:rsidR="002F6687">
        <w:rPr>
          <w:color w:val="CC00CC"/>
        </w:rPr>
        <w:t xml:space="preserve"> </w:t>
      </w:r>
    </w:p>
    <w:p w:rsidR="00D35ADA" w:rsidRDefault="00D35ADA" w:rsidP="00900EEE">
      <w:pPr>
        <w:pStyle w:val="NoSpacing"/>
        <w:rPr>
          <w:color w:val="CC00CC"/>
        </w:rPr>
      </w:pPr>
    </w:p>
    <w:p w:rsidR="00D35ADA" w:rsidRDefault="00D35ADA" w:rsidP="00900EEE">
      <w:pPr>
        <w:pStyle w:val="NoSpacing"/>
      </w:pPr>
      <w:r>
        <w:t>Recording Transactions in the Perpetual System</w:t>
      </w:r>
    </w:p>
    <w:p w:rsidR="0035207F" w:rsidRDefault="00D35ADA" w:rsidP="00900EEE">
      <w:pPr>
        <w:pStyle w:val="NoSpacing"/>
      </w:pPr>
      <w:r w:rsidRPr="00D35ADA">
        <w:drawing>
          <wp:inline distT="0" distB="0" distL="0" distR="0" wp14:anchorId="3AC4A268" wp14:editId="2497340B">
            <wp:extent cx="2619314" cy="112677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3710" t="29247" r="14678" b="29678"/>
                    <a:stretch/>
                  </pic:blipFill>
                  <pic:spPr bwMode="auto">
                    <a:xfrm>
                      <a:off x="0" y="0"/>
                      <a:ext cx="2619541" cy="112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07F" w:rsidRDefault="0035207F" w:rsidP="00900EEE">
      <w:pPr>
        <w:pStyle w:val="NoSpacing"/>
      </w:pPr>
    </w:p>
    <w:p w:rsidR="00323A19" w:rsidRDefault="0035207F" w:rsidP="00900EEE">
      <w:pPr>
        <w:pStyle w:val="NoSpacing"/>
      </w:pPr>
      <w:r w:rsidRPr="0035207F">
        <w:drawing>
          <wp:inline distT="0" distB="0" distL="0" distR="0" wp14:anchorId="20E84AE5" wp14:editId="0A8DFEF3">
            <wp:extent cx="3132557" cy="126246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6935" t="33333" r="7419" b="20645"/>
                    <a:stretch/>
                  </pic:blipFill>
                  <pic:spPr bwMode="auto">
                    <a:xfrm>
                      <a:off x="0" y="0"/>
                      <a:ext cx="3132829" cy="1262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3A19" w:rsidRDefault="00323A19" w:rsidP="00900EEE">
      <w:pPr>
        <w:pStyle w:val="NoSpacing"/>
      </w:pPr>
    </w:p>
    <w:p w:rsidR="00323A19" w:rsidRDefault="00323A19" w:rsidP="00323A19">
      <w:pPr>
        <w:pStyle w:val="NoSpacing"/>
      </w:pPr>
      <w:r w:rsidRPr="00323A19">
        <w:drawing>
          <wp:inline distT="0" distB="0" distL="0" distR="0" wp14:anchorId="2A27DCF1" wp14:editId="5653CA36">
            <wp:extent cx="3256444" cy="1581027"/>
            <wp:effectExtent l="0" t="0" r="127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5484" t="27957" r="5484" b="14409"/>
                    <a:stretch/>
                  </pic:blipFill>
                  <pic:spPr bwMode="auto">
                    <a:xfrm>
                      <a:off x="0" y="0"/>
                      <a:ext cx="3256727" cy="158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3A19" w:rsidRDefault="00323A19" w:rsidP="00900EEE">
      <w:pPr>
        <w:pStyle w:val="NoSpacing"/>
      </w:pPr>
      <w:r w:rsidRPr="00323A19">
        <w:drawing>
          <wp:inline distT="0" distB="0" distL="0" distR="0" wp14:anchorId="307F8A3F" wp14:editId="27E75CC5">
            <wp:extent cx="3409827" cy="967494"/>
            <wp:effectExtent l="0" t="0" r="63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1612" t="35699" r="5161" b="29032"/>
                    <a:stretch/>
                  </pic:blipFill>
                  <pic:spPr bwMode="auto">
                    <a:xfrm>
                      <a:off x="0" y="0"/>
                      <a:ext cx="3410123" cy="967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3A19" w:rsidRDefault="00323A19" w:rsidP="00900EEE">
      <w:pPr>
        <w:pStyle w:val="NoSpacing"/>
      </w:pPr>
    </w:p>
    <w:p w:rsidR="00323A19" w:rsidRPr="00D35ADA" w:rsidRDefault="00323A19" w:rsidP="00900EEE">
      <w:pPr>
        <w:pStyle w:val="NoSpacing"/>
      </w:pPr>
      <w:r w:rsidRPr="00323A19">
        <w:lastRenderedPageBreak/>
        <w:drawing>
          <wp:inline distT="0" distB="0" distL="0" distR="0" wp14:anchorId="7457949A" wp14:editId="5EECE0D6">
            <wp:extent cx="3091262" cy="1439443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7580" t="30322" r="7903" b="17204"/>
                    <a:stretch/>
                  </pic:blipFill>
                  <pic:spPr bwMode="auto">
                    <a:xfrm>
                      <a:off x="0" y="0"/>
                      <a:ext cx="3091530" cy="1439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3A19" w:rsidRDefault="00323A19" w:rsidP="00900EEE">
      <w:pPr>
        <w:pStyle w:val="NoSpacing"/>
        <w:rPr>
          <w:b/>
        </w:rPr>
      </w:pPr>
    </w:p>
    <w:p w:rsidR="00323A19" w:rsidRDefault="00323A19" w:rsidP="00900EEE">
      <w:pPr>
        <w:pStyle w:val="NoSpacing"/>
        <w:rPr>
          <w:b/>
        </w:rPr>
      </w:pPr>
      <w:r w:rsidRPr="00323A19">
        <w:rPr>
          <w:b/>
        </w:rPr>
        <w:drawing>
          <wp:inline distT="0" distB="0" distL="0" distR="0" wp14:anchorId="5C32132D" wp14:editId="08169DE9">
            <wp:extent cx="2542622" cy="1769807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3871" t="26021" r="16614" b="9462"/>
                    <a:stretch/>
                  </pic:blipFill>
                  <pic:spPr bwMode="auto">
                    <a:xfrm>
                      <a:off x="0" y="0"/>
                      <a:ext cx="2542843" cy="176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3A19" w:rsidRDefault="00323A19" w:rsidP="00900EEE">
      <w:pPr>
        <w:pStyle w:val="NoSpacing"/>
        <w:rPr>
          <w:b/>
        </w:rPr>
      </w:pPr>
    </w:p>
    <w:p w:rsidR="00323A19" w:rsidRDefault="00323A19" w:rsidP="00900EEE">
      <w:pPr>
        <w:pStyle w:val="NoSpacing"/>
        <w:rPr>
          <w:b/>
        </w:rPr>
      </w:pPr>
      <w:r>
        <w:rPr>
          <w:b/>
        </w:rPr>
        <w:t>Various Inventory Costing Methods</w:t>
      </w:r>
    </w:p>
    <w:p w:rsidR="00323A19" w:rsidRDefault="00323A19" w:rsidP="00900EEE">
      <w:pPr>
        <w:pStyle w:val="NoSpacing"/>
      </w:pPr>
      <w:r>
        <w:t xml:space="preserve">Specific Unit Cost: </w:t>
      </w:r>
      <w:r w:rsidR="000D60AA">
        <w:t>Costing the inventory at the specific cost of the particular unit.</w:t>
      </w:r>
    </w:p>
    <w:p w:rsidR="000D60AA" w:rsidRDefault="000D60AA" w:rsidP="00900EEE">
      <w:pPr>
        <w:pStyle w:val="NoSpacing"/>
      </w:pPr>
      <w:r>
        <w:t xml:space="preserve">Weighted-Average and FIFO </w:t>
      </w:r>
    </w:p>
    <w:p w:rsidR="000D60AA" w:rsidRDefault="000D60AA" w:rsidP="00900EEE">
      <w:pPr>
        <w:pStyle w:val="NoSpacing"/>
      </w:pPr>
      <w:r w:rsidRPr="000D60AA">
        <w:drawing>
          <wp:inline distT="0" distB="0" distL="0" distR="0" wp14:anchorId="3C3E0A02" wp14:editId="3312B563">
            <wp:extent cx="3362632" cy="1870095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548" t="25376" r="4517" b="6451"/>
                    <a:stretch/>
                  </pic:blipFill>
                  <pic:spPr bwMode="auto">
                    <a:xfrm>
                      <a:off x="0" y="0"/>
                      <a:ext cx="3362924" cy="1870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60AA" w:rsidRDefault="000D60AA" w:rsidP="00900EEE">
      <w:pPr>
        <w:pStyle w:val="NoSpacing"/>
      </w:pPr>
      <w:r>
        <w:t>Using Weighted-Average:</w:t>
      </w:r>
    </w:p>
    <w:p w:rsidR="000D60AA" w:rsidRDefault="000D60AA" w:rsidP="00900EEE">
      <w:pPr>
        <w:pStyle w:val="NoSpacing"/>
      </w:pPr>
      <w:r w:rsidRPr="000D60AA">
        <w:drawing>
          <wp:inline distT="0" distB="0" distL="0" distR="0" wp14:anchorId="63108E04" wp14:editId="0D252ADD">
            <wp:extent cx="2631112" cy="143354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14032" t="29247" r="14032" b="18495"/>
                    <a:stretch/>
                  </pic:blipFill>
                  <pic:spPr bwMode="auto">
                    <a:xfrm>
                      <a:off x="0" y="0"/>
                      <a:ext cx="2631340" cy="1433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60AA" w:rsidRDefault="000D60AA" w:rsidP="00900EEE">
      <w:pPr>
        <w:pStyle w:val="NoSpacing"/>
      </w:pPr>
    </w:p>
    <w:p w:rsidR="000D60AA" w:rsidRDefault="000D60AA" w:rsidP="00900EEE">
      <w:pPr>
        <w:pStyle w:val="NoSpacing"/>
      </w:pPr>
    </w:p>
    <w:p w:rsidR="000D60AA" w:rsidRDefault="000D60AA" w:rsidP="00900EEE">
      <w:pPr>
        <w:pStyle w:val="NoSpacing"/>
      </w:pPr>
    </w:p>
    <w:p w:rsidR="000D60AA" w:rsidRDefault="000D60AA" w:rsidP="00900EEE">
      <w:pPr>
        <w:pStyle w:val="NoSpacing"/>
      </w:pPr>
    </w:p>
    <w:p w:rsidR="000D60AA" w:rsidRDefault="000D60AA" w:rsidP="00900EEE">
      <w:pPr>
        <w:pStyle w:val="NoSpacing"/>
      </w:pPr>
      <w:r>
        <w:lastRenderedPageBreak/>
        <w:t>Using FIFO:</w:t>
      </w:r>
    </w:p>
    <w:p w:rsidR="000D60AA" w:rsidRDefault="000D60AA" w:rsidP="00900EEE">
      <w:pPr>
        <w:pStyle w:val="NoSpacing"/>
      </w:pPr>
      <w:r w:rsidRPr="000D60AA">
        <w:drawing>
          <wp:inline distT="0" distB="0" distL="0" distR="0" wp14:anchorId="681E5A38" wp14:editId="6F7812A6">
            <wp:extent cx="2353843" cy="1616423"/>
            <wp:effectExtent l="0" t="0" r="889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19193" t="27527" r="16452" b="13549"/>
                    <a:stretch/>
                  </pic:blipFill>
                  <pic:spPr bwMode="auto">
                    <a:xfrm>
                      <a:off x="0" y="0"/>
                      <a:ext cx="2354047" cy="1616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60AA" w:rsidRDefault="000D60AA" w:rsidP="00900EEE">
      <w:pPr>
        <w:pStyle w:val="NoSpacing"/>
      </w:pPr>
      <w:r w:rsidRPr="000D60AA">
        <w:drawing>
          <wp:inline distT="0" distB="0" distL="0" distR="0" wp14:anchorId="2897AE78" wp14:editId="5E0D06F0">
            <wp:extent cx="3262343" cy="149253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5000" t="30537" r="5806" b="15054"/>
                    <a:stretch/>
                  </pic:blipFill>
                  <pic:spPr bwMode="auto">
                    <a:xfrm>
                      <a:off x="0" y="0"/>
                      <a:ext cx="3262627" cy="1492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3874" w:rsidRDefault="00DF3874" w:rsidP="00900EEE">
      <w:pPr>
        <w:pStyle w:val="NoSpacing"/>
      </w:pPr>
    </w:p>
    <w:p w:rsidR="00DF3874" w:rsidRDefault="00DF3874" w:rsidP="00900EEE">
      <w:pPr>
        <w:pStyle w:val="NoSpacing"/>
        <w:rPr>
          <w:b/>
        </w:rPr>
      </w:pPr>
      <w:r>
        <w:rPr>
          <w:b/>
        </w:rPr>
        <w:t>Accounting Standards and Inventories</w:t>
      </w:r>
    </w:p>
    <w:p w:rsidR="00DF3874" w:rsidRDefault="00DF3874" w:rsidP="00900EEE">
      <w:pPr>
        <w:pStyle w:val="NoSpacing"/>
      </w:pPr>
      <w:r>
        <w:rPr>
          <w:i/>
        </w:rPr>
        <w:t xml:space="preserve">Comparability </w:t>
      </w:r>
      <w:r>
        <w:t>sates that businesses should use the same accounting methods and procedures from period to period.</w:t>
      </w:r>
    </w:p>
    <w:p w:rsidR="00DF3874" w:rsidRDefault="00DF3874" w:rsidP="00900EEE">
      <w:pPr>
        <w:pStyle w:val="NoSpacing"/>
      </w:pPr>
      <w:r>
        <w:rPr>
          <w:i/>
        </w:rPr>
        <w:t xml:space="preserve">Disclosure Principle </w:t>
      </w:r>
      <w:r>
        <w:t>holds that a company’s financial statements should report enough information for outsiders to make informed decisions about the company.</w:t>
      </w:r>
    </w:p>
    <w:p w:rsidR="00DF3874" w:rsidRDefault="00DF3874" w:rsidP="00900EEE">
      <w:pPr>
        <w:pStyle w:val="NoSpacing"/>
      </w:pPr>
      <w:r>
        <w:rPr>
          <w:i/>
        </w:rPr>
        <w:t xml:space="preserve">Lower-of-Cost-and-Net-Realizable-Value (LCNRV) </w:t>
      </w:r>
      <w:r>
        <w:t>requires</w:t>
      </w:r>
      <w:r w:rsidR="000A6198">
        <w:t xml:space="preserve"> that inventory be reported in the financial statements at whichever is lower- inventory’s cost or it</w:t>
      </w:r>
      <w:r w:rsidR="00A80870">
        <w:t xml:space="preserve">s net </w:t>
      </w:r>
      <w:r w:rsidR="000A6198">
        <w:t xml:space="preserve">realizable value. </w:t>
      </w:r>
    </w:p>
    <w:p w:rsidR="006D1FEA" w:rsidRDefault="006D1FEA" w:rsidP="00900EEE">
      <w:pPr>
        <w:pStyle w:val="NoSpacing"/>
      </w:pPr>
    </w:p>
    <w:p w:rsidR="006D1FEA" w:rsidRDefault="006D1FEA" w:rsidP="00900EEE">
      <w:pPr>
        <w:pStyle w:val="NoSpacing"/>
        <w:rPr>
          <w:b/>
        </w:rPr>
      </w:pPr>
      <w:r>
        <w:rPr>
          <w:b/>
        </w:rPr>
        <w:t>Analyzing Financial Statements</w:t>
      </w:r>
    </w:p>
    <w:p w:rsidR="005E088F" w:rsidRDefault="005E088F" w:rsidP="00900EEE">
      <w:pPr>
        <w:pStyle w:val="NoSpacing"/>
        <w:rPr>
          <w:color w:val="CC00CC"/>
        </w:rPr>
      </w:pPr>
      <w:r>
        <w:rPr>
          <w:color w:val="CC00CC"/>
        </w:rPr>
        <w:t>Gross Profit Percentage= Gross profit/ Net sales revenue</w:t>
      </w:r>
    </w:p>
    <w:p w:rsidR="00623772" w:rsidRDefault="00623772" w:rsidP="00900EEE">
      <w:pPr>
        <w:pStyle w:val="NoSpacing"/>
        <w:rPr>
          <w:color w:val="CC00CC"/>
        </w:rPr>
      </w:pPr>
    </w:p>
    <w:p w:rsidR="005E088F" w:rsidRPr="005E088F" w:rsidRDefault="005E088F" w:rsidP="00900EEE">
      <w:pPr>
        <w:pStyle w:val="NoSpacing"/>
        <w:rPr>
          <w:color w:val="CC00CC"/>
        </w:rPr>
      </w:pPr>
      <w:r>
        <w:rPr>
          <w:color w:val="CC00CC"/>
        </w:rPr>
        <w:t>Inventory Turnover= Cost of goods sold/ Average inventory = Cost of goods sold</w:t>
      </w:r>
      <w:proofErr w:type="gramStart"/>
      <w:r>
        <w:rPr>
          <w:color w:val="CC00CC"/>
        </w:rPr>
        <w:t>/(</w:t>
      </w:r>
      <w:proofErr w:type="gramEnd"/>
      <w:r>
        <w:rPr>
          <w:color w:val="CC00CC"/>
        </w:rPr>
        <w:t xml:space="preserve"> (beginning inventory+ ending inventory)/2)</w:t>
      </w:r>
    </w:p>
    <w:p w:rsidR="00323A19" w:rsidRDefault="00323A19" w:rsidP="00900EEE">
      <w:pPr>
        <w:pStyle w:val="NoSpacing"/>
      </w:pPr>
    </w:p>
    <w:p w:rsidR="00623772" w:rsidRDefault="00623772" w:rsidP="00900EEE">
      <w:pPr>
        <w:pStyle w:val="NoSpacing"/>
      </w:pPr>
      <w:r>
        <w:t xml:space="preserve">The </w:t>
      </w:r>
      <w:r w:rsidRPr="00623772">
        <w:rPr>
          <w:i/>
        </w:rPr>
        <w:t>gross margin method</w:t>
      </w:r>
      <w:r>
        <w:rPr>
          <w:i/>
        </w:rPr>
        <w:t xml:space="preserve"> </w:t>
      </w:r>
      <w:r>
        <w:t>of estimating ending inventory is based on the cost of goods sold model.</w:t>
      </w:r>
    </w:p>
    <w:p w:rsidR="00623772" w:rsidRDefault="00623772" w:rsidP="00900EEE">
      <w:pPr>
        <w:pStyle w:val="NoSpacing"/>
      </w:pPr>
      <w:r>
        <w:t>I.e. Beginning inventory + Purchases = Goods available for sale – Ending inventory = Cost of goods sold</w:t>
      </w:r>
    </w:p>
    <w:p w:rsidR="00623772" w:rsidRDefault="00623772" w:rsidP="00900EEE">
      <w:pPr>
        <w:pStyle w:val="NoSpacing"/>
      </w:pPr>
    </w:p>
    <w:p w:rsidR="00623772" w:rsidRDefault="00623772" w:rsidP="00900EEE">
      <w:pPr>
        <w:pStyle w:val="NoSpacing"/>
      </w:pPr>
      <w:r>
        <w:t>By rearranging them we attain:</w:t>
      </w:r>
    </w:p>
    <w:p w:rsidR="00623772" w:rsidRDefault="00623772" w:rsidP="00900EEE">
      <w:pPr>
        <w:pStyle w:val="NoSpacing"/>
      </w:pPr>
      <w:r>
        <w:t>Beginning inventory+ Purchases = Goods available for sale – Cost of goods sold = ending inventory.</w:t>
      </w:r>
    </w:p>
    <w:p w:rsidR="00623772" w:rsidRDefault="00623772" w:rsidP="00900EEE">
      <w:pPr>
        <w:pStyle w:val="NoSpacing"/>
      </w:pPr>
    </w:p>
    <w:p w:rsidR="00623772" w:rsidRDefault="00623772" w:rsidP="00900EEE">
      <w:pPr>
        <w:pStyle w:val="NoSpacing"/>
        <w:rPr>
          <w:b/>
        </w:rPr>
      </w:pPr>
      <w:r>
        <w:rPr>
          <w:b/>
        </w:rPr>
        <w:t>Effects of Inventory Errors</w:t>
      </w:r>
    </w:p>
    <w:p w:rsidR="00623772" w:rsidRPr="00623772" w:rsidRDefault="00623772" w:rsidP="00900EEE">
      <w:pPr>
        <w:pStyle w:val="NoSpacing"/>
      </w:pPr>
      <w:r>
        <w:t>An error in the ending inventory creates errors for cost of goods sold and profit. The current year’s ending inventory is next year’s beginning inventory.</w:t>
      </w:r>
    </w:p>
    <w:p w:rsidR="00623772" w:rsidRPr="00623772" w:rsidRDefault="0035455D" w:rsidP="00900EEE">
      <w:pPr>
        <w:pStyle w:val="NoSpacing"/>
      </w:pPr>
      <w:r>
        <w:t xml:space="preserve">What are some possibilities? 1. Overstating ending inventory 2. </w:t>
      </w:r>
      <w:proofErr w:type="gramStart"/>
      <w:r>
        <w:t>Creating fictitious sales revenue.</w:t>
      </w:r>
      <w:proofErr w:type="gramEnd"/>
    </w:p>
    <w:p w:rsidR="0048080B" w:rsidRDefault="0048080B" w:rsidP="00900EEE">
      <w:pPr>
        <w:pStyle w:val="NoSpacing"/>
        <w:rPr>
          <w:b/>
          <w:i/>
        </w:rPr>
      </w:pPr>
    </w:p>
    <w:p w:rsidR="00402CA4" w:rsidRPr="0048080B" w:rsidRDefault="00402CA4" w:rsidP="00900EEE">
      <w:pPr>
        <w:pStyle w:val="NoSpacing"/>
        <w:rPr>
          <w:b/>
          <w:i/>
          <w:color w:val="CC00CC"/>
        </w:rPr>
      </w:pPr>
      <w:r w:rsidRPr="0048080B">
        <w:rPr>
          <w:b/>
          <w:i/>
          <w:color w:val="CC00CC"/>
        </w:rPr>
        <w:t>Formulas</w:t>
      </w:r>
    </w:p>
    <w:p w:rsidR="00402CA4" w:rsidRPr="00F13DAC" w:rsidRDefault="0048080B" w:rsidP="00900EEE">
      <w:pPr>
        <w:pStyle w:val="NoSpacing"/>
      </w:pPr>
      <w:r>
        <w:t xml:space="preserve">Review </w:t>
      </w:r>
      <w:r w:rsidR="00402CA4">
        <w:rPr>
          <w:b/>
          <w:i/>
        </w:rPr>
        <w:t xml:space="preserve">Barry </w:t>
      </w:r>
      <w:proofErr w:type="spellStart"/>
      <w:r w:rsidR="00402CA4">
        <w:rPr>
          <w:b/>
          <w:i/>
        </w:rPr>
        <w:t>Minkow</w:t>
      </w:r>
      <w:proofErr w:type="spellEnd"/>
      <w:r>
        <w:rPr>
          <w:b/>
          <w:i/>
        </w:rPr>
        <w:t xml:space="preserve"> </w:t>
      </w:r>
      <w:r w:rsidR="00F13DAC">
        <w:t>and the ethical issue.</w:t>
      </w:r>
      <w:bookmarkStart w:id="0" w:name="_GoBack"/>
      <w:bookmarkEnd w:id="0"/>
    </w:p>
    <w:sectPr w:rsidR="00402CA4" w:rsidRPr="00F13DAC">
      <w:foot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461" w:rsidRDefault="00625461" w:rsidP="004129EF">
      <w:pPr>
        <w:spacing w:after="0" w:line="240" w:lineRule="auto"/>
      </w:pPr>
      <w:r>
        <w:separator/>
      </w:r>
    </w:p>
  </w:endnote>
  <w:endnote w:type="continuationSeparator" w:id="0">
    <w:p w:rsidR="00625461" w:rsidRDefault="00625461" w:rsidP="00412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94456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207F" w:rsidRDefault="003520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DA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5207F" w:rsidRDefault="003520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461" w:rsidRDefault="00625461" w:rsidP="004129EF">
      <w:pPr>
        <w:spacing w:after="0" w:line="240" w:lineRule="auto"/>
      </w:pPr>
      <w:r>
        <w:separator/>
      </w:r>
    </w:p>
  </w:footnote>
  <w:footnote w:type="continuationSeparator" w:id="0">
    <w:p w:rsidR="00625461" w:rsidRDefault="00625461" w:rsidP="00412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50F8B"/>
    <w:multiLevelType w:val="hybridMultilevel"/>
    <w:tmpl w:val="F51A8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DE082B"/>
    <w:multiLevelType w:val="hybridMultilevel"/>
    <w:tmpl w:val="0CB28EC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683F092F"/>
    <w:multiLevelType w:val="hybridMultilevel"/>
    <w:tmpl w:val="77848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467CD4"/>
    <w:multiLevelType w:val="hybridMultilevel"/>
    <w:tmpl w:val="42645CDE"/>
    <w:lvl w:ilvl="0" w:tplc="0409000F">
      <w:start w:val="1"/>
      <w:numFmt w:val="decimal"/>
      <w:lvlText w:val="%1."/>
      <w:lvlJc w:val="left"/>
      <w:pPr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F8"/>
    <w:rsid w:val="000075E6"/>
    <w:rsid w:val="00010B3D"/>
    <w:rsid w:val="0001220F"/>
    <w:rsid w:val="000162FE"/>
    <w:rsid w:val="00016CF9"/>
    <w:rsid w:val="00016D02"/>
    <w:rsid w:val="000173B2"/>
    <w:rsid w:val="00023753"/>
    <w:rsid w:val="000336C7"/>
    <w:rsid w:val="0003702E"/>
    <w:rsid w:val="000418DD"/>
    <w:rsid w:val="00043B71"/>
    <w:rsid w:val="0005360C"/>
    <w:rsid w:val="00054A1D"/>
    <w:rsid w:val="00056675"/>
    <w:rsid w:val="0006007E"/>
    <w:rsid w:val="000635A8"/>
    <w:rsid w:val="00063739"/>
    <w:rsid w:val="00065242"/>
    <w:rsid w:val="00067E22"/>
    <w:rsid w:val="00070678"/>
    <w:rsid w:val="00073D28"/>
    <w:rsid w:val="0007493A"/>
    <w:rsid w:val="00077E3C"/>
    <w:rsid w:val="00080F4E"/>
    <w:rsid w:val="000874E6"/>
    <w:rsid w:val="00090036"/>
    <w:rsid w:val="0009007A"/>
    <w:rsid w:val="000953A2"/>
    <w:rsid w:val="000964B3"/>
    <w:rsid w:val="000977EC"/>
    <w:rsid w:val="000A0B55"/>
    <w:rsid w:val="000A0D30"/>
    <w:rsid w:val="000A6198"/>
    <w:rsid w:val="000A61A5"/>
    <w:rsid w:val="000A6A8B"/>
    <w:rsid w:val="000A6D69"/>
    <w:rsid w:val="000B0473"/>
    <w:rsid w:val="000C658A"/>
    <w:rsid w:val="000C7F6E"/>
    <w:rsid w:val="000D324E"/>
    <w:rsid w:val="000D60AA"/>
    <w:rsid w:val="000D7C37"/>
    <w:rsid w:val="000F0E7E"/>
    <w:rsid w:val="000F2187"/>
    <w:rsid w:val="000F59D8"/>
    <w:rsid w:val="000F5B60"/>
    <w:rsid w:val="000F6512"/>
    <w:rsid w:val="000F6DF5"/>
    <w:rsid w:val="001005AD"/>
    <w:rsid w:val="00101C91"/>
    <w:rsid w:val="00102F3C"/>
    <w:rsid w:val="00111F21"/>
    <w:rsid w:val="00112374"/>
    <w:rsid w:val="001128CF"/>
    <w:rsid w:val="00115463"/>
    <w:rsid w:val="00120E28"/>
    <w:rsid w:val="00121A4E"/>
    <w:rsid w:val="001232C3"/>
    <w:rsid w:val="00125BCF"/>
    <w:rsid w:val="001261B3"/>
    <w:rsid w:val="00126B9B"/>
    <w:rsid w:val="001275CC"/>
    <w:rsid w:val="00131FCA"/>
    <w:rsid w:val="00133C24"/>
    <w:rsid w:val="00140954"/>
    <w:rsid w:val="00141705"/>
    <w:rsid w:val="00141920"/>
    <w:rsid w:val="00145C87"/>
    <w:rsid w:val="00146DDF"/>
    <w:rsid w:val="001510D8"/>
    <w:rsid w:val="0015415F"/>
    <w:rsid w:val="00154BC9"/>
    <w:rsid w:val="001624D9"/>
    <w:rsid w:val="0016589E"/>
    <w:rsid w:val="00165A60"/>
    <w:rsid w:val="0016770A"/>
    <w:rsid w:val="001738CA"/>
    <w:rsid w:val="00173A18"/>
    <w:rsid w:val="00173C20"/>
    <w:rsid w:val="00180DDA"/>
    <w:rsid w:val="00181EE8"/>
    <w:rsid w:val="00183344"/>
    <w:rsid w:val="00184B65"/>
    <w:rsid w:val="00195640"/>
    <w:rsid w:val="0019746F"/>
    <w:rsid w:val="001A1221"/>
    <w:rsid w:val="001A458D"/>
    <w:rsid w:val="001A5CEE"/>
    <w:rsid w:val="001A686F"/>
    <w:rsid w:val="001B2360"/>
    <w:rsid w:val="001B692E"/>
    <w:rsid w:val="001B6BB3"/>
    <w:rsid w:val="001C4588"/>
    <w:rsid w:val="001C46FF"/>
    <w:rsid w:val="001C7825"/>
    <w:rsid w:val="001E18C1"/>
    <w:rsid w:val="001E61DC"/>
    <w:rsid w:val="001E63DE"/>
    <w:rsid w:val="001F06D2"/>
    <w:rsid w:val="001F3118"/>
    <w:rsid w:val="001F452A"/>
    <w:rsid w:val="001F744C"/>
    <w:rsid w:val="001F7D15"/>
    <w:rsid w:val="00207B3B"/>
    <w:rsid w:val="00214914"/>
    <w:rsid w:val="00224351"/>
    <w:rsid w:val="00227707"/>
    <w:rsid w:val="0023160B"/>
    <w:rsid w:val="00232DB8"/>
    <w:rsid w:val="002331D6"/>
    <w:rsid w:val="00234874"/>
    <w:rsid w:val="00235750"/>
    <w:rsid w:val="00235A36"/>
    <w:rsid w:val="00236015"/>
    <w:rsid w:val="00246B54"/>
    <w:rsid w:val="00246C1C"/>
    <w:rsid w:val="00252DAF"/>
    <w:rsid w:val="002551DC"/>
    <w:rsid w:val="00256405"/>
    <w:rsid w:val="00265FEC"/>
    <w:rsid w:val="002717D7"/>
    <w:rsid w:val="00276259"/>
    <w:rsid w:val="00280B89"/>
    <w:rsid w:val="002866F4"/>
    <w:rsid w:val="0028794B"/>
    <w:rsid w:val="002945AA"/>
    <w:rsid w:val="00294BD4"/>
    <w:rsid w:val="002A587D"/>
    <w:rsid w:val="002A5B99"/>
    <w:rsid w:val="002B0160"/>
    <w:rsid w:val="002B16A1"/>
    <w:rsid w:val="002B1CC6"/>
    <w:rsid w:val="002D3596"/>
    <w:rsid w:val="002D4FC9"/>
    <w:rsid w:val="002E14E8"/>
    <w:rsid w:val="002E4970"/>
    <w:rsid w:val="002E732C"/>
    <w:rsid w:val="002E79AC"/>
    <w:rsid w:val="002F3FCA"/>
    <w:rsid w:val="002F59AB"/>
    <w:rsid w:val="002F667D"/>
    <w:rsid w:val="002F6687"/>
    <w:rsid w:val="002F6F46"/>
    <w:rsid w:val="0030345B"/>
    <w:rsid w:val="003066DD"/>
    <w:rsid w:val="00313A6D"/>
    <w:rsid w:val="003143A7"/>
    <w:rsid w:val="003162E0"/>
    <w:rsid w:val="003177CE"/>
    <w:rsid w:val="00317E9B"/>
    <w:rsid w:val="00323A19"/>
    <w:rsid w:val="00323B59"/>
    <w:rsid w:val="003317D5"/>
    <w:rsid w:val="0033479A"/>
    <w:rsid w:val="003364B6"/>
    <w:rsid w:val="00340E60"/>
    <w:rsid w:val="0034362B"/>
    <w:rsid w:val="003448C7"/>
    <w:rsid w:val="00344938"/>
    <w:rsid w:val="00345E40"/>
    <w:rsid w:val="00345FED"/>
    <w:rsid w:val="00350BDB"/>
    <w:rsid w:val="0035207F"/>
    <w:rsid w:val="0035455D"/>
    <w:rsid w:val="00354AE8"/>
    <w:rsid w:val="00356299"/>
    <w:rsid w:val="003563D8"/>
    <w:rsid w:val="003600C9"/>
    <w:rsid w:val="00361A4A"/>
    <w:rsid w:val="00367C30"/>
    <w:rsid w:val="00367C7E"/>
    <w:rsid w:val="00370C50"/>
    <w:rsid w:val="00371F8F"/>
    <w:rsid w:val="00374B97"/>
    <w:rsid w:val="0037587B"/>
    <w:rsid w:val="00376250"/>
    <w:rsid w:val="00377A51"/>
    <w:rsid w:val="0038083E"/>
    <w:rsid w:val="003848F8"/>
    <w:rsid w:val="00384F04"/>
    <w:rsid w:val="0039033C"/>
    <w:rsid w:val="0039290D"/>
    <w:rsid w:val="0039307B"/>
    <w:rsid w:val="003934ED"/>
    <w:rsid w:val="003A0A4E"/>
    <w:rsid w:val="003A55AB"/>
    <w:rsid w:val="003A5F7F"/>
    <w:rsid w:val="003A7B9C"/>
    <w:rsid w:val="003B0679"/>
    <w:rsid w:val="003B3A35"/>
    <w:rsid w:val="003B5743"/>
    <w:rsid w:val="003B63E3"/>
    <w:rsid w:val="003B6F2E"/>
    <w:rsid w:val="003C0054"/>
    <w:rsid w:val="003C0D56"/>
    <w:rsid w:val="003C43D2"/>
    <w:rsid w:val="003C73F5"/>
    <w:rsid w:val="003D065E"/>
    <w:rsid w:val="003D080B"/>
    <w:rsid w:val="003D0E3C"/>
    <w:rsid w:val="003D1335"/>
    <w:rsid w:val="003D2070"/>
    <w:rsid w:val="003D2F26"/>
    <w:rsid w:val="003D6ACB"/>
    <w:rsid w:val="003E0A32"/>
    <w:rsid w:val="003E14A3"/>
    <w:rsid w:val="003E70D6"/>
    <w:rsid w:val="003E74E9"/>
    <w:rsid w:val="003F041B"/>
    <w:rsid w:val="003F2D57"/>
    <w:rsid w:val="003F65B4"/>
    <w:rsid w:val="004021D6"/>
    <w:rsid w:val="00402CA4"/>
    <w:rsid w:val="00402D78"/>
    <w:rsid w:val="00404E2B"/>
    <w:rsid w:val="00405984"/>
    <w:rsid w:val="00405E2D"/>
    <w:rsid w:val="0041061C"/>
    <w:rsid w:val="00410A9B"/>
    <w:rsid w:val="004129EF"/>
    <w:rsid w:val="004148F9"/>
    <w:rsid w:val="004174A3"/>
    <w:rsid w:val="0042355E"/>
    <w:rsid w:val="004248FA"/>
    <w:rsid w:val="004267CE"/>
    <w:rsid w:val="004272E4"/>
    <w:rsid w:val="00440AEB"/>
    <w:rsid w:val="00440B7F"/>
    <w:rsid w:val="0044183D"/>
    <w:rsid w:val="004420C8"/>
    <w:rsid w:val="0044242C"/>
    <w:rsid w:val="00446592"/>
    <w:rsid w:val="004541C4"/>
    <w:rsid w:val="00456292"/>
    <w:rsid w:val="00461E14"/>
    <w:rsid w:val="0046272A"/>
    <w:rsid w:val="0046299D"/>
    <w:rsid w:val="0046372D"/>
    <w:rsid w:val="004646B7"/>
    <w:rsid w:val="004649DE"/>
    <w:rsid w:val="004675AD"/>
    <w:rsid w:val="00473F87"/>
    <w:rsid w:val="0047521D"/>
    <w:rsid w:val="00475B55"/>
    <w:rsid w:val="0048076F"/>
    <w:rsid w:val="0048080B"/>
    <w:rsid w:val="00482669"/>
    <w:rsid w:val="00485D52"/>
    <w:rsid w:val="00490D99"/>
    <w:rsid w:val="00490DB3"/>
    <w:rsid w:val="004918AD"/>
    <w:rsid w:val="00494924"/>
    <w:rsid w:val="004959A6"/>
    <w:rsid w:val="00495DD4"/>
    <w:rsid w:val="004A0105"/>
    <w:rsid w:val="004A33B5"/>
    <w:rsid w:val="004A68E7"/>
    <w:rsid w:val="004B5DD0"/>
    <w:rsid w:val="004B646F"/>
    <w:rsid w:val="004C292D"/>
    <w:rsid w:val="004C34BE"/>
    <w:rsid w:val="004C5FCB"/>
    <w:rsid w:val="004C61CF"/>
    <w:rsid w:val="004D2F5A"/>
    <w:rsid w:val="004D5606"/>
    <w:rsid w:val="004D5C64"/>
    <w:rsid w:val="004D7BA0"/>
    <w:rsid w:val="004E03E2"/>
    <w:rsid w:val="004E3FF5"/>
    <w:rsid w:val="004E4EB2"/>
    <w:rsid w:val="004F5A3F"/>
    <w:rsid w:val="004F5C0D"/>
    <w:rsid w:val="004F76C9"/>
    <w:rsid w:val="00501569"/>
    <w:rsid w:val="00501E6E"/>
    <w:rsid w:val="00502FCD"/>
    <w:rsid w:val="0050361C"/>
    <w:rsid w:val="00504974"/>
    <w:rsid w:val="00505ADF"/>
    <w:rsid w:val="00506A26"/>
    <w:rsid w:val="00510714"/>
    <w:rsid w:val="00510A22"/>
    <w:rsid w:val="005113AB"/>
    <w:rsid w:val="0051288D"/>
    <w:rsid w:val="005136C7"/>
    <w:rsid w:val="00516AF8"/>
    <w:rsid w:val="00525424"/>
    <w:rsid w:val="00525965"/>
    <w:rsid w:val="00526B6D"/>
    <w:rsid w:val="0053270B"/>
    <w:rsid w:val="00537A89"/>
    <w:rsid w:val="00544688"/>
    <w:rsid w:val="0054780B"/>
    <w:rsid w:val="00552A16"/>
    <w:rsid w:val="00552A86"/>
    <w:rsid w:val="00554E8B"/>
    <w:rsid w:val="005601E0"/>
    <w:rsid w:val="00560D6C"/>
    <w:rsid w:val="00561D67"/>
    <w:rsid w:val="005643C5"/>
    <w:rsid w:val="00574E4C"/>
    <w:rsid w:val="00576768"/>
    <w:rsid w:val="0058114C"/>
    <w:rsid w:val="00585D25"/>
    <w:rsid w:val="00596C1F"/>
    <w:rsid w:val="005973F9"/>
    <w:rsid w:val="005A1718"/>
    <w:rsid w:val="005A280F"/>
    <w:rsid w:val="005A5FC4"/>
    <w:rsid w:val="005A6375"/>
    <w:rsid w:val="005A7CC8"/>
    <w:rsid w:val="005C019A"/>
    <w:rsid w:val="005C0818"/>
    <w:rsid w:val="005C4B51"/>
    <w:rsid w:val="005C518F"/>
    <w:rsid w:val="005C61A0"/>
    <w:rsid w:val="005D1CDA"/>
    <w:rsid w:val="005D3EC0"/>
    <w:rsid w:val="005D61B8"/>
    <w:rsid w:val="005D7DA3"/>
    <w:rsid w:val="005E088F"/>
    <w:rsid w:val="005E09BB"/>
    <w:rsid w:val="005E190F"/>
    <w:rsid w:val="005E46EF"/>
    <w:rsid w:val="005E7D1C"/>
    <w:rsid w:val="005F2A6D"/>
    <w:rsid w:val="005F48B8"/>
    <w:rsid w:val="005F59AA"/>
    <w:rsid w:val="005F7A41"/>
    <w:rsid w:val="005F7AB8"/>
    <w:rsid w:val="005F7B02"/>
    <w:rsid w:val="00601FCF"/>
    <w:rsid w:val="00603AAC"/>
    <w:rsid w:val="0061013C"/>
    <w:rsid w:val="00611420"/>
    <w:rsid w:val="00614BB1"/>
    <w:rsid w:val="006170F5"/>
    <w:rsid w:val="00617E21"/>
    <w:rsid w:val="00620EA5"/>
    <w:rsid w:val="00623772"/>
    <w:rsid w:val="0062397B"/>
    <w:rsid w:val="0062417E"/>
    <w:rsid w:val="00625461"/>
    <w:rsid w:val="00626397"/>
    <w:rsid w:val="00626C57"/>
    <w:rsid w:val="00630C1E"/>
    <w:rsid w:val="00634140"/>
    <w:rsid w:val="00635357"/>
    <w:rsid w:val="00637DE0"/>
    <w:rsid w:val="006529ED"/>
    <w:rsid w:val="00652D34"/>
    <w:rsid w:val="00653FE1"/>
    <w:rsid w:val="00654E72"/>
    <w:rsid w:val="00660CCF"/>
    <w:rsid w:val="00661593"/>
    <w:rsid w:val="006637CE"/>
    <w:rsid w:val="0066779A"/>
    <w:rsid w:val="00670FB4"/>
    <w:rsid w:val="006712E1"/>
    <w:rsid w:val="006718F2"/>
    <w:rsid w:val="0067215E"/>
    <w:rsid w:val="00682AE5"/>
    <w:rsid w:val="00686879"/>
    <w:rsid w:val="0068737A"/>
    <w:rsid w:val="00690EE9"/>
    <w:rsid w:val="00693286"/>
    <w:rsid w:val="006953C6"/>
    <w:rsid w:val="006977E2"/>
    <w:rsid w:val="006A5F9A"/>
    <w:rsid w:val="006B01B5"/>
    <w:rsid w:val="006B4D58"/>
    <w:rsid w:val="006B5432"/>
    <w:rsid w:val="006B7A12"/>
    <w:rsid w:val="006C1431"/>
    <w:rsid w:val="006C5857"/>
    <w:rsid w:val="006C62CD"/>
    <w:rsid w:val="006C62F0"/>
    <w:rsid w:val="006D10C9"/>
    <w:rsid w:val="006D1FEA"/>
    <w:rsid w:val="006D3130"/>
    <w:rsid w:val="006D41E1"/>
    <w:rsid w:val="006D5CA1"/>
    <w:rsid w:val="006D7316"/>
    <w:rsid w:val="006E0052"/>
    <w:rsid w:val="006E27B0"/>
    <w:rsid w:val="006E5024"/>
    <w:rsid w:val="006F04A7"/>
    <w:rsid w:val="006F1538"/>
    <w:rsid w:val="006F2517"/>
    <w:rsid w:val="006F4277"/>
    <w:rsid w:val="00703286"/>
    <w:rsid w:val="0070539C"/>
    <w:rsid w:val="007055D9"/>
    <w:rsid w:val="00707D88"/>
    <w:rsid w:val="00712639"/>
    <w:rsid w:val="007142A9"/>
    <w:rsid w:val="007174BC"/>
    <w:rsid w:val="007226BF"/>
    <w:rsid w:val="00723B4D"/>
    <w:rsid w:val="0072462F"/>
    <w:rsid w:val="00731C73"/>
    <w:rsid w:val="00733497"/>
    <w:rsid w:val="00733CCC"/>
    <w:rsid w:val="00734550"/>
    <w:rsid w:val="00742F0D"/>
    <w:rsid w:val="00750A02"/>
    <w:rsid w:val="00751F33"/>
    <w:rsid w:val="0075314C"/>
    <w:rsid w:val="00755C6B"/>
    <w:rsid w:val="00756A81"/>
    <w:rsid w:val="007570C8"/>
    <w:rsid w:val="00762263"/>
    <w:rsid w:val="007635F8"/>
    <w:rsid w:val="00764EEF"/>
    <w:rsid w:val="0076515C"/>
    <w:rsid w:val="00765556"/>
    <w:rsid w:val="00765C3F"/>
    <w:rsid w:val="00765D5C"/>
    <w:rsid w:val="0076635E"/>
    <w:rsid w:val="007727DB"/>
    <w:rsid w:val="00780278"/>
    <w:rsid w:val="00787992"/>
    <w:rsid w:val="0079060E"/>
    <w:rsid w:val="00790772"/>
    <w:rsid w:val="00791000"/>
    <w:rsid w:val="00797517"/>
    <w:rsid w:val="007A03CE"/>
    <w:rsid w:val="007A12E1"/>
    <w:rsid w:val="007A24E9"/>
    <w:rsid w:val="007A2DA5"/>
    <w:rsid w:val="007A566B"/>
    <w:rsid w:val="007A7B44"/>
    <w:rsid w:val="007B0D3A"/>
    <w:rsid w:val="007B245F"/>
    <w:rsid w:val="007B3FBE"/>
    <w:rsid w:val="007B63B2"/>
    <w:rsid w:val="007C0475"/>
    <w:rsid w:val="007C07FC"/>
    <w:rsid w:val="007C3341"/>
    <w:rsid w:val="007C5907"/>
    <w:rsid w:val="007C5998"/>
    <w:rsid w:val="007D135B"/>
    <w:rsid w:val="007D51C4"/>
    <w:rsid w:val="007D51D9"/>
    <w:rsid w:val="007D5330"/>
    <w:rsid w:val="007E247B"/>
    <w:rsid w:val="007E2A17"/>
    <w:rsid w:val="007E3E34"/>
    <w:rsid w:val="007E416B"/>
    <w:rsid w:val="007E728F"/>
    <w:rsid w:val="007E76B2"/>
    <w:rsid w:val="00800CBF"/>
    <w:rsid w:val="00804A96"/>
    <w:rsid w:val="00806441"/>
    <w:rsid w:val="00807853"/>
    <w:rsid w:val="00810A25"/>
    <w:rsid w:val="00813B5C"/>
    <w:rsid w:val="00816B9A"/>
    <w:rsid w:val="00820816"/>
    <w:rsid w:val="00826599"/>
    <w:rsid w:val="00826842"/>
    <w:rsid w:val="00827FE7"/>
    <w:rsid w:val="00830332"/>
    <w:rsid w:val="00831C88"/>
    <w:rsid w:val="0083229D"/>
    <w:rsid w:val="00834F61"/>
    <w:rsid w:val="00836915"/>
    <w:rsid w:val="0084087A"/>
    <w:rsid w:val="008419A8"/>
    <w:rsid w:val="00841AA9"/>
    <w:rsid w:val="008470EC"/>
    <w:rsid w:val="0085058C"/>
    <w:rsid w:val="00854F8A"/>
    <w:rsid w:val="00856C54"/>
    <w:rsid w:val="008658F5"/>
    <w:rsid w:val="00867907"/>
    <w:rsid w:val="00871083"/>
    <w:rsid w:val="0087331F"/>
    <w:rsid w:val="008759BA"/>
    <w:rsid w:val="00882FCC"/>
    <w:rsid w:val="00883EB9"/>
    <w:rsid w:val="00890EDB"/>
    <w:rsid w:val="00893F1C"/>
    <w:rsid w:val="00895E81"/>
    <w:rsid w:val="008A1B28"/>
    <w:rsid w:val="008A265D"/>
    <w:rsid w:val="008A2C1E"/>
    <w:rsid w:val="008A35FD"/>
    <w:rsid w:val="008A6F23"/>
    <w:rsid w:val="008A7CE4"/>
    <w:rsid w:val="008B0CC3"/>
    <w:rsid w:val="008B3963"/>
    <w:rsid w:val="008B4582"/>
    <w:rsid w:val="008B59D6"/>
    <w:rsid w:val="008C17EC"/>
    <w:rsid w:val="008C5E8F"/>
    <w:rsid w:val="008D113C"/>
    <w:rsid w:val="008D2C09"/>
    <w:rsid w:val="008D31CB"/>
    <w:rsid w:val="008D5846"/>
    <w:rsid w:val="008D592A"/>
    <w:rsid w:val="008D65AA"/>
    <w:rsid w:val="008D7474"/>
    <w:rsid w:val="008D7AB8"/>
    <w:rsid w:val="008E28FA"/>
    <w:rsid w:val="008E2D9A"/>
    <w:rsid w:val="008E39D6"/>
    <w:rsid w:val="008E3B9E"/>
    <w:rsid w:val="008E4B83"/>
    <w:rsid w:val="008E6AAE"/>
    <w:rsid w:val="008E6F1B"/>
    <w:rsid w:val="008E71AA"/>
    <w:rsid w:val="008F05D3"/>
    <w:rsid w:val="008F0CBC"/>
    <w:rsid w:val="008F0F23"/>
    <w:rsid w:val="008F1D80"/>
    <w:rsid w:val="008F37E5"/>
    <w:rsid w:val="008F3EC5"/>
    <w:rsid w:val="008F569B"/>
    <w:rsid w:val="008F68AA"/>
    <w:rsid w:val="00900EEE"/>
    <w:rsid w:val="00902E18"/>
    <w:rsid w:val="00905174"/>
    <w:rsid w:val="00906239"/>
    <w:rsid w:val="00911F3B"/>
    <w:rsid w:val="009126FF"/>
    <w:rsid w:val="009129FB"/>
    <w:rsid w:val="00912C21"/>
    <w:rsid w:val="009163BB"/>
    <w:rsid w:val="00917418"/>
    <w:rsid w:val="009243A7"/>
    <w:rsid w:val="009269E4"/>
    <w:rsid w:val="00930814"/>
    <w:rsid w:val="009313BF"/>
    <w:rsid w:val="00931553"/>
    <w:rsid w:val="00933023"/>
    <w:rsid w:val="00935C62"/>
    <w:rsid w:val="00937930"/>
    <w:rsid w:val="00941E1F"/>
    <w:rsid w:val="00942E2E"/>
    <w:rsid w:val="00946AA6"/>
    <w:rsid w:val="00947CD7"/>
    <w:rsid w:val="00947D87"/>
    <w:rsid w:val="00950CD4"/>
    <w:rsid w:val="0095433F"/>
    <w:rsid w:val="00954B61"/>
    <w:rsid w:val="00956C72"/>
    <w:rsid w:val="00962E16"/>
    <w:rsid w:val="00964877"/>
    <w:rsid w:val="00965362"/>
    <w:rsid w:val="00965B4C"/>
    <w:rsid w:val="00967455"/>
    <w:rsid w:val="00970309"/>
    <w:rsid w:val="0097076C"/>
    <w:rsid w:val="00970C72"/>
    <w:rsid w:val="00977964"/>
    <w:rsid w:val="00980974"/>
    <w:rsid w:val="0098389E"/>
    <w:rsid w:val="009922DD"/>
    <w:rsid w:val="00993DCB"/>
    <w:rsid w:val="009950A3"/>
    <w:rsid w:val="009967DF"/>
    <w:rsid w:val="00997376"/>
    <w:rsid w:val="009A2061"/>
    <w:rsid w:val="009A277F"/>
    <w:rsid w:val="009A2DCA"/>
    <w:rsid w:val="009A4AC3"/>
    <w:rsid w:val="009A5224"/>
    <w:rsid w:val="009A5A84"/>
    <w:rsid w:val="009B3F93"/>
    <w:rsid w:val="009B5879"/>
    <w:rsid w:val="009C4A34"/>
    <w:rsid w:val="009C51DA"/>
    <w:rsid w:val="009D2795"/>
    <w:rsid w:val="009D3537"/>
    <w:rsid w:val="009D46E7"/>
    <w:rsid w:val="009D6FCC"/>
    <w:rsid w:val="009E0C06"/>
    <w:rsid w:val="009E3694"/>
    <w:rsid w:val="009E4755"/>
    <w:rsid w:val="009F1F1B"/>
    <w:rsid w:val="009F4329"/>
    <w:rsid w:val="00A0234D"/>
    <w:rsid w:val="00A03D16"/>
    <w:rsid w:val="00A10ACB"/>
    <w:rsid w:val="00A11DC9"/>
    <w:rsid w:val="00A17054"/>
    <w:rsid w:val="00A20B05"/>
    <w:rsid w:val="00A20E63"/>
    <w:rsid w:val="00A226A0"/>
    <w:rsid w:val="00A24E9C"/>
    <w:rsid w:val="00A3280E"/>
    <w:rsid w:val="00A34B4E"/>
    <w:rsid w:val="00A36DC1"/>
    <w:rsid w:val="00A407BD"/>
    <w:rsid w:val="00A40E17"/>
    <w:rsid w:val="00A41BB1"/>
    <w:rsid w:val="00A43470"/>
    <w:rsid w:val="00A44FC2"/>
    <w:rsid w:val="00A525D4"/>
    <w:rsid w:val="00A546F6"/>
    <w:rsid w:val="00A615BE"/>
    <w:rsid w:val="00A6338F"/>
    <w:rsid w:val="00A65040"/>
    <w:rsid w:val="00A67B03"/>
    <w:rsid w:val="00A70E7D"/>
    <w:rsid w:val="00A71418"/>
    <w:rsid w:val="00A71825"/>
    <w:rsid w:val="00A7584C"/>
    <w:rsid w:val="00A75982"/>
    <w:rsid w:val="00A80870"/>
    <w:rsid w:val="00A82694"/>
    <w:rsid w:val="00A83BDB"/>
    <w:rsid w:val="00A902AF"/>
    <w:rsid w:val="00A91F6B"/>
    <w:rsid w:val="00A93D86"/>
    <w:rsid w:val="00AA6F28"/>
    <w:rsid w:val="00AB2623"/>
    <w:rsid w:val="00AB4E52"/>
    <w:rsid w:val="00AB6311"/>
    <w:rsid w:val="00AB64A4"/>
    <w:rsid w:val="00AC09FF"/>
    <w:rsid w:val="00AC255B"/>
    <w:rsid w:val="00AC3253"/>
    <w:rsid w:val="00AC4F5B"/>
    <w:rsid w:val="00AC538A"/>
    <w:rsid w:val="00AC6845"/>
    <w:rsid w:val="00AC7BF9"/>
    <w:rsid w:val="00AD05ED"/>
    <w:rsid w:val="00AD35B3"/>
    <w:rsid w:val="00AD35DE"/>
    <w:rsid w:val="00AD5A08"/>
    <w:rsid w:val="00AD6192"/>
    <w:rsid w:val="00AE3EA0"/>
    <w:rsid w:val="00AE58D0"/>
    <w:rsid w:val="00AE6D32"/>
    <w:rsid w:val="00AF43D3"/>
    <w:rsid w:val="00B009A5"/>
    <w:rsid w:val="00B056BF"/>
    <w:rsid w:val="00B0643D"/>
    <w:rsid w:val="00B111E7"/>
    <w:rsid w:val="00B135C1"/>
    <w:rsid w:val="00B16C09"/>
    <w:rsid w:val="00B175A2"/>
    <w:rsid w:val="00B17A2C"/>
    <w:rsid w:val="00B20068"/>
    <w:rsid w:val="00B216EE"/>
    <w:rsid w:val="00B262DE"/>
    <w:rsid w:val="00B30A95"/>
    <w:rsid w:val="00B311F6"/>
    <w:rsid w:val="00B33AE8"/>
    <w:rsid w:val="00B345F5"/>
    <w:rsid w:val="00B402FF"/>
    <w:rsid w:val="00B4129D"/>
    <w:rsid w:val="00B56632"/>
    <w:rsid w:val="00B570FB"/>
    <w:rsid w:val="00B73411"/>
    <w:rsid w:val="00B82706"/>
    <w:rsid w:val="00B85443"/>
    <w:rsid w:val="00B8731D"/>
    <w:rsid w:val="00B95A82"/>
    <w:rsid w:val="00BA0A47"/>
    <w:rsid w:val="00BA0CF3"/>
    <w:rsid w:val="00BA4915"/>
    <w:rsid w:val="00BA4FBA"/>
    <w:rsid w:val="00BA6409"/>
    <w:rsid w:val="00BA66BA"/>
    <w:rsid w:val="00BA6964"/>
    <w:rsid w:val="00BB2022"/>
    <w:rsid w:val="00BB3F2E"/>
    <w:rsid w:val="00BB4270"/>
    <w:rsid w:val="00BB45D0"/>
    <w:rsid w:val="00BC4642"/>
    <w:rsid w:val="00BC48A3"/>
    <w:rsid w:val="00BD17A4"/>
    <w:rsid w:val="00BD474C"/>
    <w:rsid w:val="00BD7E3B"/>
    <w:rsid w:val="00BE00F5"/>
    <w:rsid w:val="00BE2ECD"/>
    <w:rsid w:val="00BE4A26"/>
    <w:rsid w:val="00BE50E2"/>
    <w:rsid w:val="00BE5548"/>
    <w:rsid w:val="00BF51BC"/>
    <w:rsid w:val="00BF68FA"/>
    <w:rsid w:val="00C01AD3"/>
    <w:rsid w:val="00C05140"/>
    <w:rsid w:val="00C06BBD"/>
    <w:rsid w:val="00C077E8"/>
    <w:rsid w:val="00C07F60"/>
    <w:rsid w:val="00C107BA"/>
    <w:rsid w:val="00C13111"/>
    <w:rsid w:val="00C133BB"/>
    <w:rsid w:val="00C17179"/>
    <w:rsid w:val="00C209F7"/>
    <w:rsid w:val="00C242D4"/>
    <w:rsid w:val="00C251C4"/>
    <w:rsid w:val="00C25BD3"/>
    <w:rsid w:val="00C261B5"/>
    <w:rsid w:val="00C27AE3"/>
    <w:rsid w:val="00C3294D"/>
    <w:rsid w:val="00C3431E"/>
    <w:rsid w:val="00C352B4"/>
    <w:rsid w:val="00C40ABB"/>
    <w:rsid w:val="00C43119"/>
    <w:rsid w:val="00C44072"/>
    <w:rsid w:val="00C45895"/>
    <w:rsid w:val="00C46683"/>
    <w:rsid w:val="00C46BF1"/>
    <w:rsid w:val="00C505C6"/>
    <w:rsid w:val="00C50769"/>
    <w:rsid w:val="00C521D7"/>
    <w:rsid w:val="00C550CE"/>
    <w:rsid w:val="00C611DF"/>
    <w:rsid w:val="00C61809"/>
    <w:rsid w:val="00C65157"/>
    <w:rsid w:val="00C659BF"/>
    <w:rsid w:val="00C66DD9"/>
    <w:rsid w:val="00C719BD"/>
    <w:rsid w:val="00C735AC"/>
    <w:rsid w:val="00C73DFA"/>
    <w:rsid w:val="00C779D2"/>
    <w:rsid w:val="00C80743"/>
    <w:rsid w:val="00C80EAE"/>
    <w:rsid w:val="00C81958"/>
    <w:rsid w:val="00C84154"/>
    <w:rsid w:val="00C852FA"/>
    <w:rsid w:val="00C87E56"/>
    <w:rsid w:val="00C93894"/>
    <w:rsid w:val="00C9641E"/>
    <w:rsid w:val="00C97A0A"/>
    <w:rsid w:val="00CA2AE2"/>
    <w:rsid w:val="00CA4276"/>
    <w:rsid w:val="00CA4684"/>
    <w:rsid w:val="00CA57FE"/>
    <w:rsid w:val="00CA7082"/>
    <w:rsid w:val="00CB1478"/>
    <w:rsid w:val="00CB2879"/>
    <w:rsid w:val="00CB66EF"/>
    <w:rsid w:val="00CC09A4"/>
    <w:rsid w:val="00CC1957"/>
    <w:rsid w:val="00CC4D4C"/>
    <w:rsid w:val="00CC57EF"/>
    <w:rsid w:val="00CC79B1"/>
    <w:rsid w:val="00CD0DBC"/>
    <w:rsid w:val="00CD1511"/>
    <w:rsid w:val="00CD1730"/>
    <w:rsid w:val="00CD4231"/>
    <w:rsid w:val="00CD502B"/>
    <w:rsid w:val="00CE055B"/>
    <w:rsid w:val="00CE10AF"/>
    <w:rsid w:val="00CE212B"/>
    <w:rsid w:val="00CE2225"/>
    <w:rsid w:val="00CE3121"/>
    <w:rsid w:val="00CE481D"/>
    <w:rsid w:val="00CE4C9D"/>
    <w:rsid w:val="00CE60FB"/>
    <w:rsid w:val="00CF6152"/>
    <w:rsid w:val="00D01D40"/>
    <w:rsid w:val="00D03F46"/>
    <w:rsid w:val="00D0611A"/>
    <w:rsid w:val="00D1229B"/>
    <w:rsid w:val="00D159F3"/>
    <w:rsid w:val="00D164FF"/>
    <w:rsid w:val="00D21065"/>
    <w:rsid w:val="00D22906"/>
    <w:rsid w:val="00D22BBB"/>
    <w:rsid w:val="00D2483A"/>
    <w:rsid w:val="00D24A5F"/>
    <w:rsid w:val="00D267DE"/>
    <w:rsid w:val="00D276B3"/>
    <w:rsid w:val="00D3021A"/>
    <w:rsid w:val="00D32D11"/>
    <w:rsid w:val="00D350AD"/>
    <w:rsid w:val="00D35ADA"/>
    <w:rsid w:val="00D36DF6"/>
    <w:rsid w:val="00D44117"/>
    <w:rsid w:val="00D45CB6"/>
    <w:rsid w:val="00D45D3D"/>
    <w:rsid w:val="00D466FD"/>
    <w:rsid w:val="00D4672A"/>
    <w:rsid w:val="00D56BAD"/>
    <w:rsid w:val="00D6004C"/>
    <w:rsid w:val="00D60A41"/>
    <w:rsid w:val="00D67FBB"/>
    <w:rsid w:val="00D758CD"/>
    <w:rsid w:val="00D81CE2"/>
    <w:rsid w:val="00D82BED"/>
    <w:rsid w:val="00D87CC7"/>
    <w:rsid w:val="00D93FD8"/>
    <w:rsid w:val="00D94065"/>
    <w:rsid w:val="00D94D92"/>
    <w:rsid w:val="00D952F0"/>
    <w:rsid w:val="00D96F1A"/>
    <w:rsid w:val="00D96FFB"/>
    <w:rsid w:val="00D9763E"/>
    <w:rsid w:val="00DA0930"/>
    <w:rsid w:val="00DA43D9"/>
    <w:rsid w:val="00DA7295"/>
    <w:rsid w:val="00DB145E"/>
    <w:rsid w:val="00DB2F49"/>
    <w:rsid w:val="00DB41E6"/>
    <w:rsid w:val="00DB5406"/>
    <w:rsid w:val="00DB5E58"/>
    <w:rsid w:val="00DB69F8"/>
    <w:rsid w:val="00DC104C"/>
    <w:rsid w:val="00DC1084"/>
    <w:rsid w:val="00DC3356"/>
    <w:rsid w:val="00DC5377"/>
    <w:rsid w:val="00DD1087"/>
    <w:rsid w:val="00DD3F3B"/>
    <w:rsid w:val="00DD7F3A"/>
    <w:rsid w:val="00DE03F4"/>
    <w:rsid w:val="00DE09BD"/>
    <w:rsid w:val="00DE18F0"/>
    <w:rsid w:val="00DE666E"/>
    <w:rsid w:val="00DE6EEA"/>
    <w:rsid w:val="00DF27EC"/>
    <w:rsid w:val="00DF3874"/>
    <w:rsid w:val="00DF4FF5"/>
    <w:rsid w:val="00DF54E1"/>
    <w:rsid w:val="00DF6479"/>
    <w:rsid w:val="00E02D05"/>
    <w:rsid w:val="00E0356E"/>
    <w:rsid w:val="00E0658D"/>
    <w:rsid w:val="00E065CE"/>
    <w:rsid w:val="00E12557"/>
    <w:rsid w:val="00E13581"/>
    <w:rsid w:val="00E16555"/>
    <w:rsid w:val="00E1721B"/>
    <w:rsid w:val="00E178B9"/>
    <w:rsid w:val="00E17E75"/>
    <w:rsid w:val="00E21A6F"/>
    <w:rsid w:val="00E2575A"/>
    <w:rsid w:val="00E26E71"/>
    <w:rsid w:val="00E309A3"/>
    <w:rsid w:val="00E31C1B"/>
    <w:rsid w:val="00E344E0"/>
    <w:rsid w:val="00E36086"/>
    <w:rsid w:val="00E3774E"/>
    <w:rsid w:val="00E42B71"/>
    <w:rsid w:val="00E471C0"/>
    <w:rsid w:val="00E50D93"/>
    <w:rsid w:val="00E55176"/>
    <w:rsid w:val="00E564BA"/>
    <w:rsid w:val="00E564C5"/>
    <w:rsid w:val="00E56905"/>
    <w:rsid w:val="00E60FE3"/>
    <w:rsid w:val="00E65CD2"/>
    <w:rsid w:val="00E6717B"/>
    <w:rsid w:val="00E74222"/>
    <w:rsid w:val="00E774BB"/>
    <w:rsid w:val="00E77B16"/>
    <w:rsid w:val="00E831A6"/>
    <w:rsid w:val="00E91511"/>
    <w:rsid w:val="00E9244E"/>
    <w:rsid w:val="00E92A83"/>
    <w:rsid w:val="00E97EF9"/>
    <w:rsid w:val="00EA0F35"/>
    <w:rsid w:val="00EA6F06"/>
    <w:rsid w:val="00EB3E57"/>
    <w:rsid w:val="00ED2858"/>
    <w:rsid w:val="00ED3EC8"/>
    <w:rsid w:val="00ED6998"/>
    <w:rsid w:val="00EE2613"/>
    <w:rsid w:val="00EE2780"/>
    <w:rsid w:val="00EE3D1E"/>
    <w:rsid w:val="00EE3F50"/>
    <w:rsid w:val="00EE7965"/>
    <w:rsid w:val="00EF0656"/>
    <w:rsid w:val="00EF16CE"/>
    <w:rsid w:val="00EF21CE"/>
    <w:rsid w:val="00EF2442"/>
    <w:rsid w:val="00EF2BFC"/>
    <w:rsid w:val="00EF7C31"/>
    <w:rsid w:val="00EF7FAF"/>
    <w:rsid w:val="00F04282"/>
    <w:rsid w:val="00F1289B"/>
    <w:rsid w:val="00F12D42"/>
    <w:rsid w:val="00F13DAC"/>
    <w:rsid w:val="00F161A6"/>
    <w:rsid w:val="00F20DC4"/>
    <w:rsid w:val="00F238F1"/>
    <w:rsid w:val="00F24A74"/>
    <w:rsid w:val="00F26DAE"/>
    <w:rsid w:val="00F320E2"/>
    <w:rsid w:val="00F353D8"/>
    <w:rsid w:val="00F379B5"/>
    <w:rsid w:val="00F41AEE"/>
    <w:rsid w:val="00F52AD3"/>
    <w:rsid w:val="00F53636"/>
    <w:rsid w:val="00F56522"/>
    <w:rsid w:val="00F57D2B"/>
    <w:rsid w:val="00F64B20"/>
    <w:rsid w:val="00F74AFA"/>
    <w:rsid w:val="00F77CFE"/>
    <w:rsid w:val="00F805C7"/>
    <w:rsid w:val="00F809A9"/>
    <w:rsid w:val="00F83000"/>
    <w:rsid w:val="00F86309"/>
    <w:rsid w:val="00F86414"/>
    <w:rsid w:val="00F870AF"/>
    <w:rsid w:val="00F90AED"/>
    <w:rsid w:val="00F92F89"/>
    <w:rsid w:val="00F97F76"/>
    <w:rsid w:val="00FA0126"/>
    <w:rsid w:val="00FA3291"/>
    <w:rsid w:val="00FB39DB"/>
    <w:rsid w:val="00FB414E"/>
    <w:rsid w:val="00FB4A38"/>
    <w:rsid w:val="00FB5CC7"/>
    <w:rsid w:val="00FC1BF1"/>
    <w:rsid w:val="00FC2F6F"/>
    <w:rsid w:val="00FC3819"/>
    <w:rsid w:val="00FC450E"/>
    <w:rsid w:val="00FC5406"/>
    <w:rsid w:val="00FD4705"/>
    <w:rsid w:val="00FD5AB6"/>
    <w:rsid w:val="00FD6FA3"/>
    <w:rsid w:val="00FE33EE"/>
    <w:rsid w:val="00FF0729"/>
    <w:rsid w:val="00FF3F81"/>
    <w:rsid w:val="00FF61AA"/>
    <w:rsid w:val="00FF763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48F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1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29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9EF"/>
  </w:style>
  <w:style w:type="paragraph" w:styleId="Footer">
    <w:name w:val="footer"/>
    <w:basedOn w:val="Normal"/>
    <w:link w:val="FooterChar"/>
    <w:uiPriority w:val="99"/>
    <w:unhideWhenUsed/>
    <w:rsid w:val="004129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9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48F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1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129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9EF"/>
  </w:style>
  <w:style w:type="paragraph" w:styleId="Footer">
    <w:name w:val="footer"/>
    <w:basedOn w:val="Normal"/>
    <w:link w:val="FooterChar"/>
    <w:uiPriority w:val="99"/>
    <w:unhideWhenUsed/>
    <w:rsid w:val="004129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7</Pages>
  <Words>1177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</dc:creator>
  <cp:lastModifiedBy>Elizabeth</cp:lastModifiedBy>
  <cp:revision>32</cp:revision>
  <cp:lastPrinted>2012-03-03T14:08:00Z</cp:lastPrinted>
  <dcterms:created xsi:type="dcterms:W3CDTF">2012-03-02T23:20:00Z</dcterms:created>
  <dcterms:modified xsi:type="dcterms:W3CDTF">2012-03-03T14:09:00Z</dcterms:modified>
</cp:coreProperties>
</file>