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D3E291" w14:textId="77777777" w:rsidR="00AE5288" w:rsidRPr="00AE5288" w:rsidRDefault="00AE5288" w:rsidP="00AE5288">
      <w:pPr>
        <w:shd w:val="clear" w:color="auto" w:fill="FFFFFF"/>
        <w:spacing w:before="90" w:after="90" w:line="240" w:lineRule="auto"/>
        <w:outlineLvl w:val="1"/>
        <w:rPr>
          <w:rFonts w:ascii="Helvetica" w:eastAsia="Times New Roman" w:hAnsi="Helvetica" w:cs="Helvetica"/>
          <w:color w:val="2D3B45"/>
          <w:sz w:val="43"/>
          <w:szCs w:val="43"/>
          <w:lang w:eastAsia="en-CA"/>
        </w:rPr>
      </w:pPr>
      <w:r w:rsidRPr="00AE5288">
        <w:rPr>
          <w:rFonts w:ascii="Helvetica" w:eastAsia="Times New Roman" w:hAnsi="Helvetica" w:cs="Helvetica"/>
          <w:b/>
          <w:bCs/>
          <w:color w:val="2D3B45"/>
          <w:sz w:val="42"/>
          <w:szCs w:val="42"/>
          <w:lang w:eastAsia="en-CA"/>
        </w:rPr>
        <w:t>Sample Case Study – IMPAIRED PROPERTY VALUATION (50 marks)</w:t>
      </w:r>
    </w:p>
    <w:p w14:paraId="32A79B56"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b/>
          <w:bCs/>
          <w:color w:val="2D3B45"/>
          <w:sz w:val="28"/>
          <w:szCs w:val="28"/>
          <w:lang w:eastAsia="en-CA"/>
        </w:rPr>
        <w:t>THE NEXT FOUR QUESTIONS ARE BASED ON THE FOLLOWING INFORMATION:</w:t>
      </w:r>
    </w:p>
    <w:p w14:paraId="62FEF0BB"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b/>
          <w:bCs/>
          <w:color w:val="2D3B45"/>
          <w:sz w:val="24"/>
          <w:szCs w:val="24"/>
          <w:lang w:eastAsia="en-CA"/>
        </w:rPr>
        <w:t>Appraisal Problem</w:t>
      </w:r>
    </w:p>
    <w:p w14:paraId="69662281"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 xml:space="preserve">CRD Corporation is considering developing their future corporate headquarters on the subject site. The City of Middleton owns this </w:t>
      </w:r>
      <w:proofErr w:type="gramStart"/>
      <w:r w:rsidRPr="00AE5288">
        <w:rPr>
          <w:rFonts w:ascii="Helvetica" w:eastAsia="Times New Roman" w:hAnsi="Helvetica" w:cs="Helvetica"/>
          <w:color w:val="2D3B45"/>
          <w:sz w:val="24"/>
          <w:szCs w:val="24"/>
          <w:lang w:eastAsia="en-CA"/>
        </w:rPr>
        <w:t>site, but</w:t>
      </w:r>
      <w:proofErr w:type="gramEnd"/>
      <w:r w:rsidRPr="00AE5288">
        <w:rPr>
          <w:rFonts w:ascii="Helvetica" w:eastAsia="Times New Roman" w:hAnsi="Helvetica" w:cs="Helvetica"/>
          <w:color w:val="2D3B45"/>
          <w:sz w:val="24"/>
          <w:szCs w:val="24"/>
          <w:lang w:eastAsia="en-CA"/>
        </w:rPr>
        <w:t xml:space="preserve"> may sever the subject vacant parcel and sell it to CRD.</w:t>
      </w:r>
    </w:p>
    <w:p w14:paraId="0E469046"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Proposed development of the subject site is with the following parameters in place:</w:t>
      </w:r>
    </w:p>
    <w:p w14:paraId="44198600" w14:textId="77777777" w:rsidR="00AE5288" w:rsidRPr="00AE5288" w:rsidRDefault="00AE5288" w:rsidP="00AE5288">
      <w:pPr>
        <w:numPr>
          <w:ilvl w:val="0"/>
          <w:numId w:val="1"/>
        </w:numPr>
        <w:shd w:val="clear" w:color="auto" w:fill="FFFFFF"/>
        <w:spacing w:before="100" w:beforeAutospacing="1" w:after="100" w:afterAutospacing="1" w:line="240" w:lineRule="auto"/>
        <w:ind w:left="375"/>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Site is irregular in shape, as shown, with approximate dimensions of 64 feet on Government Street and 184.22 feet on Rideau Street.</w:t>
      </w:r>
    </w:p>
    <w:p w14:paraId="22368D29" w14:textId="77777777" w:rsidR="00AE5288" w:rsidRPr="00AE5288" w:rsidRDefault="00AE5288" w:rsidP="00AE5288">
      <w:pPr>
        <w:numPr>
          <w:ilvl w:val="0"/>
          <w:numId w:val="1"/>
        </w:numPr>
        <w:shd w:val="clear" w:color="auto" w:fill="FFFFFF"/>
        <w:spacing w:before="100" w:beforeAutospacing="1" w:after="100" w:afterAutospacing="1" w:line="240" w:lineRule="auto"/>
        <w:ind w:left="375"/>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Sight lines are required from the Government Street/Rideau Street intersection into Trudeau Square.</w:t>
      </w:r>
    </w:p>
    <w:p w14:paraId="21D22B99" w14:textId="77777777" w:rsidR="00AE5288" w:rsidRPr="00AE5288" w:rsidRDefault="00AE5288" w:rsidP="00AE5288">
      <w:pPr>
        <w:numPr>
          <w:ilvl w:val="0"/>
          <w:numId w:val="1"/>
        </w:numPr>
        <w:shd w:val="clear" w:color="auto" w:fill="FFFFFF"/>
        <w:spacing w:before="100" w:beforeAutospacing="1" w:after="100" w:afterAutospacing="1" w:line="240" w:lineRule="auto"/>
        <w:ind w:left="375"/>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Building setbacks from Government Street vary from ±43 feet to 98 feet.</w:t>
      </w:r>
    </w:p>
    <w:p w14:paraId="16DF4DEC" w14:textId="77777777" w:rsidR="00AE5288" w:rsidRPr="00AE5288" w:rsidRDefault="00AE5288" w:rsidP="00AE5288">
      <w:pPr>
        <w:numPr>
          <w:ilvl w:val="0"/>
          <w:numId w:val="1"/>
        </w:numPr>
        <w:shd w:val="clear" w:color="auto" w:fill="FFFFFF"/>
        <w:spacing w:before="100" w:beforeAutospacing="1" w:after="100" w:afterAutospacing="1" w:line="240" w:lineRule="auto"/>
        <w:ind w:left="375"/>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Zoning variance will be provided for the construction of a six-storey building.</w:t>
      </w:r>
    </w:p>
    <w:p w14:paraId="0FBD1933" w14:textId="77777777" w:rsidR="00AE5288" w:rsidRPr="00AE5288" w:rsidRDefault="00AE5288" w:rsidP="00AE5288">
      <w:pPr>
        <w:numPr>
          <w:ilvl w:val="0"/>
          <w:numId w:val="1"/>
        </w:numPr>
        <w:shd w:val="clear" w:color="auto" w:fill="FFFFFF"/>
        <w:spacing w:before="100" w:beforeAutospacing="1" w:after="100" w:afterAutospacing="1" w:line="240" w:lineRule="auto"/>
        <w:ind w:left="375"/>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An estimate of market value of the fee simple interest of the subject parcel, as at July 1, 20X8, is required.</w:t>
      </w:r>
    </w:p>
    <w:p w14:paraId="647C716C"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b/>
          <w:bCs/>
          <w:color w:val="2D3B45"/>
          <w:sz w:val="24"/>
          <w:szCs w:val="24"/>
          <w:lang w:eastAsia="en-CA"/>
        </w:rPr>
        <w:t>Neighbourhood</w:t>
      </w:r>
    </w:p>
    <w:p w14:paraId="15182968"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 The subject property lies in the northern section of the Central Business District of Middleton, adjacent to the neighbourhood commonly referred to as Old Town.</w:t>
      </w:r>
    </w:p>
    <w:p w14:paraId="5AF94735"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The Old Town area is generally considered to be bounded by Government Street on the east, Courtney Street on the south, Rideau Canal on the west, and Chatham Street on the north. This area was originally developed around the turn of the century and was the centre of the original commercial development of the City of Middleton. With the growth of the City, the commercial area expanded to the east and is now considered to be centered along both sides of Douglas Street, one block to the east of the subject property.</w:t>
      </w:r>
    </w:p>
    <w:p w14:paraId="282DA096"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proofErr w:type="gramStart"/>
      <w:r w:rsidRPr="00AE5288">
        <w:rPr>
          <w:rFonts w:ascii="Helvetica" w:eastAsia="Times New Roman" w:hAnsi="Helvetica" w:cs="Helvetica"/>
          <w:color w:val="2D3B45"/>
          <w:sz w:val="24"/>
          <w:szCs w:val="24"/>
          <w:lang w:eastAsia="en-CA"/>
        </w:rPr>
        <w:t>In an effort to</w:t>
      </w:r>
      <w:proofErr w:type="gramEnd"/>
      <w:r w:rsidRPr="00AE5288">
        <w:rPr>
          <w:rFonts w:ascii="Helvetica" w:eastAsia="Times New Roman" w:hAnsi="Helvetica" w:cs="Helvetica"/>
          <w:color w:val="2D3B45"/>
          <w:sz w:val="24"/>
          <w:szCs w:val="24"/>
          <w:lang w:eastAsia="en-CA"/>
        </w:rPr>
        <w:t xml:space="preserve"> preserve early architecture prevalent in the neighbourhood, the City of Middleton has declared a number of buildings in the Old Town area as "heritage buildings". It is their goal to preserve these structures from either demolition or insensitive rehabilitation, in the hopes of retaining some of the character and charm of Middleton's earlier years.</w:t>
      </w:r>
    </w:p>
    <w:p w14:paraId="79765648"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Details on the immediate neighbourhood:</w:t>
      </w:r>
    </w:p>
    <w:p w14:paraId="4BD90669" w14:textId="77777777" w:rsidR="00AE5288" w:rsidRPr="00AE5288" w:rsidRDefault="00AE5288" w:rsidP="00AE5288">
      <w:pPr>
        <w:numPr>
          <w:ilvl w:val="0"/>
          <w:numId w:val="2"/>
        </w:numPr>
        <w:shd w:val="clear" w:color="auto" w:fill="FFFFFF"/>
        <w:spacing w:before="100" w:beforeAutospacing="1" w:after="100" w:afterAutospacing="1" w:line="240" w:lineRule="auto"/>
        <w:ind w:left="375"/>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North – Q Café and The Lee's Benevolent Association building.</w:t>
      </w:r>
    </w:p>
    <w:p w14:paraId="5FD7C688" w14:textId="77777777" w:rsidR="00AE5288" w:rsidRPr="00AE5288" w:rsidRDefault="00AE5288" w:rsidP="00AE5288">
      <w:pPr>
        <w:numPr>
          <w:ilvl w:val="0"/>
          <w:numId w:val="2"/>
        </w:numPr>
        <w:shd w:val="clear" w:color="auto" w:fill="FFFFFF"/>
        <w:spacing w:before="100" w:beforeAutospacing="1" w:after="100" w:afterAutospacing="1" w:line="240" w:lineRule="auto"/>
        <w:ind w:left="375"/>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East – CRD building under construction.</w:t>
      </w:r>
    </w:p>
    <w:p w14:paraId="73E827D2" w14:textId="77777777" w:rsidR="00AE5288" w:rsidRPr="00AE5288" w:rsidRDefault="00AE5288" w:rsidP="00AE5288">
      <w:pPr>
        <w:numPr>
          <w:ilvl w:val="0"/>
          <w:numId w:val="2"/>
        </w:numPr>
        <w:shd w:val="clear" w:color="auto" w:fill="FFFFFF"/>
        <w:spacing w:before="100" w:beforeAutospacing="1" w:after="100" w:afterAutospacing="1" w:line="240" w:lineRule="auto"/>
        <w:ind w:left="375"/>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lastRenderedPageBreak/>
        <w:t>Southeast – Trudeau Square comprises City Hall, activity area for open-air performances, restaurants, and retail area with offices over top.</w:t>
      </w:r>
    </w:p>
    <w:p w14:paraId="2C4C8A04" w14:textId="77777777" w:rsidR="00AE5288" w:rsidRPr="00AE5288" w:rsidRDefault="00AE5288" w:rsidP="00AE5288">
      <w:pPr>
        <w:numPr>
          <w:ilvl w:val="0"/>
          <w:numId w:val="2"/>
        </w:numPr>
        <w:shd w:val="clear" w:color="auto" w:fill="FFFFFF"/>
        <w:spacing w:before="100" w:beforeAutospacing="1" w:after="100" w:afterAutospacing="1" w:line="240" w:lineRule="auto"/>
        <w:ind w:left="375"/>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South – McPherson Playhouse.</w:t>
      </w:r>
    </w:p>
    <w:p w14:paraId="0F57967F" w14:textId="77777777" w:rsidR="00AE5288" w:rsidRPr="00AE5288" w:rsidRDefault="00AE5288" w:rsidP="00AE5288">
      <w:pPr>
        <w:numPr>
          <w:ilvl w:val="0"/>
          <w:numId w:val="2"/>
        </w:numPr>
        <w:shd w:val="clear" w:color="auto" w:fill="FFFFFF"/>
        <w:spacing w:before="100" w:beforeAutospacing="1" w:after="100" w:afterAutospacing="1" w:line="240" w:lineRule="auto"/>
        <w:ind w:left="375"/>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West – small retail units and entrance to Chinatown.</w:t>
      </w:r>
    </w:p>
    <w:p w14:paraId="2E352DDA"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 xml:space="preserve">The nature of the immediate neighbourhood is low-rise buildings with main floor retail and upper level </w:t>
      </w:r>
      <w:proofErr w:type="gramStart"/>
      <w:r w:rsidRPr="00AE5288">
        <w:rPr>
          <w:rFonts w:ascii="Helvetica" w:eastAsia="Times New Roman" w:hAnsi="Helvetica" w:cs="Helvetica"/>
          <w:color w:val="2D3B45"/>
          <w:sz w:val="24"/>
          <w:szCs w:val="24"/>
          <w:lang w:eastAsia="en-CA"/>
        </w:rPr>
        <w:t>office</w:t>
      </w:r>
      <w:proofErr w:type="gramEnd"/>
      <w:r w:rsidRPr="00AE5288">
        <w:rPr>
          <w:rFonts w:ascii="Helvetica" w:eastAsia="Times New Roman" w:hAnsi="Helvetica" w:cs="Helvetica"/>
          <w:color w:val="2D3B45"/>
          <w:sz w:val="24"/>
          <w:szCs w:val="24"/>
          <w:lang w:eastAsia="en-CA"/>
        </w:rPr>
        <w:t xml:space="preserve"> or apartment uses.</w:t>
      </w:r>
    </w:p>
    <w:p w14:paraId="492CC203"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b/>
          <w:bCs/>
          <w:color w:val="2D3B45"/>
          <w:sz w:val="24"/>
          <w:szCs w:val="24"/>
          <w:lang w:val="en-GB" w:eastAsia="en-CA"/>
        </w:rPr>
        <w:t>Site</w:t>
      </w:r>
    </w:p>
    <w:p w14:paraId="551BC14F"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val="en-GB" w:eastAsia="en-CA"/>
        </w:rPr>
        <w:t>The irregular-shaped site is projected to have an area of 15,470 sq. ft. with ±64 feet of frontage along Government Street and ±184.22 feet of frontage along Rideau Street.</w:t>
      </w:r>
    </w:p>
    <w:p w14:paraId="24D3D3D6"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i/>
          <w:iCs/>
          <w:color w:val="2D3B45"/>
          <w:sz w:val="24"/>
          <w:szCs w:val="24"/>
          <w:lang w:val="en-GB" w:eastAsia="en-CA"/>
        </w:rPr>
        <w:t>Topography </w:t>
      </w:r>
      <w:r w:rsidRPr="00AE5288">
        <w:rPr>
          <w:rFonts w:ascii="Helvetica" w:eastAsia="Times New Roman" w:hAnsi="Helvetica" w:cs="Helvetica"/>
          <w:color w:val="2D3B45"/>
          <w:sz w:val="24"/>
          <w:szCs w:val="24"/>
          <w:lang w:val="en-GB" w:eastAsia="en-CA"/>
        </w:rPr>
        <w:t>– The site is level.</w:t>
      </w:r>
    </w:p>
    <w:p w14:paraId="6D726DF0"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i/>
          <w:iCs/>
          <w:color w:val="2D3B45"/>
          <w:sz w:val="24"/>
          <w:szCs w:val="24"/>
          <w:lang w:val="en-GB" w:eastAsia="en-CA"/>
        </w:rPr>
        <w:t>Soil </w:t>
      </w:r>
      <w:r w:rsidRPr="00AE5288">
        <w:rPr>
          <w:rFonts w:ascii="Helvetica" w:eastAsia="Times New Roman" w:hAnsi="Helvetica" w:cs="Helvetica"/>
          <w:color w:val="2D3B45"/>
          <w:sz w:val="24"/>
          <w:szCs w:val="24"/>
          <w:lang w:val="en-GB" w:eastAsia="en-CA"/>
        </w:rPr>
        <w:t xml:space="preserve">– Based on neighbouring buildings, soil is adequate for at least low-rise development. As there are some pockets of blue clay in the general area, such as at the </w:t>
      </w:r>
      <w:proofErr w:type="spellStart"/>
      <w:r w:rsidRPr="00AE5288">
        <w:rPr>
          <w:rFonts w:ascii="Helvetica" w:eastAsia="Times New Roman" w:hAnsi="Helvetica" w:cs="Helvetica"/>
          <w:color w:val="2D3B45"/>
          <w:sz w:val="24"/>
          <w:szCs w:val="24"/>
          <w:lang w:val="en-GB" w:eastAsia="en-CA"/>
        </w:rPr>
        <w:t>northeastern</w:t>
      </w:r>
      <w:proofErr w:type="spellEnd"/>
      <w:r w:rsidRPr="00AE5288">
        <w:rPr>
          <w:rFonts w:ascii="Helvetica" w:eastAsia="Times New Roman" w:hAnsi="Helvetica" w:cs="Helvetica"/>
          <w:color w:val="2D3B45"/>
          <w:sz w:val="24"/>
          <w:szCs w:val="24"/>
          <w:lang w:val="en-GB" w:eastAsia="en-CA"/>
        </w:rPr>
        <w:t xml:space="preserve"> corner of Bristol and Montreal Streets, soil tests would be required to verify that the subject site </w:t>
      </w:r>
      <w:proofErr w:type="gramStart"/>
      <w:r w:rsidRPr="00AE5288">
        <w:rPr>
          <w:rFonts w:ascii="Helvetica" w:eastAsia="Times New Roman" w:hAnsi="Helvetica" w:cs="Helvetica"/>
          <w:color w:val="2D3B45"/>
          <w:sz w:val="24"/>
          <w:szCs w:val="24"/>
          <w:lang w:val="en-GB" w:eastAsia="en-CA"/>
        </w:rPr>
        <w:t>is capable of supporting</w:t>
      </w:r>
      <w:proofErr w:type="gramEnd"/>
      <w:r w:rsidRPr="00AE5288">
        <w:rPr>
          <w:rFonts w:ascii="Helvetica" w:eastAsia="Times New Roman" w:hAnsi="Helvetica" w:cs="Helvetica"/>
          <w:color w:val="2D3B45"/>
          <w:sz w:val="24"/>
          <w:szCs w:val="24"/>
          <w:lang w:val="en-GB" w:eastAsia="en-CA"/>
        </w:rPr>
        <w:t xml:space="preserve"> high-rise development.</w:t>
      </w:r>
    </w:p>
    <w:p w14:paraId="59F08F0A"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i/>
          <w:iCs/>
          <w:color w:val="2D3B45"/>
          <w:sz w:val="24"/>
          <w:szCs w:val="24"/>
          <w:lang w:val="en-GB" w:eastAsia="en-CA"/>
        </w:rPr>
        <w:t>Environmental Concerns </w:t>
      </w:r>
      <w:r w:rsidRPr="00AE5288">
        <w:rPr>
          <w:rFonts w:ascii="Helvetica" w:eastAsia="Times New Roman" w:hAnsi="Helvetica" w:cs="Helvetica"/>
          <w:color w:val="2D3B45"/>
          <w:sz w:val="24"/>
          <w:szCs w:val="24"/>
          <w:lang w:val="en-GB" w:eastAsia="en-CA"/>
        </w:rPr>
        <w:t>– Considering that the adjacent site to the east had contaminated soil, there is reason to suspect that the subject soil is similarly contaminated.</w:t>
      </w:r>
    </w:p>
    <w:p w14:paraId="7CAC6066"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i/>
          <w:iCs/>
          <w:color w:val="2D3B45"/>
          <w:sz w:val="24"/>
          <w:szCs w:val="24"/>
          <w:lang w:val="en-GB" w:eastAsia="en-CA"/>
        </w:rPr>
        <w:t>Drainage </w:t>
      </w:r>
      <w:r w:rsidRPr="00AE5288">
        <w:rPr>
          <w:rFonts w:ascii="Helvetica" w:eastAsia="Times New Roman" w:hAnsi="Helvetica" w:cs="Helvetica"/>
          <w:color w:val="2D3B45"/>
          <w:sz w:val="24"/>
          <w:szCs w:val="24"/>
          <w:lang w:val="en-GB" w:eastAsia="en-CA"/>
        </w:rPr>
        <w:t>– The site is adequately drained to the street drains.</w:t>
      </w:r>
    </w:p>
    <w:p w14:paraId="7BFB2D3A"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i/>
          <w:iCs/>
          <w:color w:val="2D3B45"/>
          <w:sz w:val="24"/>
          <w:szCs w:val="24"/>
          <w:lang w:val="en-GB" w:eastAsia="en-CA"/>
        </w:rPr>
        <w:t>Vegetation </w:t>
      </w:r>
      <w:r w:rsidRPr="00AE5288">
        <w:rPr>
          <w:rFonts w:ascii="Helvetica" w:eastAsia="Times New Roman" w:hAnsi="Helvetica" w:cs="Helvetica"/>
          <w:color w:val="2D3B45"/>
          <w:sz w:val="24"/>
          <w:szCs w:val="24"/>
          <w:lang w:val="en-GB" w:eastAsia="en-CA"/>
        </w:rPr>
        <w:t>– There is no vegetation.</w:t>
      </w:r>
    </w:p>
    <w:p w14:paraId="6E02F3CB"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i/>
          <w:iCs/>
          <w:color w:val="2D3B45"/>
          <w:sz w:val="24"/>
          <w:szCs w:val="24"/>
          <w:lang w:val="en-GB" w:eastAsia="en-CA"/>
        </w:rPr>
        <w:t>Services </w:t>
      </w:r>
      <w:r w:rsidRPr="00AE5288">
        <w:rPr>
          <w:rFonts w:ascii="Helvetica" w:eastAsia="Times New Roman" w:hAnsi="Helvetica" w:cs="Helvetica"/>
          <w:color w:val="2D3B45"/>
          <w:sz w:val="24"/>
          <w:szCs w:val="24"/>
          <w:lang w:val="en-GB" w:eastAsia="en-CA"/>
        </w:rPr>
        <w:t xml:space="preserve">– </w:t>
      </w:r>
      <w:proofErr w:type="gramStart"/>
      <w:r w:rsidRPr="00AE5288">
        <w:rPr>
          <w:rFonts w:ascii="Helvetica" w:eastAsia="Times New Roman" w:hAnsi="Helvetica" w:cs="Helvetica"/>
          <w:color w:val="2D3B45"/>
          <w:sz w:val="24"/>
          <w:szCs w:val="24"/>
          <w:lang w:val="en-GB" w:eastAsia="en-CA"/>
        </w:rPr>
        <w:t>Hydro-electricity</w:t>
      </w:r>
      <w:proofErr w:type="gramEnd"/>
      <w:r w:rsidRPr="00AE5288">
        <w:rPr>
          <w:rFonts w:ascii="Helvetica" w:eastAsia="Times New Roman" w:hAnsi="Helvetica" w:cs="Helvetica"/>
          <w:color w:val="2D3B45"/>
          <w:sz w:val="24"/>
          <w:szCs w:val="24"/>
          <w:lang w:val="en-GB" w:eastAsia="en-CA"/>
        </w:rPr>
        <w:t xml:space="preserve"> (underground wiring), natural gas, cablevision, telephone, garbage removal, municipal water, storm drains, sanitary sewers, and fire/police/medical services are provided.</w:t>
      </w:r>
    </w:p>
    <w:p w14:paraId="024F97FA"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i/>
          <w:iCs/>
          <w:color w:val="2D3B45"/>
          <w:sz w:val="24"/>
          <w:szCs w:val="24"/>
          <w:lang w:val="en-GB" w:eastAsia="en-CA"/>
        </w:rPr>
        <w:t>Street Improvements </w:t>
      </w:r>
      <w:r w:rsidRPr="00AE5288">
        <w:rPr>
          <w:rFonts w:ascii="Helvetica" w:eastAsia="Times New Roman" w:hAnsi="Helvetica" w:cs="Helvetica"/>
          <w:color w:val="2D3B45"/>
          <w:sz w:val="24"/>
          <w:szCs w:val="24"/>
          <w:lang w:val="en-GB" w:eastAsia="en-CA"/>
        </w:rPr>
        <w:t>– Traffic lights control the Government/Rideau streets’ intersection.</w:t>
      </w:r>
    </w:p>
    <w:p w14:paraId="42861495"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val="en-GB" w:eastAsia="en-CA"/>
        </w:rPr>
        <w:t xml:space="preserve">Government Street is a 90-foot wide right-of-way comprising a paved two-way road with four driving lanes, </w:t>
      </w:r>
      <w:proofErr w:type="gramStart"/>
      <w:r w:rsidRPr="00AE5288">
        <w:rPr>
          <w:rFonts w:ascii="Helvetica" w:eastAsia="Times New Roman" w:hAnsi="Helvetica" w:cs="Helvetica"/>
          <w:color w:val="2D3B45"/>
          <w:sz w:val="24"/>
          <w:szCs w:val="24"/>
          <w:lang w:val="en-GB" w:eastAsia="en-CA"/>
        </w:rPr>
        <w:t>street lights</w:t>
      </w:r>
      <w:proofErr w:type="gramEnd"/>
      <w:r w:rsidRPr="00AE5288">
        <w:rPr>
          <w:rFonts w:ascii="Helvetica" w:eastAsia="Times New Roman" w:hAnsi="Helvetica" w:cs="Helvetica"/>
          <w:color w:val="2D3B45"/>
          <w:sz w:val="24"/>
          <w:szCs w:val="24"/>
          <w:lang w:val="en-GB" w:eastAsia="en-CA"/>
        </w:rPr>
        <w:t>, curbs, gutters, and sidewalks on both sides of the street. Metered parking is permitted on both sides of the road.</w:t>
      </w:r>
    </w:p>
    <w:p w14:paraId="2CD06BE7"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val="en-GB" w:eastAsia="en-CA"/>
        </w:rPr>
        <w:t xml:space="preserve">Rideau Street is a 66-foot wide right-of-way comprising a paved two-way road with two driving lanes, </w:t>
      </w:r>
      <w:proofErr w:type="gramStart"/>
      <w:r w:rsidRPr="00AE5288">
        <w:rPr>
          <w:rFonts w:ascii="Helvetica" w:eastAsia="Times New Roman" w:hAnsi="Helvetica" w:cs="Helvetica"/>
          <w:color w:val="2D3B45"/>
          <w:sz w:val="24"/>
          <w:szCs w:val="24"/>
          <w:lang w:val="en-GB" w:eastAsia="en-CA"/>
        </w:rPr>
        <w:t>street lights</w:t>
      </w:r>
      <w:proofErr w:type="gramEnd"/>
      <w:r w:rsidRPr="00AE5288">
        <w:rPr>
          <w:rFonts w:ascii="Helvetica" w:eastAsia="Times New Roman" w:hAnsi="Helvetica" w:cs="Helvetica"/>
          <w:color w:val="2D3B45"/>
          <w:sz w:val="24"/>
          <w:szCs w:val="24"/>
          <w:lang w:val="en-GB" w:eastAsia="en-CA"/>
        </w:rPr>
        <w:t>, curbs, gutters, and sidewalks on both sides of the street. Metered parking is permitted on both sides of the road.</w:t>
      </w:r>
    </w:p>
    <w:p w14:paraId="52C84A3E"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i/>
          <w:iCs/>
          <w:color w:val="2D3B45"/>
          <w:sz w:val="24"/>
          <w:szCs w:val="24"/>
          <w:lang w:val="en-GB" w:eastAsia="en-CA"/>
        </w:rPr>
        <w:t>Access </w:t>
      </w:r>
      <w:r w:rsidRPr="00AE5288">
        <w:rPr>
          <w:rFonts w:ascii="Helvetica" w:eastAsia="Times New Roman" w:hAnsi="Helvetica" w:cs="Helvetica"/>
          <w:color w:val="2D3B45"/>
          <w:sz w:val="24"/>
          <w:szCs w:val="24"/>
          <w:lang w:val="en-GB" w:eastAsia="en-CA"/>
        </w:rPr>
        <w:t>– Vehicular access is not provided to the site.</w:t>
      </w:r>
    </w:p>
    <w:p w14:paraId="68D517BE"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b/>
          <w:bCs/>
          <w:color w:val="2D3B45"/>
          <w:sz w:val="24"/>
          <w:szCs w:val="24"/>
          <w:lang w:eastAsia="en-CA"/>
        </w:rPr>
        <w:t>Highest and Best Use</w:t>
      </w:r>
    </w:p>
    <w:p w14:paraId="51FCD174"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 xml:space="preserve">The subject property is located on the periphery of downtown Middleton, a strong commercial neighbourhood. Although several uses in Trudeau Square are non-commercial, uses on the other three corners at the subject intersection are commercial. The subject is zoned to permit commercial uses </w:t>
      </w:r>
      <w:proofErr w:type="gramStart"/>
      <w:r w:rsidRPr="00AE5288">
        <w:rPr>
          <w:rFonts w:ascii="Helvetica" w:eastAsia="Times New Roman" w:hAnsi="Helvetica" w:cs="Helvetica"/>
          <w:color w:val="2D3B45"/>
          <w:sz w:val="24"/>
          <w:szCs w:val="24"/>
          <w:lang w:eastAsia="en-CA"/>
        </w:rPr>
        <w:t>similar to</w:t>
      </w:r>
      <w:proofErr w:type="gramEnd"/>
      <w:r w:rsidRPr="00AE5288">
        <w:rPr>
          <w:rFonts w:ascii="Helvetica" w:eastAsia="Times New Roman" w:hAnsi="Helvetica" w:cs="Helvetica"/>
          <w:color w:val="2D3B45"/>
          <w:sz w:val="24"/>
          <w:szCs w:val="24"/>
          <w:lang w:eastAsia="en-CA"/>
        </w:rPr>
        <w:t xml:space="preserve"> those existing at the other </w:t>
      </w:r>
      <w:r w:rsidRPr="00AE5288">
        <w:rPr>
          <w:rFonts w:ascii="Helvetica" w:eastAsia="Times New Roman" w:hAnsi="Helvetica" w:cs="Helvetica"/>
          <w:color w:val="2D3B45"/>
          <w:sz w:val="24"/>
          <w:szCs w:val="24"/>
          <w:lang w:eastAsia="en-CA"/>
        </w:rPr>
        <w:lastRenderedPageBreak/>
        <w:t>corners of the subject intersection, and the market study indicates that there is demand for such uses.</w:t>
      </w:r>
    </w:p>
    <w:p w14:paraId="6AFC2B86"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 xml:space="preserve">The site adjacent to the eastern lot line of the subject property has recently been remediated by means of soil removal and disposal. It was contaminated with both heating oil from a leaking underground storage tank and with heavy metals. Monitoring wells on the adjacent site indicate that contamination is no longer migrating off-site via groundwater. Due to both the high-profile downtown location of this adjacent site and its formerly migrating contamination, an RA/RM program was unacceptable. The removal and disposal program to meet residential standards was undertaken at the insistence of the Ministry of Environment. As ordered by the Ministry, the subject site was tested and found to contain contamination </w:t>
      </w:r>
      <w:proofErr w:type="gramStart"/>
      <w:r w:rsidRPr="00AE5288">
        <w:rPr>
          <w:rFonts w:ascii="Helvetica" w:eastAsia="Times New Roman" w:hAnsi="Helvetica" w:cs="Helvetica"/>
          <w:color w:val="2D3B45"/>
          <w:sz w:val="24"/>
          <w:szCs w:val="24"/>
          <w:lang w:eastAsia="en-CA"/>
        </w:rPr>
        <w:t>similar to</w:t>
      </w:r>
      <w:proofErr w:type="gramEnd"/>
      <w:r w:rsidRPr="00AE5288">
        <w:rPr>
          <w:rFonts w:ascii="Helvetica" w:eastAsia="Times New Roman" w:hAnsi="Helvetica" w:cs="Helvetica"/>
          <w:color w:val="2D3B45"/>
          <w:sz w:val="24"/>
          <w:szCs w:val="24"/>
          <w:lang w:eastAsia="en-CA"/>
        </w:rPr>
        <w:t xml:space="preserve"> that discovered on the adjacent site. The contaminated soil on the subject site will have to be removed and replaced with clean fill.</w:t>
      </w:r>
    </w:p>
    <w:p w14:paraId="671EB275"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Given the foregoing, for highest and best use analysis, the subject site is treated as if uncontaminated because full clean-up to residential standards is required, but its actual contamination will be analyzed in the valuation section.</w:t>
      </w:r>
    </w:p>
    <w:p w14:paraId="1FB1193C"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Considering both the results of the market study and neighbouring uses, highest and best use of the subject site is estimated to be a low-rise building with main floor retail on Government Street, main floor office commercial or retail on Rideau Street, and apartment uses on the upper floors.</w:t>
      </w:r>
    </w:p>
    <w:p w14:paraId="6821C765"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This use meets the following four tests of highest and best use:</w:t>
      </w:r>
    </w:p>
    <w:p w14:paraId="72EB5B29" w14:textId="77777777" w:rsidR="00AE5288" w:rsidRPr="00AE5288" w:rsidRDefault="00AE5288" w:rsidP="00AE5288">
      <w:pPr>
        <w:numPr>
          <w:ilvl w:val="0"/>
          <w:numId w:val="3"/>
        </w:numPr>
        <w:shd w:val="clear" w:color="auto" w:fill="FFFFFF"/>
        <w:spacing w:before="100" w:beforeAutospacing="1" w:after="100" w:afterAutospacing="1" w:line="240" w:lineRule="auto"/>
        <w:ind w:left="375"/>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Considering that low-rise buildings both exist and are under construction adjacent to the subject site, such development is physically possible.</w:t>
      </w:r>
    </w:p>
    <w:p w14:paraId="4A151C32" w14:textId="77777777" w:rsidR="00AE5288" w:rsidRPr="00AE5288" w:rsidRDefault="00AE5288" w:rsidP="00AE5288">
      <w:pPr>
        <w:numPr>
          <w:ilvl w:val="0"/>
          <w:numId w:val="3"/>
        </w:numPr>
        <w:shd w:val="clear" w:color="auto" w:fill="FFFFFF"/>
        <w:spacing w:before="100" w:beforeAutospacing="1" w:after="100" w:afterAutospacing="1" w:line="240" w:lineRule="auto"/>
        <w:ind w:left="375"/>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 xml:space="preserve">Zoning permits highest and best uses estimated for the </w:t>
      </w:r>
      <w:proofErr w:type="gramStart"/>
      <w:r w:rsidRPr="00AE5288">
        <w:rPr>
          <w:rFonts w:ascii="Helvetica" w:eastAsia="Times New Roman" w:hAnsi="Helvetica" w:cs="Helvetica"/>
          <w:color w:val="2D3B45"/>
          <w:sz w:val="24"/>
          <w:szCs w:val="24"/>
          <w:lang w:eastAsia="en-CA"/>
        </w:rPr>
        <w:t>site,</w:t>
      </w:r>
      <w:proofErr w:type="gramEnd"/>
      <w:r w:rsidRPr="00AE5288">
        <w:rPr>
          <w:rFonts w:ascii="Helvetica" w:eastAsia="Times New Roman" w:hAnsi="Helvetica" w:cs="Helvetica"/>
          <w:color w:val="2D3B45"/>
          <w:sz w:val="24"/>
          <w:szCs w:val="24"/>
          <w:lang w:eastAsia="en-CA"/>
        </w:rPr>
        <w:t xml:space="preserve"> therefore the highest and best use is legally permissible.</w:t>
      </w:r>
    </w:p>
    <w:p w14:paraId="26E77E03" w14:textId="77777777" w:rsidR="00AE5288" w:rsidRPr="00AE5288" w:rsidRDefault="00AE5288" w:rsidP="00AE5288">
      <w:pPr>
        <w:numPr>
          <w:ilvl w:val="0"/>
          <w:numId w:val="3"/>
        </w:numPr>
        <w:shd w:val="clear" w:color="auto" w:fill="FFFFFF"/>
        <w:spacing w:before="100" w:beforeAutospacing="1" w:after="100" w:afterAutospacing="1" w:line="240" w:lineRule="auto"/>
        <w:ind w:left="375"/>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Demand in this location exists for all the uses estimated. Therefore, the proposed use is financially feasible.</w:t>
      </w:r>
    </w:p>
    <w:p w14:paraId="19D9F662" w14:textId="77777777" w:rsidR="00AE5288" w:rsidRPr="00AE5288" w:rsidRDefault="00AE5288" w:rsidP="00AE5288">
      <w:pPr>
        <w:numPr>
          <w:ilvl w:val="0"/>
          <w:numId w:val="3"/>
        </w:numPr>
        <w:shd w:val="clear" w:color="auto" w:fill="FFFFFF"/>
        <w:spacing w:before="100" w:beforeAutospacing="1" w:after="100" w:afterAutospacing="1" w:line="240" w:lineRule="auto"/>
        <w:ind w:left="375"/>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Highest main floor rents are achievable from commercial rents. Highest upper floor income is achievable from the sale of condominium apartments for which there is demand and which is advocated by the Official Community Plan (OCP). Therefore, the proposed development meets the test of maximum productivity.</w:t>
      </w:r>
    </w:p>
    <w:p w14:paraId="59CDD768"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b/>
          <w:bCs/>
          <w:color w:val="2D3B45"/>
          <w:sz w:val="24"/>
          <w:szCs w:val="24"/>
          <w:lang w:val="en-GB" w:eastAsia="en-CA"/>
        </w:rPr>
        <w:t>Valuation Methodology</w:t>
      </w:r>
    </w:p>
    <w:p w14:paraId="48CD8766"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val="en-GB" w:eastAsia="en-CA"/>
        </w:rPr>
        <w:t>Information required to estimate impaired and unimpaired values is provided below. All indices have the same commercial zoning as the subject site that permits a floor space ratio (FSR) of 3:1.</w:t>
      </w:r>
    </w:p>
    <w:p w14:paraId="0FD02CFF"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i/>
          <w:iCs/>
          <w:color w:val="2D3B45"/>
          <w:sz w:val="24"/>
          <w:szCs w:val="24"/>
          <w:lang w:val="en-GB" w:eastAsia="en-CA"/>
        </w:rPr>
        <w:t>Index 1</w:t>
      </w:r>
      <w:r w:rsidRPr="00AE5288">
        <w:rPr>
          <w:rFonts w:ascii="Helvetica" w:eastAsia="Times New Roman" w:hAnsi="Helvetica" w:cs="Helvetica"/>
          <w:color w:val="2D3B45"/>
          <w:sz w:val="24"/>
          <w:szCs w:val="24"/>
          <w:lang w:val="en-GB" w:eastAsia="en-CA"/>
        </w:rPr>
        <w:t xml:space="preserve"> is a level, corner, 4,283 sq. ft. rectangular-shaped public parking lot that is ripe for development on Broad Street. A 90-day listing agreement with </w:t>
      </w:r>
      <w:proofErr w:type="spellStart"/>
      <w:r w:rsidRPr="00AE5288">
        <w:rPr>
          <w:rFonts w:ascii="Helvetica" w:eastAsia="Times New Roman" w:hAnsi="Helvetica" w:cs="Helvetica"/>
          <w:color w:val="2D3B45"/>
          <w:sz w:val="24"/>
          <w:szCs w:val="24"/>
          <w:lang w:val="en-GB" w:eastAsia="en-CA"/>
        </w:rPr>
        <w:t>Corland</w:t>
      </w:r>
      <w:proofErr w:type="spellEnd"/>
      <w:r w:rsidRPr="00AE5288">
        <w:rPr>
          <w:rFonts w:ascii="Helvetica" w:eastAsia="Times New Roman" w:hAnsi="Helvetica" w:cs="Helvetica"/>
          <w:color w:val="2D3B45"/>
          <w:sz w:val="24"/>
          <w:szCs w:val="24"/>
          <w:lang w:val="en-GB" w:eastAsia="en-CA"/>
        </w:rPr>
        <w:t xml:space="preserve"> Savings Real Estate, at a list price of $570,000, expired at the end of June 20X7. The owner was interviewed and stated that during this period he received arm's length offers up to $530,000. He subsequently removed Index 1, unsold, from the market.</w:t>
      </w:r>
    </w:p>
    <w:p w14:paraId="405AFD6A"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i/>
          <w:iCs/>
          <w:color w:val="2D3B45"/>
          <w:sz w:val="24"/>
          <w:szCs w:val="24"/>
          <w:lang w:val="en-GB" w:eastAsia="en-CA"/>
        </w:rPr>
        <w:lastRenderedPageBreak/>
        <w:t>Index 2 </w:t>
      </w:r>
      <w:r w:rsidRPr="00AE5288">
        <w:rPr>
          <w:rFonts w:ascii="Helvetica" w:eastAsia="Times New Roman" w:hAnsi="Helvetica" w:cs="Helvetica"/>
          <w:color w:val="2D3B45"/>
          <w:sz w:val="24"/>
          <w:szCs w:val="24"/>
          <w:lang w:val="en-GB" w:eastAsia="en-CA"/>
        </w:rPr>
        <w:t>is a level, corner, 5,400 sq. ft. rectangular parking lot that is used by 610 Marlin Street for parking purposes. Index 2 was sold as part of the arm's length sale of 610 Marlin Street for a total sale price of $3,750,000 in May 20X6. The vendor was interviewed and stated that she and the purchaser included Index 2 in the total sale price at a value of $588,000.</w:t>
      </w:r>
    </w:p>
    <w:p w14:paraId="7DB8AFFC"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i/>
          <w:iCs/>
          <w:color w:val="2D3B45"/>
          <w:sz w:val="24"/>
          <w:szCs w:val="24"/>
          <w:lang w:val="en-GB" w:eastAsia="en-CA"/>
        </w:rPr>
        <w:t>Index 3 </w:t>
      </w:r>
      <w:r w:rsidRPr="00AE5288">
        <w:rPr>
          <w:rFonts w:ascii="Helvetica" w:eastAsia="Times New Roman" w:hAnsi="Helvetica" w:cs="Helvetica"/>
          <w:color w:val="2D3B45"/>
          <w:sz w:val="24"/>
          <w:szCs w:val="24"/>
          <w:lang w:val="en-GB" w:eastAsia="en-CA"/>
        </w:rPr>
        <w:t>is a gently-sloping, 7,200 sq. ft. interior, irregular-shaped site that was improved with an older duplex at the time of sale. It sold in May 20X7 for $640,000. The duplex has since been removed and the site is being developed with live/work units. The purchaser confirmed that the removal cost of the duplex did not affect the offer price.</w:t>
      </w:r>
    </w:p>
    <w:p w14:paraId="314446A4"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i/>
          <w:iCs/>
          <w:color w:val="2D3B45"/>
          <w:sz w:val="24"/>
          <w:szCs w:val="24"/>
          <w:lang w:val="en-GB" w:eastAsia="en-CA"/>
        </w:rPr>
        <w:t>Index 4 </w:t>
      </w:r>
      <w:r w:rsidRPr="00AE5288">
        <w:rPr>
          <w:rFonts w:ascii="Helvetica" w:eastAsia="Times New Roman" w:hAnsi="Helvetica" w:cs="Helvetica"/>
          <w:color w:val="2D3B45"/>
          <w:sz w:val="24"/>
          <w:szCs w:val="24"/>
          <w:lang w:val="en-GB" w:eastAsia="en-CA"/>
        </w:rPr>
        <w:t>is a level, 9,606 sq. ft. corner, rectangular site improved with a small building. Testing has proved load-bearing capacity of the ground is suitable for high-rise development. The listing salesperson stated that an arm's length offer of $857,000 in June 20X6 was received conditional on the vendor conducting an environmental survey and remediating any contamination found. Because the vendor believed that there was no reason to suspect the existence of contamination, the vendor did not agree to incur the expense of conducting an environmental investigation and the offer was not accepted.</w:t>
      </w:r>
    </w:p>
    <w:p w14:paraId="2356D13B"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i/>
          <w:iCs/>
          <w:color w:val="2D3B45"/>
          <w:sz w:val="24"/>
          <w:szCs w:val="24"/>
          <w:lang w:val="en-GB" w:eastAsia="en-CA"/>
        </w:rPr>
        <w:t>Index 5 </w:t>
      </w:r>
      <w:r w:rsidRPr="00AE5288">
        <w:rPr>
          <w:rFonts w:ascii="Helvetica" w:eastAsia="Times New Roman" w:hAnsi="Helvetica" w:cs="Helvetica"/>
          <w:color w:val="2D3B45"/>
          <w:sz w:val="24"/>
          <w:szCs w:val="24"/>
          <w:lang w:val="en-GB" w:eastAsia="en-CA"/>
        </w:rPr>
        <w:t>is a sloping, 34,728 sq. ft. interior, slightly irregular-shaped site comprised of three contiguous lots. One of the purchasers interviewed, stated that the September 20X7 sale price of $3,000,000 was based on achieving rezoning to permit a FSR of 3:1 to construct two towers.</w:t>
      </w:r>
    </w:p>
    <w:p w14:paraId="54A57B21"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i/>
          <w:iCs/>
          <w:color w:val="2D3B45"/>
          <w:sz w:val="24"/>
          <w:szCs w:val="24"/>
          <w:lang w:val="en-GB" w:eastAsia="en-CA"/>
        </w:rPr>
        <w:t>Index 6 </w:t>
      </w:r>
      <w:r w:rsidRPr="00AE5288">
        <w:rPr>
          <w:rFonts w:ascii="Helvetica" w:eastAsia="Times New Roman" w:hAnsi="Helvetica" w:cs="Helvetica"/>
          <w:color w:val="2D3B45"/>
          <w:sz w:val="24"/>
          <w:szCs w:val="24"/>
          <w:lang w:val="en-GB" w:eastAsia="en-CA"/>
        </w:rPr>
        <w:t>is a level, interior, 12,720 sq. ft. rectangular parking lot that was remediated at vendor's expense due to presence of heavy metals. It sold for $940,500 in June 20X7 with a certificate of compliance in place that permitted all zoned uses.</w:t>
      </w:r>
    </w:p>
    <w:p w14:paraId="6B7191C1"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i/>
          <w:iCs/>
          <w:color w:val="2D3B45"/>
          <w:sz w:val="24"/>
          <w:szCs w:val="24"/>
          <w:lang w:val="en-GB" w:eastAsia="en-CA"/>
        </w:rPr>
        <w:t>Index 7 </w:t>
      </w:r>
      <w:r w:rsidRPr="00AE5288">
        <w:rPr>
          <w:rFonts w:ascii="Helvetica" w:eastAsia="Times New Roman" w:hAnsi="Helvetica" w:cs="Helvetica"/>
          <w:color w:val="2D3B45"/>
          <w:sz w:val="24"/>
          <w:szCs w:val="24"/>
          <w:lang w:val="en-GB" w:eastAsia="en-CA"/>
        </w:rPr>
        <w:t>is a level, corner, rectangular, 16,331 sq. ft. vacant former service station site that was remediated at the vendor's expense and sold for $1,245,000 in August 20X6 with a certificate of compliance in place.</w:t>
      </w:r>
    </w:p>
    <w:p w14:paraId="7EF1811C"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i/>
          <w:iCs/>
          <w:color w:val="2D3B45"/>
          <w:sz w:val="24"/>
          <w:szCs w:val="24"/>
          <w:lang w:val="en-GB" w:eastAsia="en-CA"/>
        </w:rPr>
        <w:t>Index 8 </w:t>
      </w:r>
      <w:r w:rsidRPr="00AE5288">
        <w:rPr>
          <w:rFonts w:ascii="Helvetica" w:eastAsia="Times New Roman" w:hAnsi="Helvetica" w:cs="Helvetica"/>
          <w:color w:val="2D3B45"/>
          <w:sz w:val="24"/>
          <w:szCs w:val="24"/>
          <w:lang w:val="en-GB" w:eastAsia="en-CA"/>
        </w:rPr>
        <w:t>is a level, interior, square, 14,500 sq. ft. vacant site that initially sold in May 20X5 at $1,290,500 conditional on the purchaser verifying, at an expense shared between the vendor and prospective purchaser, that the site was not contaminated. An environmental survey discovered that the site was contaminated with heavy metals and the deal collapsed. The vendor remediated the site, at her own expense, and sold it for $1,013,000 in December 20X7 with a certificate of compliance in place.</w:t>
      </w:r>
    </w:p>
    <w:p w14:paraId="6729907B" w14:textId="4098BEE3" w:rsidR="00AE5288" w:rsidRDefault="00AE5288">
      <w:r>
        <w:br w:type="page"/>
      </w:r>
    </w:p>
    <w:p w14:paraId="3EDFDC23" w14:textId="225C5081" w:rsidR="00AE5288" w:rsidRDefault="00AE5288">
      <w:pPr>
        <w:rPr>
          <w:rFonts w:ascii="Helvetica" w:hAnsi="Helvetica" w:cs="Helvetica"/>
          <w:color w:val="2D3B45"/>
          <w:shd w:val="clear" w:color="auto" w:fill="FFFFFF"/>
        </w:rPr>
      </w:pPr>
      <w:r w:rsidRPr="00AE5288">
        <w:rPr>
          <w:rFonts w:ascii="Helvetica" w:hAnsi="Helvetica" w:cs="Helvetica"/>
          <w:b/>
          <w:bCs/>
          <w:color w:val="2D3B45"/>
          <w:shd w:val="clear" w:color="auto" w:fill="FFFFFF"/>
        </w:rPr>
        <w:lastRenderedPageBreak/>
        <w:t>Question 1</w:t>
      </w:r>
      <w:r w:rsidRPr="00AE5288">
        <w:rPr>
          <w:rFonts w:ascii="Helvetica" w:hAnsi="Helvetica" w:cs="Helvetica"/>
          <w:color w:val="2D3B45"/>
          <w:shd w:val="clear" w:color="auto" w:fill="FFFFFF"/>
        </w:rPr>
        <w:t xml:space="preserve"> </w:t>
      </w:r>
      <w:r>
        <w:rPr>
          <w:rFonts w:ascii="Helvetica" w:hAnsi="Helvetica" w:cs="Helvetica"/>
          <w:color w:val="2D3B45"/>
          <w:shd w:val="clear" w:color="auto" w:fill="FFFFFF"/>
        </w:rPr>
        <w:t>Which indices can be used to estimate unimpaired market value, i.e., no contamination present? Which indices can be used to estimate market resistance (stigma effect)? In your answer, comment on each index, thereby providing support for each selection.</w:t>
      </w:r>
      <w:r>
        <w:rPr>
          <w:rFonts w:ascii="Helvetica" w:hAnsi="Helvetica" w:cs="Helvetica"/>
          <w:color w:val="2D3B45"/>
          <w:shd w:val="clear" w:color="auto" w:fill="FFFFFF"/>
        </w:rPr>
        <w:t xml:space="preserve"> </w:t>
      </w:r>
    </w:p>
    <w:p w14:paraId="4A891771" w14:textId="77777777" w:rsidR="00AE5288" w:rsidRDefault="00AE5288">
      <w:pPr>
        <w:rPr>
          <w:rFonts w:ascii="Helvetica" w:hAnsi="Helvetica" w:cs="Helvetica"/>
          <w:color w:val="2D3B45"/>
          <w:shd w:val="clear" w:color="auto" w:fill="FFFFFF"/>
        </w:rPr>
      </w:pPr>
      <w:r>
        <w:rPr>
          <w:rFonts w:ascii="Helvetica" w:hAnsi="Helvetica" w:cs="Helvetica"/>
          <w:color w:val="2D3B45"/>
          <w:shd w:val="clear" w:color="auto" w:fill="FFFFFF"/>
        </w:rPr>
        <w:br w:type="page"/>
      </w:r>
    </w:p>
    <w:p w14:paraId="06EA8A4E"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b/>
          <w:bCs/>
          <w:color w:val="2D3B45"/>
          <w:sz w:val="24"/>
          <w:szCs w:val="24"/>
          <w:lang w:eastAsia="en-CA"/>
        </w:rPr>
        <w:lastRenderedPageBreak/>
        <w:t>Adjustment Information</w:t>
      </w:r>
    </w:p>
    <w:p w14:paraId="6EC88582"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For all indices, real property rights conveyed are fee simple, unless indicated otherwise; financing terms and conditions of sale are typical and arm's length, unless indicated otherwise; no expenditures after sale affect the sale price; economic adjustments are not applicable; and there are no non-realty components of value. Use the following information to estimate required adjustments.</w:t>
      </w:r>
    </w:p>
    <w:p w14:paraId="1DB6CEC1"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i/>
          <w:iCs/>
          <w:color w:val="2D3B45"/>
          <w:sz w:val="24"/>
          <w:szCs w:val="24"/>
          <w:lang w:eastAsia="en-CA"/>
        </w:rPr>
        <w:t>Market Conditions</w:t>
      </w:r>
    </w:p>
    <w:p w14:paraId="092685C7"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 xml:space="preserve">There have been no recent sales and resales of downtown land to estimate a time trend from this source. Market values of downtown improved properties are primarily estimated by means of capitalizing their net income streams. The basis for such a valuation procedure is net rent that can be attained by the property being valued, primarily from office and retail tenants. Therefore, the intrinsic value of vacant land situated in downtown Middleton is its ability to eventually provide an income stream through construction of income-producing improvements. Considering the foregoing, it is reasonable to estimate a time trend for downtown vacant land by estimating the time trend for retail and office space in downtown </w:t>
      </w:r>
      <w:proofErr w:type="gramStart"/>
      <w:r w:rsidRPr="00AE5288">
        <w:rPr>
          <w:rFonts w:ascii="Helvetica" w:eastAsia="Times New Roman" w:hAnsi="Helvetica" w:cs="Helvetica"/>
          <w:color w:val="2D3B45"/>
          <w:sz w:val="24"/>
          <w:szCs w:val="24"/>
          <w:lang w:eastAsia="en-CA"/>
        </w:rPr>
        <w:t>Middleton, and</w:t>
      </w:r>
      <w:proofErr w:type="gramEnd"/>
      <w:r w:rsidRPr="00AE5288">
        <w:rPr>
          <w:rFonts w:ascii="Helvetica" w:eastAsia="Times New Roman" w:hAnsi="Helvetica" w:cs="Helvetica"/>
          <w:color w:val="2D3B45"/>
          <w:sz w:val="24"/>
          <w:szCs w:val="24"/>
          <w:lang w:eastAsia="en-CA"/>
        </w:rPr>
        <w:t xml:space="preserve"> applying this trend to the vacant land sales analyzed herein.</w:t>
      </w:r>
    </w:p>
    <w:p w14:paraId="25E6D798"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This analysis indicates that over the period 20X6 to summer 20X8 there was no change in office rents, but retail rents increased by 5%. Therefore, an upward time trend of 2% is applied to the 20X6 indices and 1% to the 20X7 indices.</w:t>
      </w:r>
    </w:p>
    <w:p w14:paraId="23E9B3D1"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i/>
          <w:iCs/>
          <w:color w:val="2D3B45"/>
          <w:sz w:val="24"/>
          <w:szCs w:val="24"/>
          <w:lang w:eastAsia="en-CA"/>
        </w:rPr>
        <w:t>Location</w:t>
      </w:r>
    </w:p>
    <w:p w14:paraId="57A42B59"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Retail rates on Government Street, south of Barkley Avenue, have experienced a significant increase over the past few years. Several buildings have been gutted, seismically updated, and renovated. New renovations such as the former Auction building at 1600 Government Street favourably influence retail rates further north on Government Street. 101-1600 Government Street, a 2,440 square foot commercial rental unit at the corner of Government and Barkley, achieves a net rent (adjusted for inducements) of $21 per square foot with common area maintenance expense (CAM) of $12 per square foot. Government Street shows a large difference in rental rates that vary from $70 per square foot in the 1000 block, to the above-mentioned $21 per square foot rate in the 1600 block. Rates can, and do, vary as much as $16 per square foot per block on Government Street. Typically, the decrease per block, heading northwards, is about 10%. These trends, in conjunction with the general location indications provided by the vacant land sales, are used to estimate location adjustments as shown below.</w:t>
      </w:r>
    </w:p>
    <w:tbl>
      <w:tblPr>
        <w:tblW w:w="0" w:type="auto"/>
        <w:tblBorders>
          <w:top w:val="single" w:sz="6" w:space="0" w:color="auto"/>
          <w:left w:val="single" w:sz="6" w:space="0" w:color="auto"/>
          <w:bottom w:val="single" w:sz="6" w:space="0" w:color="auto"/>
          <w:right w:val="single" w:sz="6" w:space="0" w:color="auto"/>
        </w:tblBorders>
        <w:shd w:val="clear" w:color="auto" w:fill="FFFFFF"/>
        <w:tblCellMar>
          <w:top w:w="60" w:type="dxa"/>
          <w:left w:w="60" w:type="dxa"/>
          <w:bottom w:w="60" w:type="dxa"/>
          <w:right w:w="60" w:type="dxa"/>
        </w:tblCellMar>
        <w:tblLook w:val="04A0" w:firstRow="1" w:lastRow="0" w:firstColumn="1" w:lastColumn="0" w:noHBand="0" w:noVBand="1"/>
      </w:tblPr>
      <w:tblGrid>
        <w:gridCol w:w="1440"/>
        <w:gridCol w:w="2700"/>
      </w:tblGrid>
      <w:tr w:rsidR="00AE5288" w:rsidRPr="00AE5288" w14:paraId="1514555B" w14:textId="77777777" w:rsidTr="00AE5288">
        <w:trPr>
          <w:trHeight w:val="1170"/>
        </w:trPr>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1FC7AD" w14:textId="77777777" w:rsidR="00AE5288" w:rsidRPr="00AE5288" w:rsidRDefault="00AE5288" w:rsidP="00AE5288">
            <w:pPr>
              <w:spacing w:before="180" w:after="180" w:line="240" w:lineRule="auto"/>
              <w:jc w:val="center"/>
              <w:rPr>
                <w:rFonts w:ascii="Helvetica" w:eastAsia="Times New Roman" w:hAnsi="Helvetica" w:cs="Helvetica"/>
                <w:color w:val="2D3B45"/>
                <w:sz w:val="24"/>
                <w:szCs w:val="24"/>
                <w:lang w:eastAsia="en-CA"/>
              </w:rPr>
            </w:pPr>
            <w:r w:rsidRPr="00AE5288">
              <w:rPr>
                <w:rFonts w:ascii="Helvetica" w:eastAsia="Times New Roman" w:hAnsi="Helvetica" w:cs="Helvetica"/>
                <w:b/>
                <w:bCs/>
                <w:color w:val="2D3B45"/>
                <w:sz w:val="24"/>
                <w:szCs w:val="24"/>
                <w:lang w:eastAsia="en-CA"/>
              </w:rPr>
              <w:t>Index</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E3C2996" w14:textId="77777777" w:rsidR="00AE5288" w:rsidRPr="00AE5288" w:rsidRDefault="00AE5288" w:rsidP="00AE5288">
            <w:pPr>
              <w:spacing w:before="180" w:after="180" w:line="240" w:lineRule="auto"/>
              <w:jc w:val="center"/>
              <w:rPr>
                <w:rFonts w:ascii="Helvetica" w:eastAsia="Times New Roman" w:hAnsi="Helvetica" w:cs="Helvetica"/>
                <w:color w:val="2D3B45"/>
                <w:sz w:val="24"/>
                <w:szCs w:val="24"/>
                <w:lang w:eastAsia="en-CA"/>
              </w:rPr>
            </w:pPr>
            <w:r w:rsidRPr="00AE5288">
              <w:rPr>
                <w:rFonts w:ascii="Helvetica" w:eastAsia="Times New Roman" w:hAnsi="Helvetica" w:cs="Helvetica"/>
                <w:b/>
                <w:bCs/>
                <w:color w:val="2D3B45"/>
                <w:sz w:val="24"/>
                <w:szCs w:val="24"/>
                <w:lang w:eastAsia="en-CA"/>
              </w:rPr>
              <w:t>Location Adjustment</w:t>
            </w:r>
          </w:p>
        </w:tc>
      </w:tr>
      <w:tr w:rsidR="00AE5288" w:rsidRPr="00AE5288" w14:paraId="092F57FD" w14:textId="77777777" w:rsidTr="00AE5288">
        <w:trPr>
          <w:trHeight w:val="810"/>
        </w:trPr>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1B5342" w14:textId="77777777" w:rsidR="00AE5288" w:rsidRPr="00AE5288" w:rsidRDefault="00AE5288" w:rsidP="00AE5288">
            <w:pPr>
              <w:spacing w:before="180" w:after="180" w:line="240" w:lineRule="auto"/>
              <w:jc w:val="center"/>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lastRenderedPageBreak/>
              <w:t>1</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55E497" w14:textId="77777777" w:rsidR="00AE5288" w:rsidRPr="00AE5288" w:rsidRDefault="00AE5288" w:rsidP="00AE5288">
            <w:pPr>
              <w:spacing w:before="180" w:after="180" w:line="240" w:lineRule="auto"/>
              <w:jc w:val="center"/>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-15%</w:t>
            </w:r>
          </w:p>
        </w:tc>
      </w:tr>
      <w:tr w:rsidR="00AE5288" w:rsidRPr="00AE5288" w14:paraId="4741AE4B" w14:textId="77777777" w:rsidTr="00AE5288">
        <w:trPr>
          <w:trHeight w:val="810"/>
        </w:trPr>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4F444C" w14:textId="77777777" w:rsidR="00AE5288" w:rsidRPr="00AE5288" w:rsidRDefault="00AE5288" w:rsidP="00AE5288">
            <w:pPr>
              <w:spacing w:before="180" w:after="180" w:line="240" w:lineRule="auto"/>
              <w:jc w:val="center"/>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2</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FC0B14" w14:textId="77777777" w:rsidR="00AE5288" w:rsidRPr="00AE5288" w:rsidRDefault="00AE5288" w:rsidP="00AE5288">
            <w:pPr>
              <w:spacing w:before="180" w:after="180" w:line="240" w:lineRule="auto"/>
              <w:jc w:val="center"/>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-10%</w:t>
            </w:r>
          </w:p>
        </w:tc>
      </w:tr>
      <w:tr w:rsidR="00AE5288" w:rsidRPr="00AE5288" w14:paraId="5D35BAFB" w14:textId="77777777" w:rsidTr="00AE5288">
        <w:trPr>
          <w:trHeight w:val="810"/>
        </w:trPr>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C85DA5" w14:textId="77777777" w:rsidR="00AE5288" w:rsidRPr="00AE5288" w:rsidRDefault="00AE5288" w:rsidP="00AE5288">
            <w:pPr>
              <w:spacing w:before="180" w:after="180" w:line="240" w:lineRule="auto"/>
              <w:jc w:val="center"/>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3</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ABD5A15" w14:textId="77777777" w:rsidR="00AE5288" w:rsidRPr="00AE5288" w:rsidRDefault="00AE5288" w:rsidP="00AE5288">
            <w:pPr>
              <w:spacing w:before="180" w:after="180" w:line="240" w:lineRule="auto"/>
              <w:jc w:val="center"/>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5%</w:t>
            </w:r>
          </w:p>
        </w:tc>
      </w:tr>
      <w:tr w:rsidR="00AE5288" w:rsidRPr="00AE5288" w14:paraId="23A33CB3" w14:textId="77777777" w:rsidTr="00AE5288">
        <w:trPr>
          <w:trHeight w:val="810"/>
        </w:trPr>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5329D7" w14:textId="77777777" w:rsidR="00AE5288" w:rsidRPr="00AE5288" w:rsidRDefault="00AE5288" w:rsidP="00AE5288">
            <w:pPr>
              <w:spacing w:before="180" w:after="180" w:line="240" w:lineRule="auto"/>
              <w:jc w:val="center"/>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4</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790436" w14:textId="77777777" w:rsidR="00AE5288" w:rsidRPr="00AE5288" w:rsidRDefault="00AE5288" w:rsidP="00AE5288">
            <w:pPr>
              <w:spacing w:before="180" w:after="180" w:line="240" w:lineRule="auto"/>
              <w:jc w:val="center"/>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0%</w:t>
            </w:r>
          </w:p>
        </w:tc>
      </w:tr>
      <w:tr w:rsidR="00AE5288" w:rsidRPr="00AE5288" w14:paraId="48E63095" w14:textId="77777777" w:rsidTr="00AE5288">
        <w:trPr>
          <w:trHeight w:val="810"/>
        </w:trPr>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5C5187" w14:textId="77777777" w:rsidR="00AE5288" w:rsidRPr="00AE5288" w:rsidRDefault="00AE5288" w:rsidP="00AE5288">
            <w:pPr>
              <w:spacing w:before="180" w:after="180" w:line="240" w:lineRule="auto"/>
              <w:jc w:val="center"/>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5</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B09238" w14:textId="77777777" w:rsidR="00AE5288" w:rsidRPr="00AE5288" w:rsidRDefault="00AE5288" w:rsidP="00AE5288">
            <w:pPr>
              <w:spacing w:before="180" w:after="180" w:line="240" w:lineRule="auto"/>
              <w:jc w:val="center"/>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5%</w:t>
            </w:r>
          </w:p>
        </w:tc>
      </w:tr>
      <w:tr w:rsidR="00AE5288" w:rsidRPr="00AE5288" w14:paraId="4EE7ACA5" w14:textId="77777777" w:rsidTr="00AE5288">
        <w:trPr>
          <w:trHeight w:val="810"/>
        </w:trPr>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E28D7C" w14:textId="77777777" w:rsidR="00AE5288" w:rsidRPr="00AE5288" w:rsidRDefault="00AE5288" w:rsidP="00AE5288">
            <w:pPr>
              <w:spacing w:before="180" w:after="180" w:line="240" w:lineRule="auto"/>
              <w:jc w:val="center"/>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6</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5AA138" w14:textId="77777777" w:rsidR="00AE5288" w:rsidRPr="00AE5288" w:rsidRDefault="00AE5288" w:rsidP="00AE5288">
            <w:pPr>
              <w:spacing w:before="180" w:after="180" w:line="240" w:lineRule="auto"/>
              <w:jc w:val="center"/>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5%</w:t>
            </w:r>
          </w:p>
        </w:tc>
      </w:tr>
      <w:tr w:rsidR="00AE5288" w:rsidRPr="00AE5288" w14:paraId="66D8D42E" w14:textId="77777777" w:rsidTr="00AE5288">
        <w:trPr>
          <w:trHeight w:val="810"/>
        </w:trPr>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D724D6" w14:textId="77777777" w:rsidR="00AE5288" w:rsidRPr="00AE5288" w:rsidRDefault="00AE5288" w:rsidP="00AE5288">
            <w:pPr>
              <w:spacing w:before="180" w:after="180" w:line="240" w:lineRule="auto"/>
              <w:jc w:val="center"/>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7</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ACF8FC" w14:textId="77777777" w:rsidR="00AE5288" w:rsidRPr="00AE5288" w:rsidRDefault="00AE5288" w:rsidP="00AE5288">
            <w:pPr>
              <w:spacing w:before="180" w:after="180" w:line="240" w:lineRule="auto"/>
              <w:jc w:val="center"/>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0%</w:t>
            </w:r>
          </w:p>
        </w:tc>
      </w:tr>
      <w:tr w:rsidR="00AE5288" w:rsidRPr="00AE5288" w14:paraId="163BE1E0" w14:textId="77777777" w:rsidTr="00AE5288">
        <w:trPr>
          <w:trHeight w:val="810"/>
        </w:trPr>
        <w:tc>
          <w:tcPr>
            <w:tcW w:w="14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50D37C" w14:textId="77777777" w:rsidR="00AE5288" w:rsidRPr="00AE5288" w:rsidRDefault="00AE5288" w:rsidP="00AE5288">
            <w:pPr>
              <w:spacing w:before="180" w:after="180" w:line="240" w:lineRule="auto"/>
              <w:jc w:val="center"/>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8</w:t>
            </w:r>
          </w:p>
        </w:tc>
        <w:tc>
          <w:tcPr>
            <w:tcW w:w="27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CE0FAA" w14:textId="77777777" w:rsidR="00AE5288" w:rsidRPr="00AE5288" w:rsidRDefault="00AE5288" w:rsidP="00AE5288">
            <w:pPr>
              <w:spacing w:before="180" w:after="180" w:line="240" w:lineRule="auto"/>
              <w:jc w:val="center"/>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5%</w:t>
            </w:r>
          </w:p>
        </w:tc>
      </w:tr>
    </w:tbl>
    <w:p w14:paraId="1254FE2F"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i/>
          <w:iCs/>
          <w:color w:val="2D3B45"/>
          <w:sz w:val="24"/>
          <w:szCs w:val="24"/>
          <w:lang w:eastAsia="en-CA"/>
        </w:rPr>
        <w:t>Shape</w:t>
      </w:r>
    </w:p>
    <w:p w14:paraId="61A80034" w14:textId="42FC0B97" w:rsid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 xml:space="preserve">Government street provides the most valuable frontage for the subject property. If the subject site were rectangular, the Government Street frontage would be ±84 feet instead of its actual ±64 feet. The effect of this decrease in Government Street frontage due to shape is a decrease in retail rent that would otherwise accrue to a building on site. Based on a survey of frontage to depth relationships on Government Street, typical retail space on Government Street has a frontage/depth ratio of 1 to 3. Therefore, the retail space loss to the subject property is 1,200 sq. ft. (20 feet of frontage × depth of 60 feet). 1,200 sq. ft. of retail space in this location can achieve a triple net rent of ±$20 per sq. ft. What will be constructed instead of the lost retail space is office space that will be rentable at ±$13 per sq. ft. triple net. Therefore, loss in income resulting from shape is $8,400 [($20 per sq. ft. − $13 per sq. ft.) × 1,200 sq. ft.]. At the investor’s required 9% rate, this represents a capitalized value of $93,000, rounded ($8,400 ÷ 0.09). </w:t>
      </w:r>
      <w:proofErr w:type="gramStart"/>
      <w:r w:rsidRPr="00AE5288">
        <w:rPr>
          <w:rFonts w:ascii="Helvetica" w:eastAsia="Times New Roman" w:hAnsi="Helvetica" w:cs="Helvetica"/>
          <w:color w:val="2D3B45"/>
          <w:sz w:val="24"/>
          <w:szCs w:val="24"/>
          <w:lang w:eastAsia="en-CA"/>
        </w:rPr>
        <w:t>In order to</w:t>
      </w:r>
      <w:proofErr w:type="gramEnd"/>
      <w:r w:rsidRPr="00AE5288">
        <w:rPr>
          <w:rFonts w:ascii="Helvetica" w:eastAsia="Times New Roman" w:hAnsi="Helvetica" w:cs="Helvetica"/>
          <w:color w:val="2D3B45"/>
          <w:sz w:val="24"/>
          <w:szCs w:val="24"/>
          <w:lang w:eastAsia="en-CA"/>
        </w:rPr>
        <w:t xml:space="preserve"> adjust for shape, the subject site is first valued as if rectangular-shaped and the $93,000 is then deducted to reflect the shape-adjusted market value.</w:t>
      </w:r>
    </w:p>
    <w:p w14:paraId="5A556CF5" w14:textId="77777777" w:rsidR="00AE5288" w:rsidRDefault="00AE5288">
      <w:pPr>
        <w:rPr>
          <w:rFonts w:ascii="Helvetica" w:eastAsia="Times New Roman" w:hAnsi="Helvetica" w:cs="Helvetica"/>
          <w:color w:val="2D3B45"/>
          <w:sz w:val="24"/>
          <w:szCs w:val="24"/>
          <w:lang w:eastAsia="en-CA"/>
        </w:rPr>
      </w:pPr>
      <w:r>
        <w:rPr>
          <w:rFonts w:ascii="Helvetica" w:eastAsia="Times New Roman" w:hAnsi="Helvetica" w:cs="Helvetica"/>
          <w:color w:val="2D3B45"/>
          <w:sz w:val="24"/>
          <w:szCs w:val="24"/>
          <w:lang w:eastAsia="en-CA"/>
        </w:rPr>
        <w:br w:type="page"/>
      </w:r>
    </w:p>
    <w:p w14:paraId="4E9EF3CE" w14:textId="01E648A9" w:rsidR="00AE5288" w:rsidRDefault="00AE5288" w:rsidP="00AE5288">
      <w:pPr>
        <w:shd w:val="clear" w:color="auto" w:fill="FFFFFF"/>
        <w:spacing w:before="180" w:after="180" w:line="240" w:lineRule="auto"/>
        <w:rPr>
          <w:rFonts w:ascii="Helvetica" w:hAnsi="Helvetica" w:cs="Helvetica"/>
          <w:color w:val="2D3B45"/>
          <w:shd w:val="clear" w:color="auto" w:fill="FFFFFF"/>
        </w:rPr>
      </w:pPr>
      <w:r w:rsidRPr="00AE5288">
        <w:rPr>
          <w:rFonts w:ascii="Helvetica" w:hAnsi="Helvetica" w:cs="Helvetica"/>
          <w:b/>
          <w:bCs/>
          <w:color w:val="2D3B45"/>
          <w:shd w:val="clear" w:color="auto" w:fill="FFFFFF"/>
        </w:rPr>
        <w:lastRenderedPageBreak/>
        <w:t xml:space="preserve">Question </w:t>
      </w:r>
      <w:r>
        <w:rPr>
          <w:rFonts w:ascii="Helvetica" w:hAnsi="Helvetica" w:cs="Helvetica"/>
          <w:b/>
          <w:bCs/>
          <w:color w:val="2D3B45"/>
          <w:shd w:val="clear" w:color="auto" w:fill="FFFFFF"/>
        </w:rPr>
        <w:t>2</w:t>
      </w:r>
      <w:r w:rsidRPr="00AE5288">
        <w:rPr>
          <w:rFonts w:ascii="Helvetica" w:hAnsi="Helvetica" w:cs="Helvetica"/>
          <w:color w:val="2D3B45"/>
          <w:shd w:val="clear" w:color="auto" w:fill="FFFFFF"/>
        </w:rPr>
        <w:t xml:space="preserve"> </w:t>
      </w:r>
      <w:r>
        <w:rPr>
          <w:rFonts w:ascii="Helvetica" w:hAnsi="Helvetica" w:cs="Helvetica"/>
          <w:color w:val="2D3B45"/>
          <w:shd w:val="clear" w:color="auto" w:fill="FFFFFF"/>
        </w:rPr>
        <w:t>Estimate the market value of the subject site prior to adjustment of the impairment using both price per square foot and price per square foot buildable, i.e., you are estimating unimpaired market value. Reconcile your answer to a point estimate. Adjust for market conditions, location, and shape. Provide both the adjusted sale price per square foot and adjusted sale price per square foot buildable calculations for all eight indices.</w:t>
      </w:r>
    </w:p>
    <w:p w14:paraId="7A7E3E4D" w14:textId="70C19F73" w:rsidR="00AE5288" w:rsidRDefault="00AE5288" w:rsidP="00AE5288">
      <w:pPr>
        <w:shd w:val="clear" w:color="auto" w:fill="FFFFFF"/>
        <w:spacing w:before="180" w:after="180" w:line="240" w:lineRule="auto"/>
        <w:rPr>
          <w:rFonts w:ascii="Helvetica" w:hAnsi="Helvetica" w:cs="Helvetica"/>
          <w:color w:val="2D3B45"/>
          <w:shd w:val="clear" w:color="auto" w:fill="FFFFFF"/>
        </w:rPr>
      </w:pPr>
      <w:r>
        <w:rPr>
          <w:rFonts w:ascii="Helvetica" w:hAnsi="Helvetica" w:cs="Helvetica"/>
          <w:b/>
          <w:bCs/>
          <w:color w:val="2D3B45"/>
          <w:shd w:val="clear" w:color="auto" w:fill="FFFFFF"/>
        </w:rPr>
        <w:t xml:space="preserve">Question 3 </w:t>
      </w:r>
      <w:r>
        <w:rPr>
          <w:rFonts w:ascii="Helvetica" w:hAnsi="Helvetica" w:cs="Helvetica"/>
          <w:color w:val="2D3B45"/>
          <w:shd w:val="clear" w:color="auto" w:fill="FFFFFF"/>
        </w:rPr>
        <w:t xml:space="preserve">Analyze Indices 1 to 5 qualitatively </w:t>
      </w:r>
      <w:proofErr w:type="gramStart"/>
      <w:r>
        <w:rPr>
          <w:rFonts w:ascii="Helvetica" w:hAnsi="Helvetica" w:cs="Helvetica"/>
          <w:color w:val="2D3B45"/>
          <w:shd w:val="clear" w:color="auto" w:fill="FFFFFF"/>
        </w:rPr>
        <w:t>in order to</w:t>
      </w:r>
      <w:proofErr w:type="gramEnd"/>
      <w:r>
        <w:rPr>
          <w:rFonts w:ascii="Helvetica" w:hAnsi="Helvetica" w:cs="Helvetica"/>
          <w:color w:val="2D3B45"/>
          <w:shd w:val="clear" w:color="auto" w:fill="FFFFFF"/>
        </w:rPr>
        <w:t xml:space="preserve"> support the market value estimated in the previous question. Include an array of values and describe specifically how each of the indices relates to the subject.</w:t>
      </w:r>
    </w:p>
    <w:p w14:paraId="4F0EF35D" w14:textId="77777777" w:rsidR="00AE5288" w:rsidRDefault="00AE5288">
      <w:pPr>
        <w:rPr>
          <w:rFonts w:ascii="Helvetica" w:hAnsi="Helvetica" w:cs="Helvetica"/>
          <w:color w:val="2D3B45"/>
          <w:shd w:val="clear" w:color="auto" w:fill="FFFFFF"/>
        </w:rPr>
      </w:pPr>
      <w:r>
        <w:rPr>
          <w:rFonts w:ascii="Helvetica" w:hAnsi="Helvetica" w:cs="Helvetica"/>
          <w:color w:val="2D3B45"/>
          <w:shd w:val="clear" w:color="auto" w:fill="FFFFFF"/>
        </w:rPr>
        <w:br w:type="page"/>
      </w:r>
    </w:p>
    <w:p w14:paraId="2A05A176"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b/>
          <w:bCs/>
          <w:color w:val="2D3B45"/>
          <w:sz w:val="24"/>
          <w:szCs w:val="24"/>
          <w:lang w:eastAsia="en-CA"/>
        </w:rPr>
        <w:lastRenderedPageBreak/>
        <w:t>Other Information</w:t>
      </w:r>
    </w:p>
    <w:p w14:paraId="350FE4BD"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Prior to negotiating with the prospective purchaser (CRD Corp.), the vendor hired Enviro Corp. to conduct a site assessment. Their fee for completion of a Phase II site assessment was $23,500 and it took two months to complete. Although the results of the survey were shared with CRD Corp., the corporation wanted a second environmental opinion. Hence it budgeted $24,000 and two months of construction delay to conduct its own investigation.</w:t>
      </w:r>
    </w:p>
    <w:p w14:paraId="3DC6FB54"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proofErr w:type="spellStart"/>
      <w:r w:rsidRPr="00AE5288">
        <w:rPr>
          <w:rFonts w:ascii="Helvetica" w:eastAsia="Times New Roman" w:hAnsi="Helvetica" w:cs="Helvetica"/>
          <w:color w:val="2D3B45"/>
          <w:sz w:val="24"/>
          <w:szCs w:val="24"/>
          <w:lang w:eastAsia="en-CA"/>
        </w:rPr>
        <w:t>Remedall</w:t>
      </w:r>
      <w:proofErr w:type="spellEnd"/>
      <w:r w:rsidRPr="00AE5288">
        <w:rPr>
          <w:rFonts w:ascii="Helvetica" w:eastAsia="Times New Roman" w:hAnsi="Helvetica" w:cs="Helvetica"/>
          <w:color w:val="2D3B45"/>
          <w:sz w:val="24"/>
          <w:szCs w:val="24"/>
          <w:lang w:eastAsia="en-CA"/>
        </w:rPr>
        <w:t xml:space="preserve"> Inc., based on the findings of its subsidiary CRD Corp., quoted $65,000 to set up a risk management program that required a further $3,400 per year for ongoing costs. </w:t>
      </w:r>
      <w:proofErr w:type="spellStart"/>
      <w:r w:rsidRPr="00AE5288">
        <w:rPr>
          <w:rFonts w:ascii="Helvetica" w:eastAsia="Times New Roman" w:hAnsi="Helvetica" w:cs="Helvetica"/>
          <w:color w:val="2D3B45"/>
          <w:sz w:val="24"/>
          <w:szCs w:val="24"/>
          <w:lang w:eastAsia="en-CA"/>
        </w:rPr>
        <w:t>Remedall</w:t>
      </w:r>
      <w:proofErr w:type="spellEnd"/>
      <w:r w:rsidRPr="00AE5288">
        <w:rPr>
          <w:rFonts w:ascii="Helvetica" w:eastAsia="Times New Roman" w:hAnsi="Helvetica" w:cs="Helvetica"/>
          <w:color w:val="2D3B45"/>
          <w:sz w:val="24"/>
          <w:szCs w:val="24"/>
          <w:lang w:eastAsia="en-CA"/>
        </w:rPr>
        <w:t xml:space="preserve"> Inc. quoted $450,000 to remove and dispose of the contaminated soil. The cost/benefits of each option were provided by </w:t>
      </w:r>
      <w:proofErr w:type="spellStart"/>
      <w:r w:rsidRPr="00AE5288">
        <w:rPr>
          <w:rFonts w:ascii="Helvetica" w:eastAsia="Times New Roman" w:hAnsi="Helvetica" w:cs="Helvetica"/>
          <w:color w:val="2D3B45"/>
          <w:sz w:val="24"/>
          <w:szCs w:val="24"/>
          <w:lang w:eastAsia="en-CA"/>
        </w:rPr>
        <w:t>Remedall</w:t>
      </w:r>
      <w:proofErr w:type="spellEnd"/>
      <w:r w:rsidRPr="00AE5288">
        <w:rPr>
          <w:rFonts w:ascii="Helvetica" w:eastAsia="Times New Roman" w:hAnsi="Helvetica" w:cs="Helvetica"/>
          <w:color w:val="2D3B45"/>
          <w:sz w:val="24"/>
          <w:szCs w:val="24"/>
          <w:lang w:eastAsia="en-CA"/>
        </w:rPr>
        <w:t xml:space="preserve"> Inc. as follows:</w:t>
      </w:r>
    </w:p>
    <w:p w14:paraId="15A4A919" w14:textId="77777777" w:rsidR="00AE5288" w:rsidRPr="00AE5288" w:rsidRDefault="00AE5288" w:rsidP="00AE5288">
      <w:pPr>
        <w:numPr>
          <w:ilvl w:val="0"/>
          <w:numId w:val="4"/>
        </w:numPr>
        <w:shd w:val="clear" w:color="auto" w:fill="FFFFFF"/>
        <w:spacing w:before="100" w:beforeAutospacing="1" w:after="100" w:afterAutospacing="1" w:line="240" w:lineRule="auto"/>
        <w:ind w:left="375"/>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Risk Management – The risk management of the mercury special waste soils involves the removal of the operable pathways identified during the qualitative risk assessment. The RA identified that a risk existed from potential direct contact with the mercury impacted soil. Therefore, a risk exists to human and ecological receptors. The risk management remedial option consists of paving the portion of the site that was identified to contain mercury special waste. The remedial option includes provisions for: selection and coordination of a contractor, conducting an initial safety meeting, performing a site reconnaissance, and preparing a report documenting that a portion of the site was paved. The long-term monitoring program would involve a site reconnaissance to ensure that the mercury contaminated area remains paved. The benefit of this option is that it costs considerably less than the excavation option. However, although the remedial options cut off the direct exposure pathway, the special waste soil will remain beneath the property and a covenant would be placed on the title of the property. The long-term liability would be placed on the current owner unless the future landowner will accept the site in its present state.</w:t>
      </w:r>
    </w:p>
    <w:p w14:paraId="68F7E6EA" w14:textId="77777777" w:rsidR="00AE5288" w:rsidRPr="00AE5288" w:rsidRDefault="00AE5288" w:rsidP="00AE5288">
      <w:pPr>
        <w:numPr>
          <w:ilvl w:val="0"/>
          <w:numId w:val="4"/>
        </w:numPr>
        <w:shd w:val="clear" w:color="auto" w:fill="FFFFFF"/>
        <w:spacing w:before="100" w:beforeAutospacing="1" w:after="100" w:afterAutospacing="1" w:line="240" w:lineRule="auto"/>
        <w:ind w:left="375"/>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Removal and Disposal – The excavation option for the remediation of the identified special waste mercury soil includes provision for the following:</w:t>
      </w:r>
    </w:p>
    <w:p w14:paraId="0962A01D" w14:textId="77777777" w:rsidR="00AE5288" w:rsidRPr="00AE5288" w:rsidRDefault="00AE5288" w:rsidP="00AE5288">
      <w:pPr>
        <w:numPr>
          <w:ilvl w:val="0"/>
          <w:numId w:val="5"/>
        </w:numPr>
        <w:shd w:val="clear" w:color="auto" w:fill="FFFFFF"/>
        <w:spacing w:before="100" w:beforeAutospacing="1" w:after="100" w:afterAutospacing="1" w:line="240" w:lineRule="auto"/>
        <w:ind w:left="375"/>
        <w:rPr>
          <w:rFonts w:ascii="Helvetica" w:eastAsia="Times New Roman" w:hAnsi="Helvetica" w:cs="Helvetica"/>
          <w:color w:val="2D3B45"/>
          <w:sz w:val="24"/>
          <w:szCs w:val="24"/>
          <w:lang w:eastAsia="en-CA"/>
        </w:rPr>
      </w:pPr>
    </w:p>
    <w:p w14:paraId="27A52ABD" w14:textId="77777777" w:rsidR="00AE5288" w:rsidRPr="00AE5288" w:rsidRDefault="00AE5288" w:rsidP="00AE5288">
      <w:pPr>
        <w:numPr>
          <w:ilvl w:val="1"/>
          <w:numId w:val="5"/>
        </w:numPr>
        <w:shd w:val="clear" w:color="auto" w:fill="FFFFFF"/>
        <w:spacing w:before="100" w:beforeAutospacing="1" w:after="100" w:afterAutospacing="1" w:line="240" w:lineRule="auto"/>
        <w:ind w:left="750"/>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generation of a soil management, excavation and health and safety plan for the work</w:t>
      </w:r>
    </w:p>
    <w:p w14:paraId="066562F7" w14:textId="77777777" w:rsidR="00AE5288" w:rsidRPr="00AE5288" w:rsidRDefault="00AE5288" w:rsidP="00AE5288">
      <w:pPr>
        <w:numPr>
          <w:ilvl w:val="1"/>
          <w:numId w:val="5"/>
        </w:numPr>
        <w:shd w:val="clear" w:color="auto" w:fill="FFFFFF"/>
        <w:spacing w:before="100" w:beforeAutospacing="1" w:after="100" w:afterAutospacing="1" w:line="240" w:lineRule="auto"/>
        <w:ind w:left="750"/>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obtaining any permits required for completion of the work</w:t>
      </w:r>
    </w:p>
    <w:p w14:paraId="7A924A16" w14:textId="77777777" w:rsidR="00AE5288" w:rsidRPr="00AE5288" w:rsidRDefault="00AE5288" w:rsidP="00AE5288">
      <w:pPr>
        <w:numPr>
          <w:ilvl w:val="1"/>
          <w:numId w:val="5"/>
        </w:numPr>
        <w:shd w:val="clear" w:color="auto" w:fill="FFFFFF"/>
        <w:spacing w:before="100" w:beforeAutospacing="1" w:after="100" w:afterAutospacing="1" w:line="240" w:lineRule="auto"/>
        <w:ind w:left="750"/>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mobilization of the consultant and the contractor to the site, conducting a health and safety, and initial meeting</w:t>
      </w:r>
    </w:p>
    <w:p w14:paraId="59311C36" w14:textId="77777777" w:rsidR="00AE5288" w:rsidRPr="00AE5288" w:rsidRDefault="00AE5288" w:rsidP="00AE5288">
      <w:pPr>
        <w:numPr>
          <w:ilvl w:val="1"/>
          <w:numId w:val="5"/>
        </w:numPr>
        <w:shd w:val="clear" w:color="auto" w:fill="FFFFFF"/>
        <w:spacing w:before="100" w:beforeAutospacing="1" w:after="100" w:afterAutospacing="1" w:line="240" w:lineRule="auto"/>
        <w:ind w:left="750"/>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excavation, stockpiling, and sampling of the impacted soil</w:t>
      </w:r>
    </w:p>
    <w:p w14:paraId="4C1424F3" w14:textId="77777777" w:rsidR="00AE5288" w:rsidRPr="00AE5288" w:rsidRDefault="00AE5288" w:rsidP="00AE5288">
      <w:pPr>
        <w:numPr>
          <w:ilvl w:val="1"/>
          <w:numId w:val="5"/>
        </w:numPr>
        <w:shd w:val="clear" w:color="auto" w:fill="FFFFFF"/>
        <w:spacing w:before="100" w:beforeAutospacing="1" w:after="100" w:afterAutospacing="1" w:line="240" w:lineRule="auto"/>
        <w:ind w:left="750"/>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sampling and analyses of representative soil samples from the walls and base of the excavation to determine the extent of excavation required</w:t>
      </w:r>
    </w:p>
    <w:p w14:paraId="3BDA563E" w14:textId="77777777" w:rsidR="00AE5288" w:rsidRPr="00AE5288" w:rsidRDefault="00AE5288" w:rsidP="00AE5288">
      <w:pPr>
        <w:numPr>
          <w:ilvl w:val="1"/>
          <w:numId w:val="5"/>
        </w:numPr>
        <w:shd w:val="clear" w:color="auto" w:fill="FFFFFF"/>
        <w:spacing w:before="100" w:beforeAutospacing="1" w:after="100" w:afterAutospacing="1" w:line="240" w:lineRule="auto"/>
        <w:ind w:left="750"/>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transport and disposal of the special waste to a landfill legally authorized to accept the soil</w:t>
      </w:r>
    </w:p>
    <w:p w14:paraId="422B6BCE" w14:textId="77777777" w:rsidR="00AE5288" w:rsidRPr="00AE5288" w:rsidRDefault="00AE5288" w:rsidP="00AE5288">
      <w:pPr>
        <w:numPr>
          <w:ilvl w:val="1"/>
          <w:numId w:val="5"/>
        </w:numPr>
        <w:shd w:val="clear" w:color="auto" w:fill="FFFFFF"/>
        <w:spacing w:before="100" w:beforeAutospacing="1" w:after="100" w:afterAutospacing="1" w:line="240" w:lineRule="auto"/>
        <w:ind w:left="750"/>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documenting the removal of the special waste and completion of any required manifests</w:t>
      </w:r>
    </w:p>
    <w:p w14:paraId="16D38B2A" w14:textId="77777777" w:rsidR="00AE5288" w:rsidRPr="00AE5288" w:rsidRDefault="00AE5288" w:rsidP="00AE5288">
      <w:pPr>
        <w:numPr>
          <w:ilvl w:val="1"/>
          <w:numId w:val="5"/>
        </w:numPr>
        <w:shd w:val="clear" w:color="auto" w:fill="FFFFFF"/>
        <w:spacing w:before="100" w:beforeAutospacing="1" w:after="100" w:afterAutospacing="1" w:line="240" w:lineRule="auto"/>
        <w:ind w:left="750"/>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lastRenderedPageBreak/>
        <w:t>backfill of the excavation using clean fill and excavated soil not exceeding the special waste regulations standards</w:t>
      </w:r>
    </w:p>
    <w:p w14:paraId="4C8E8F1E" w14:textId="77777777" w:rsidR="00AE5288" w:rsidRPr="00AE5288" w:rsidRDefault="00AE5288" w:rsidP="00AE5288">
      <w:pPr>
        <w:numPr>
          <w:ilvl w:val="1"/>
          <w:numId w:val="5"/>
        </w:numPr>
        <w:shd w:val="clear" w:color="auto" w:fill="FFFFFF"/>
        <w:spacing w:before="100" w:beforeAutospacing="1" w:after="100" w:afterAutospacing="1" w:line="240" w:lineRule="auto"/>
        <w:ind w:left="750"/>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completion of a closure report including the results of the confirmatory soil samples recovered from the base and walls of the excavation</w:t>
      </w:r>
    </w:p>
    <w:p w14:paraId="141548F8"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The benefits include removal of the exposed special waste soil from the site thereby eliminating the direct exposure pathway identified in the RA. However, there may be some long-term liabilities with being the previous owner of a waste in a landfill facility. Also, for a period of five years ministry regulations require annual testing to ensure that no further contamination is either migrating on or off-site. This annual testing is budgeted at $2,000 per annum.</w:t>
      </w:r>
    </w:p>
    <w:p w14:paraId="0F9D081F"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proofErr w:type="spellStart"/>
      <w:r w:rsidRPr="00AE5288">
        <w:rPr>
          <w:rFonts w:ascii="Helvetica" w:eastAsia="Times New Roman" w:hAnsi="Helvetica" w:cs="Helvetica"/>
          <w:color w:val="2D3B45"/>
          <w:sz w:val="24"/>
          <w:szCs w:val="24"/>
          <w:lang w:eastAsia="en-CA"/>
        </w:rPr>
        <w:t>Remedall</w:t>
      </w:r>
      <w:proofErr w:type="spellEnd"/>
      <w:r w:rsidRPr="00AE5288">
        <w:rPr>
          <w:rFonts w:ascii="Helvetica" w:eastAsia="Times New Roman" w:hAnsi="Helvetica" w:cs="Helvetica"/>
          <w:color w:val="2D3B45"/>
          <w:sz w:val="24"/>
          <w:szCs w:val="24"/>
          <w:lang w:eastAsia="en-CA"/>
        </w:rPr>
        <w:t xml:space="preserve"> Inc. estimated that the RA/RM program would take two months to set up and the removal and disposal program would take four months to complete. However, CRD Corp. believed that the time estimates were optimistic and calculated its offer price based on the two programs taking at least two months longer to complete.</w:t>
      </w:r>
    </w:p>
    <w:p w14:paraId="164D3F51"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Typical returns on land are provided as follows:</w:t>
      </w:r>
    </w:p>
    <w:p w14:paraId="2C82C6CA" w14:textId="77777777" w:rsidR="00AE5288" w:rsidRPr="00AE5288" w:rsidRDefault="00AE5288" w:rsidP="00AE5288">
      <w:pPr>
        <w:numPr>
          <w:ilvl w:val="0"/>
          <w:numId w:val="6"/>
        </w:numPr>
        <w:shd w:val="clear" w:color="auto" w:fill="FFFFFF"/>
        <w:spacing w:before="100" w:beforeAutospacing="1" w:after="100" w:afterAutospacing="1" w:line="240" w:lineRule="auto"/>
        <w:ind w:left="375"/>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Provincial Hydro Corporate Services, rental is established at 8% of the market value of the land, normally for a 5-year term with 5-year optional periods.</w:t>
      </w:r>
    </w:p>
    <w:p w14:paraId="30110E59" w14:textId="77777777" w:rsidR="00AE5288" w:rsidRPr="00AE5288" w:rsidRDefault="00AE5288" w:rsidP="00AE5288">
      <w:pPr>
        <w:numPr>
          <w:ilvl w:val="0"/>
          <w:numId w:val="6"/>
        </w:numPr>
        <w:shd w:val="clear" w:color="auto" w:fill="FFFFFF"/>
        <w:spacing w:before="100" w:beforeAutospacing="1" w:after="100" w:afterAutospacing="1" w:line="240" w:lineRule="auto"/>
        <w:ind w:left="375"/>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Harbour Commission rental is established at 8% of market value for a maximum of 20 years less a day, with 5-year rental reviews.</w:t>
      </w:r>
    </w:p>
    <w:p w14:paraId="19603371" w14:textId="77777777" w:rsidR="00AE5288" w:rsidRPr="00AE5288" w:rsidRDefault="00AE5288" w:rsidP="00AE5288">
      <w:pPr>
        <w:numPr>
          <w:ilvl w:val="0"/>
          <w:numId w:val="6"/>
        </w:numPr>
        <w:shd w:val="clear" w:color="auto" w:fill="FFFFFF"/>
        <w:spacing w:before="100" w:beforeAutospacing="1" w:after="100" w:afterAutospacing="1" w:line="240" w:lineRule="auto"/>
        <w:ind w:left="375"/>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Ministry of Environment rental is established at 8% of market value for a minimum 10-year period with 5-year rental reviews.</w:t>
      </w:r>
    </w:p>
    <w:p w14:paraId="1AA237FE" w14:textId="77777777" w:rsidR="00AE5288" w:rsidRPr="00AE5288" w:rsidRDefault="00AE5288" w:rsidP="00AE5288">
      <w:pPr>
        <w:numPr>
          <w:ilvl w:val="0"/>
          <w:numId w:val="6"/>
        </w:numPr>
        <w:shd w:val="clear" w:color="auto" w:fill="FFFFFF"/>
        <w:spacing w:before="100" w:beforeAutospacing="1" w:after="100" w:afterAutospacing="1" w:line="240" w:lineRule="auto"/>
        <w:ind w:left="375"/>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City of Middleton establishes rental at 8% of market value.</w:t>
      </w:r>
    </w:p>
    <w:p w14:paraId="5C4AB8C1" w14:textId="77777777" w:rsidR="00AE5288" w:rsidRPr="00AE5288" w:rsidRDefault="00AE5288" w:rsidP="00AE5288">
      <w:pPr>
        <w:numPr>
          <w:ilvl w:val="0"/>
          <w:numId w:val="6"/>
        </w:numPr>
        <w:shd w:val="clear" w:color="auto" w:fill="FFFFFF"/>
        <w:spacing w:before="100" w:beforeAutospacing="1" w:after="100" w:afterAutospacing="1" w:line="240" w:lineRule="auto"/>
        <w:ind w:left="375"/>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CMHC rental is established at 8% to 9% of market value over a maximum period of 50 to 60 years with 5-year rental reviews.</w:t>
      </w:r>
    </w:p>
    <w:p w14:paraId="399EA7C5" w14:textId="77777777" w:rsidR="00AE5288" w:rsidRPr="00AE5288" w:rsidRDefault="00AE5288" w:rsidP="00AE5288">
      <w:pPr>
        <w:numPr>
          <w:ilvl w:val="0"/>
          <w:numId w:val="6"/>
        </w:numPr>
        <w:shd w:val="clear" w:color="auto" w:fill="FFFFFF"/>
        <w:spacing w:before="100" w:beforeAutospacing="1" w:after="100" w:afterAutospacing="1" w:line="240" w:lineRule="auto"/>
        <w:ind w:left="375"/>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Shell Canada, rental is established at 10% of market value over a 15-year term with two 5-year renewal options and 5-year rental reviews.</w:t>
      </w:r>
    </w:p>
    <w:p w14:paraId="1696FA60" w14:textId="77777777" w:rsidR="00AE5288" w:rsidRPr="00AE5288" w:rsidRDefault="00AE5288" w:rsidP="00AE5288">
      <w:pPr>
        <w:numPr>
          <w:ilvl w:val="0"/>
          <w:numId w:val="6"/>
        </w:numPr>
        <w:shd w:val="clear" w:color="auto" w:fill="FFFFFF"/>
        <w:spacing w:before="100" w:beforeAutospacing="1" w:after="100" w:afterAutospacing="1" w:line="240" w:lineRule="auto"/>
        <w:ind w:left="375"/>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CPR rental is established at 10% of market value, with short-term leases.</w:t>
      </w:r>
    </w:p>
    <w:p w14:paraId="390FE521" w14:textId="77777777"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sidRPr="00AE5288">
        <w:rPr>
          <w:rFonts w:ascii="Helvetica" w:eastAsia="Times New Roman" w:hAnsi="Helvetica" w:cs="Helvetica"/>
          <w:color w:val="2D3B45"/>
          <w:sz w:val="24"/>
          <w:szCs w:val="24"/>
          <w:lang w:eastAsia="en-CA"/>
        </w:rPr>
        <w:t>The vendor has agreed to pay up to $450,000 to remove and dispose of the contaminated soil.</w:t>
      </w:r>
    </w:p>
    <w:p w14:paraId="590D5D50" w14:textId="2EE45501" w:rsidR="00AE5288" w:rsidRDefault="00AE5288">
      <w:pPr>
        <w:rPr>
          <w:rFonts w:ascii="Helvetica" w:eastAsia="Times New Roman" w:hAnsi="Helvetica" w:cs="Helvetica"/>
          <w:color w:val="2D3B45"/>
          <w:sz w:val="24"/>
          <w:szCs w:val="24"/>
          <w:lang w:eastAsia="en-CA"/>
        </w:rPr>
      </w:pPr>
      <w:r>
        <w:rPr>
          <w:rFonts w:ascii="Helvetica" w:eastAsia="Times New Roman" w:hAnsi="Helvetica" w:cs="Helvetica"/>
          <w:color w:val="2D3B45"/>
          <w:sz w:val="24"/>
          <w:szCs w:val="24"/>
          <w:lang w:eastAsia="en-CA"/>
        </w:rPr>
        <w:br w:type="page"/>
      </w:r>
    </w:p>
    <w:p w14:paraId="089DDD3C" w14:textId="57AA265A" w:rsidR="00AE5288" w:rsidRPr="00AE5288" w:rsidRDefault="00AE5288" w:rsidP="00AE5288">
      <w:pPr>
        <w:shd w:val="clear" w:color="auto" w:fill="FFFFFF"/>
        <w:spacing w:before="180" w:after="180" w:line="240" w:lineRule="auto"/>
        <w:rPr>
          <w:rFonts w:ascii="Helvetica" w:eastAsia="Times New Roman" w:hAnsi="Helvetica" w:cs="Helvetica"/>
          <w:color w:val="2D3B45"/>
          <w:sz w:val="24"/>
          <w:szCs w:val="24"/>
          <w:lang w:eastAsia="en-CA"/>
        </w:rPr>
      </w:pPr>
      <w:r>
        <w:rPr>
          <w:rFonts w:ascii="Helvetica" w:hAnsi="Helvetica" w:cs="Helvetica"/>
          <w:b/>
          <w:bCs/>
          <w:color w:val="2D3B45"/>
          <w:shd w:val="clear" w:color="auto" w:fill="FFFFFF"/>
        </w:rPr>
        <w:lastRenderedPageBreak/>
        <w:t xml:space="preserve">Question 4 </w:t>
      </w:r>
      <w:r>
        <w:rPr>
          <w:rFonts w:ascii="Helvetica" w:hAnsi="Helvetica" w:cs="Helvetica"/>
          <w:color w:val="2D3B45"/>
          <w:shd w:val="clear" w:color="auto" w:fill="FFFFFF"/>
        </w:rPr>
        <w:t>Estimate the impaired market value of the subject taking into account the impairments during the assessment stage, the repair stage, and the ongoing stage. Include any other adjustments deemed necessary.</w:t>
      </w:r>
    </w:p>
    <w:p w14:paraId="00E9BF4B" w14:textId="794E9675" w:rsidR="00AE5288" w:rsidRDefault="00AE5288">
      <w:r>
        <w:br w:type="page"/>
      </w:r>
    </w:p>
    <w:p w14:paraId="56EF09DA" w14:textId="77777777" w:rsidR="00AE5288" w:rsidRDefault="00AE5288"/>
    <w:sectPr w:rsidR="00AE528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815A6"/>
    <w:multiLevelType w:val="multilevel"/>
    <w:tmpl w:val="8A5A1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E1646B"/>
    <w:multiLevelType w:val="multilevel"/>
    <w:tmpl w:val="726C3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E3649F"/>
    <w:multiLevelType w:val="multilevel"/>
    <w:tmpl w:val="08DC3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0155C1"/>
    <w:multiLevelType w:val="multilevel"/>
    <w:tmpl w:val="1EA06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DC17A0"/>
    <w:multiLevelType w:val="multilevel"/>
    <w:tmpl w:val="1B9237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3A60830"/>
    <w:multiLevelType w:val="multilevel"/>
    <w:tmpl w:val="7A5C7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288"/>
    <w:rsid w:val="00AE528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67DCB"/>
  <w15:chartTrackingRefBased/>
  <w15:docId w15:val="{C3DA4089-79CE-4631-9653-7BB44A170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E5288"/>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E5288"/>
    <w:rPr>
      <w:rFonts w:ascii="Times New Roman" w:eastAsia="Times New Roman" w:hAnsi="Times New Roman" w:cs="Times New Roman"/>
      <w:b/>
      <w:bCs/>
      <w:sz w:val="36"/>
      <w:szCs w:val="36"/>
      <w:lang w:eastAsia="en-CA"/>
    </w:rPr>
  </w:style>
  <w:style w:type="character" w:styleId="Strong">
    <w:name w:val="Strong"/>
    <w:basedOn w:val="DefaultParagraphFont"/>
    <w:uiPriority w:val="22"/>
    <w:qFormat/>
    <w:rsid w:val="00AE5288"/>
    <w:rPr>
      <w:b/>
      <w:bCs/>
    </w:rPr>
  </w:style>
  <w:style w:type="paragraph" w:styleId="NormalWeb">
    <w:name w:val="Normal (Web)"/>
    <w:basedOn w:val="Normal"/>
    <w:uiPriority w:val="99"/>
    <w:semiHidden/>
    <w:unhideWhenUsed/>
    <w:rsid w:val="00AE5288"/>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redindd-h3">
    <w:name w:val="redindd-h3"/>
    <w:basedOn w:val="Normal"/>
    <w:rsid w:val="00AE5288"/>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redindd-body-1stpara">
    <w:name w:val="redindd-body-1stpara"/>
    <w:basedOn w:val="Normal"/>
    <w:rsid w:val="00AE5288"/>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redindd-body">
    <w:name w:val="redindd-body"/>
    <w:basedOn w:val="Normal"/>
    <w:rsid w:val="00AE5288"/>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AE52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555640">
      <w:bodyDiv w:val="1"/>
      <w:marLeft w:val="0"/>
      <w:marRight w:val="0"/>
      <w:marTop w:val="0"/>
      <w:marBottom w:val="0"/>
      <w:divBdr>
        <w:top w:val="none" w:sz="0" w:space="0" w:color="auto"/>
        <w:left w:val="none" w:sz="0" w:space="0" w:color="auto"/>
        <w:bottom w:val="none" w:sz="0" w:space="0" w:color="auto"/>
        <w:right w:val="none" w:sz="0" w:space="0" w:color="auto"/>
      </w:divBdr>
    </w:div>
    <w:div w:id="646592869">
      <w:bodyDiv w:val="1"/>
      <w:marLeft w:val="0"/>
      <w:marRight w:val="0"/>
      <w:marTop w:val="0"/>
      <w:marBottom w:val="0"/>
      <w:divBdr>
        <w:top w:val="none" w:sz="0" w:space="0" w:color="auto"/>
        <w:left w:val="none" w:sz="0" w:space="0" w:color="auto"/>
        <w:bottom w:val="none" w:sz="0" w:space="0" w:color="auto"/>
        <w:right w:val="none" w:sz="0" w:space="0" w:color="auto"/>
      </w:divBdr>
    </w:div>
    <w:div w:id="929582710">
      <w:bodyDiv w:val="1"/>
      <w:marLeft w:val="0"/>
      <w:marRight w:val="0"/>
      <w:marTop w:val="0"/>
      <w:marBottom w:val="0"/>
      <w:divBdr>
        <w:top w:val="none" w:sz="0" w:space="0" w:color="auto"/>
        <w:left w:val="none" w:sz="0" w:space="0" w:color="auto"/>
        <w:bottom w:val="none" w:sz="0" w:space="0" w:color="auto"/>
        <w:right w:val="none" w:sz="0" w:space="0" w:color="auto"/>
      </w:divBdr>
    </w:div>
    <w:div w:id="2010474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2948</Words>
  <Characters>16808</Characters>
  <Application>Microsoft Office Word</Application>
  <DocSecurity>0</DocSecurity>
  <Lines>140</Lines>
  <Paragraphs>39</Paragraphs>
  <ScaleCrop>false</ScaleCrop>
  <Company/>
  <LinksUpToDate>false</LinksUpToDate>
  <CharactersWithSpaces>19717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Temianko</dc:creator>
  <cp:keywords/>
  <dc:description/>
  <cp:lastModifiedBy>Michael Temianko</cp:lastModifiedBy>
  <cp:revision>2</cp:revision>
  <dcterms:created xsi:type="dcterms:W3CDTF">2021-04-08T00:03:00Z</dcterms:created>
  <dcterms:modified xsi:type="dcterms:W3CDTF">2021-04-08T00:03:00Z</dcterms:modified>
</cp:coreProperties>
</file>