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4F83DF" w14:textId="77777777" w:rsidR="00FD30D3" w:rsidRPr="00CF48F8" w:rsidRDefault="00FD30D3" w:rsidP="00FD30D3">
      <w:pPr>
        <w:rPr>
          <w:rFonts w:asciiTheme="majorBidi" w:hAnsiTheme="majorBidi" w:cstheme="majorBidi"/>
        </w:rPr>
      </w:pPr>
    </w:p>
    <w:p w14:paraId="0982E78B" w14:textId="77777777" w:rsidR="00FD30D3" w:rsidRPr="002759E8" w:rsidRDefault="00FD30D3" w:rsidP="00FD30D3">
      <w:pPr>
        <w:jc w:val="center"/>
        <w:rPr>
          <w:rFonts w:asciiTheme="majorBidi" w:hAnsiTheme="majorBidi" w:cstheme="majorBidi"/>
        </w:rPr>
      </w:pPr>
      <w:r w:rsidRPr="002759E8">
        <w:rPr>
          <w:rFonts w:asciiTheme="majorBidi" w:hAnsiTheme="majorBidi" w:cstheme="majorBidi"/>
        </w:rPr>
        <w:t>Lavinia’s Case Study and the Ethics of Abortion</w:t>
      </w:r>
    </w:p>
    <w:p w14:paraId="7DF977B0" w14:textId="77777777" w:rsidR="00FD30D3" w:rsidRPr="002759E8" w:rsidRDefault="00FD30D3" w:rsidP="00FD30D3">
      <w:pPr>
        <w:rPr>
          <w:rFonts w:asciiTheme="majorBidi" w:hAnsiTheme="majorBidi" w:cstheme="majorBidi"/>
        </w:rPr>
      </w:pPr>
    </w:p>
    <w:p w14:paraId="6671A3FB" w14:textId="77777777" w:rsidR="00FD30D3" w:rsidRPr="002759E8" w:rsidRDefault="00FD30D3" w:rsidP="00FD30D3">
      <w:pPr>
        <w:ind w:firstLine="720"/>
        <w:rPr>
          <w:rFonts w:asciiTheme="majorBidi" w:hAnsiTheme="majorBidi" w:cstheme="majorBidi"/>
        </w:rPr>
      </w:pPr>
      <w:r w:rsidRPr="002759E8">
        <w:rPr>
          <w:rFonts w:asciiTheme="majorBidi" w:hAnsiTheme="majorBidi" w:cstheme="majorBidi"/>
        </w:rPr>
        <w:t>There has been an intense amount of research and philosophical debates on the ethics of abortion and whether killing a fetus amounts to killing a human being. In Biomedical Ethics, the book compares the difference between the three different viewpoints on abortion: the “Conservative Theory,” the “Liberal Theory,” and the “Middle Theory” (Fisher et al. 214-15). The Conservative Theory believes that a fetus has a right life from the moment of conception to the time of full development, whereas the Liberal Theory believes that a fetus has no right to life in all stages of its development (214). The Middle Theory, as the name suggests, is the belief that the fetus lacks a right to live up to a certain point in fetal development and then has a right to life after that threshold (215). Through Lavinia's case, this essay will argue that a practical, safe, and respectable theory is the "Liberal Theory." Lavinia is a mother of two daughters who has recently found out that she is pregnant. She and her husband are excited for they want a boy, and they have been trying for years to add a son to their family. Lavinia, however, wants to know what the fetus' gender is before she carries on with the pregnancy for if the baby is a girl she would like to have an abortion for her and her husband are not doing well financially to support another baby, especially if it is not a boy. Through the Liberal Theory, Lavinia has the right to get an abortion if her fetus’ gender is a girl because the pregnancy ultimately depends on her physical and mental well-being, her decisions for her future, and her relationship with the fetus.</w:t>
      </w:r>
    </w:p>
    <w:p w14:paraId="30ACB691" w14:textId="77777777" w:rsidR="00FD30D3" w:rsidRPr="002759E8" w:rsidRDefault="00FD30D3" w:rsidP="00FD30D3">
      <w:pPr>
        <w:rPr>
          <w:rFonts w:asciiTheme="majorBidi" w:hAnsiTheme="majorBidi" w:cstheme="majorBidi"/>
        </w:rPr>
      </w:pPr>
    </w:p>
    <w:p w14:paraId="6CE49F1B" w14:textId="77777777" w:rsidR="00FD30D3" w:rsidRPr="002759E8" w:rsidRDefault="00FD30D3" w:rsidP="00FD30D3">
      <w:pPr>
        <w:ind w:firstLine="720"/>
        <w:rPr>
          <w:rFonts w:asciiTheme="majorBidi" w:hAnsiTheme="majorBidi" w:cstheme="majorBidi"/>
        </w:rPr>
      </w:pPr>
      <w:r w:rsidRPr="002759E8">
        <w:rPr>
          <w:rFonts w:asciiTheme="majorBidi" w:hAnsiTheme="majorBidi" w:cstheme="majorBidi"/>
        </w:rPr>
        <w:t xml:space="preserve">Lavinia’s decision to get an abortion based on the gender of her fetus depends first on </w:t>
      </w:r>
      <w:proofErr w:type="gramStart"/>
      <w:r w:rsidRPr="002759E8">
        <w:rPr>
          <w:rFonts w:asciiTheme="majorBidi" w:hAnsiTheme="majorBidi" w:cstheme="majorBidi"/>
        </w:rPr>
        <w:t>whether or not</w:t>
      </w:r>
      <w:proofErr w:type="gramEnd"/>
      <w:r w:rsidRPr="002759E8">
        <w:rPr>
          <w:rFonts w:asciiTheme="majorBidi" w:hAnsiTheme="majorBidi" w:cstheme="majorBidi"/>
        </w:rPr>
        <w:t xml:space="preserve"> her physician will do the tests to identify the sex of her fetus. Her physician might not conduct any tests if he/she believes that getting an abortion is morally and ethically wrong; thus, he/she is then passively interfering with Lavinia’s abortion rather than actively being involved and supporting her choice. The physician might believe that all human life matters and that killing a fetus is immoral, thus undermining the mother's autonomy of her body and the parents' plans for their family. For instance, in “Why Abortion is Immortal,” Don Marquis states that abortion is, “except in rare cases, seriously immoral that it is in the same moral category as killing an innocent adult human being," however, in the same token, a </w:t>
      </w:r>
      <w:proofErr w:type="spellStart"/>
      <w:r w:rsidRPr="002759E8">
        <w:rPr>
          <w:rFonts w:asciiTheme="majorBidi" w:hAnsiTheme="majorBidi" w:cstheme="majorBidi"/>
        </w:rPr>
        <w:t>prochoicer</w:t>
      </w:r>
      <w:proofErr w:type="spellEnd"/>
      <w:r w:rsidRPr="002759E8">
        <w:rPr>
          <w:rFonts w:asciiTheme="majorBidi" w:hAnsiTheme="majorBidi" w:cstheme="majorBidi"/>
        </w:rPr>
        <w:t xml:space="preserve"> may claim that “Although it is clear that a fetus is both human and alive, it is not at all clear that a fetus is a human being” (Marquis 239). A </w:t>
      </w:r>
      <w:proofErr w:type="spellStart"/>
      <w:r w:rsidRPr="002759E8">
        <w:rPr>
          <w:rFonts w:asciiTheme="majorBidi" w:hAnsiTheme="majorBidi" w:cstheme="majorBidi"/>
        </w:rPr>
        <w:t>prochoicer</w:t>
      </w:r>
      <w:proofErr w:type="spellEnd"/>
      <w:r w:rsidRPr="002759E8">
        <w:rPr>
          <w:rFonts w:asciiTheme="majorBidi" w:hAnsiTheme="majorBidi" w:cstheme="majorBidi"/>
        </w:rPr>
        <w:t xml:space="preserve"> like a mother and father may argue that “only persons have the right to life,” however, this claim for Marquis is vague for the </w:t>
      </w:r>
      <w:proofErr w:type="spellStart"/>
      <w:r w:rsidRPr="002759E8">
        <w:rPr>
          <w:rFonts w:asciiTheme="majorBidi" w:hAnsiTheme="majorBidi" w:cstheme="majorBidi"/>
        </w:rPr>
        <w:t>prochoicer</w:t>
      </w:r>
      <w:proofErr w:type="spellEnd"/>
      <w:r w:rsidRPr="002759E8">
        <w:rPr>
          <w:rFonts w:asciiTheme="majorBidi" w:hAnsiTheme="majorBidi" w:cstheme="majorBidi"/>
        </w:rPr>
        <w:t xml:space="preserve"> then has to explain why “psychological characteristics are most important” when mentally ill people, for example, have the right to live and exist (239). Therefore, Marquis argues that both the anti-abortionist (like the doctor who might disagree with the testing) and </w:t>
      </w:r>
      <w:proofErr w:type="spellStart"/>
      <w:r w:rsidRPr="002759E8">
        <w:rPr>
          <w:rFonts w:asciiTheme="majorBidi" w:hAnsiTheme="majorBidi" w:cstheme="majorBidi"/>
        </w:rPr>
        <w:t>prochoicer</w:t>
      </w:r>
      <w:proofErr w:type="spellEnd"/>
      <w:r w:rsidRPr="002759E8">
        <w:rPr>
          <w:rFonts w:asciiTheme="majorBidi" w:hAnsiTheme="majorBidi" w:cstheme="majorBidi"/>
        </w:rPr>
        <w:t xml:space="preserve"> (like the family) use vague terms to justify their moral and ethical reasoning for/against abortion. For Marquis, the essence of the matter lies within the fact that it is morally wrong to kill human lives, even as a fetus, without a sound reason (such as rape, or if a woman’s life is threatened by pregnancy). Killing for Marquis is thus wrong, for it is the loss of someone’s potential; the potential to make experiences, memories, and fulfill one’s life, ultimately, killing is the loss of someone’s future. Marquis further states that killing children and infants is equally wrong, for they also have “futures of value” (242). Ultimately, Marquis claims that because a fetus has a valuable future like human beings, the fetus deserves to live; “it is not a category of personhood,” but about the loss of potential life. If the doctor thinks like Marquis, he/she is giving priority to the fetus's future and legitimizing the fetus's future instead of valuing both the mother's well-being and her </w:t>
      </w:r>
      <w:r w:rsidRPr="002759E8">
        <w:rPr>
          <w:rFonts w:asciiTheme="majorBidi" w:hAnsiTheme="majorBidi" w:cstheme="majorBidi"/>
        </w:rPr>
        <w:lastRenderedPageBreak/>
        <w:t>future first. The argument is then not if the fetus does or does not have psychological characteristics like a born baby or a grown adult, and it is not about the fetus's future, but it should be first about the physical and mental well-being of the mother (Lavinia) along with her plans for her future.</w:t>
      </w:r>
    </w:p>
    <w:p w14:paraId="19B8C51F" w14:textId="77777777" w:rsidR="00FD30D3" w:rsidRPr="002759E8" w:rsidRDefault="00FD30D3" w:rsidP="00FD30D3">
      <w:pPr>
        <w:rPr>
          <w:rFonts w:asciiTheme="majorBidi" w:hAnsiTheme="majorBidi" w:cstheme="majorBidi"/>
        </w:rPr>
      </w:pPr>
    </w:p>
    <w:p w14:paraId="606F08E8" w14:textId="77777777" w:rsidR="00FD30D3" w:rsidRPr="002759E8" w:rsidRDefault="00FD30D3" w:rsidP="00FD30D3">
      <w:pPr>
        <w:ind w:firstLine="720"/>
        <w:rPr>
          <w:rFonts w:asciiTheme="majorBidi" w:hAnsiTheme="majorBidi" w:cstheme="majorBidi"/>
        </w:rPr>
      </w:pPr>
      <w:r w:rsidRPr="002759E8">
        <w:rPr>
          <w:rFonts w:asciiTheme="majorBidi" w:hAnsiTheme="majorBidi" w:cstheme="majorBidi"/>
        </w:rPr>
        <w:t xml:space="preserve">According to the “priority of the woman approach,” abortion is permissible in all stages and circumstances when priority is given to the mother's well-being and her life decisions (Fisher et al. 213), thus in Lavinia's case, she should be allowed to get the tests done and get an abortion if she wishes to do so. In Susan Sherwin’s “Abortion through a Feminist Ethics Lens,” a pregnant woman "is a subject of principal concern in abortion decisions,” however, Sherwin explains that most often in non-feminist accounts, the women are "rendered virtually invisible" and the focus shifts from the mother to "the moral status of the developing embryo or the fetus" (Sherwin 269). Thus, Lavinia's concern over the sex of her fetus should be the only viable concern for the physician to take into account, and the physician should not interfere with Lavinia’s wish to get an abortion if she decides to get one. Through a feminist lens, a pregnant woman is "in the best position to judge whether abortion is the appropriate response to her circumstances" (268). Lavinia is 35 years old, and she already has two daughters whom she is raising with her husband; thus, Lavinia is not a new mother who is unsure of her decisions (although her age should not be a factor for all woman- young or old- have the right to an abortion) nor is she unaware of the circumstances. Lavinia and her husband are also tight on money, and to have another baby means they have another mouth to feed, and so it is reasonable that they want to make sure that the baby is a boy before they carry on with the pregnancy. Lavinia is firm in her decision to have a baby boy with her husband and to carry on with the pregnancy blindly means that if the baby is a girl she might, according to Christine Overall, "suffer if [she is] unwanted" for "within families, unwanted children may be handicapped by scarce material resources, lack of attention, and stressed parenting" (Overall 219). Although there is still a chance that the tests might not be one hundred percent accurate, the doctor should still acknowledge Lavinia as “a full moral agent with the responsibility of making moral decisions" about her pregnancy (Sherwin 270). Lavinia might be making a mistake in her moral judgement, but as Sherwin explains: "the intimate nature of this sort of decision makes it unlikely that anyone else is in a position to arrive at a more reliable conclusion" (270). Thus, the doctor or anyone else has no right to interfere with Lavinia's decision to seek an abortion if the fetus is not a boy. Lavinia's bond with her fetus is sacred, and thus she is ultimately in a relation with her fetus and knows what is best for her and the fetus in this relationship. </w:t>
      </w:r>
    </w:p>
    <w:p w14:paraId="1EB59389" w14:textId="77777777" w:rsidR="00FD30D3" w:rsidRPr="002759E8" w:rsidRDefault="00FD30D3" w:rsidP="00FD30D3">
      <w:pPr>
        <w:rPr>
          <w:rFonts w:asciiTheme="majorBidi" w:hAnsiTheme="majorBidi" w:cstheme="majorBidi"/>
        </w:rPr>
      </w:pPr>
    </w:p>
    <w:p w14:paraId="36E9ADC9" w14:textId="77777777" w:rsidR="00FD30D3" w:rsidRPr="002759E8" w:rsidRDefault="00FD30D3" w:rsidP="00FD30D3">
      <w:pPr>
        <w:ind w:firstLine="720"/>
        <w:rPr>
          <w:rFonts w:asciiTheme="majorBidi" w:hAnsiTheme="majorBidi" w:cstheme="majorBidi"/>
        </w:rPr>
      </w:pPr>
      <w:r w:rsidRPr="002759E8">
        <w:rPr>
          <w:rFonts w:asciiTheme="majorBidi" w:hAnsiTheme="majorBidi" w:cstheme="majorBidi"/>
        </w:rPr>
        <w:t xml:space="preserve">Through “A Feminist View of the Fetus” (Sherwin 272), Lavinia’s fetus is morally significant, but it is in a relational rather than absolute status, thus because Sherwin is the one providing and maintaining this relationship, she knows what best option for this relation is (273). According to Sherwin, "a fetus has a primary and particularly intimate relationship with the woman in whose womb it develops" and "no one else can do anything to support or harm a fetus without doing something to the woman who nurtures it" (273). Thus, Lavinia provides for the fetus and needs the nutrients, the mental well-being, and financial stability to care for her fetus. It is the mother who is feeling and providing for her fetus, for the fetus “can neither be sustained nor destroyed without affecting [the mother] who supports [it]” (274). As stated early, because Lavinia and her husband are suffering financially, if she does not have an abortion and her baby is a girl, she will not have enough money to eat healthily or might even have to work extended </w:t>
      </w:r>
      <w:r w:rsidRPr="002759E8">
        <w:rPr>
          <w:rFonts w:asciiTheme="majorBidi" w:hAnsiTheme="majorBidi" w:cstheme="majorBidi"/>
        </w:rPr>
        <w:lastRenderedPageBreak/>
        <w:t xml:space="preserve">hours to support her family. As a mother, Lavinia knows what this pregnancy entails, and thus she wants to be sure that the baby is a boy for her to go through with the pain and turmoil of the pregnancy, or else she might find the pregnancy a burden if the baby is a girl and this can result in adverse psychological and physical affects when the baby is born. What is ultimately crucial through a feminist point of view is that Lavinia should have her rights protected to "continue as well as to terminate pregnancies as each </w:t>
      </w:r>
      <w:proofErr w:type="gramStart"/>
      <w:r w:rsidRPr="002759E8">
        <w:rPr>
          <w:rFonts w:asciiTheme="majorBidi" w:hAnsiTheme="majorBidi" w:cstheme="majorBidi"/>
        </w:rPr>
        <w:t>sees</w:t>
      </w:r>
      <w:proofErr w:type="gramEnd"/>
      <w:r w:rsidRPr="002759E8">
        <w:rPr>
          <w:rFonts w:asciiTheme="majorBidi" w:hAnsiTheme="majorBidi" w:cstheme="majorBidi"/>
        </w:rPr>
        <w:t xml:space="preserve"> fit" (274).  Lavinia must have control over her pregnancy and reproduction. Whether the doctor agrees with Lavinia's choice for abortion should not be a factor in Lavinia's pregnancy, specifically because Canada “has no laws regulating abortion, a fetus can be terminated if the parents discover its sex and do not wish to have a child of that gender” (Fisher et al. 282). Hence, Lavinia's well-being must come first, and her decision for how she wants to live her life must be respected.  </w:t>
      </w:r>
    </w:p>
    <w:p w14:paraId="3DBCC8A5" w14:textId="77777777" w:rsidR="00FD30D3" w:rsidRPr="002759E8" w:rsidRDefault="00FD30D3" w:rsidP="00FD30D3">
      <w:pPr>
        <w:rPr>
          <w:rFonts w:asciiTheme="majorBidi" w:hAnsiTheme="majorBidi" w:cstheme="majorBidi"/>
        </w:rPr>
      </w:pPr>
    </w:p>
    <w:p w14:paraId="0E6A2681" w14:textId="4BEDF815" w:rsidR="00FD30D3" w:rsidRDefault="00FD30D3" w:rsidP="00FD30D3">
      <w:pPr>
        <w:ind w:firstLine="720"/>
        <w:rPr>
          <w:rFonts w:asciiTheme="majorBidi" w:hAnsiTheme="majorBidi" w:cstheme="majorBidi"/>
        </w:rPr>
      </w:pPr>
      <w:r w:rsidRPr="002759E8">
        <w:rPr>
          <w:rFonts w:asciiTheme="majorBidi" w:hAnsiTheme="majorBidi" w:cstheme="majorBidi"/>
        </w:rPr>
        <w:t xml:space="preserve">In conclusion, through the Liberal Theory, Lavinia's physical and mental well-being comes first, and whether the fetus is a human being is irrelevant. Through a feminist viewpoint on abortion, the focus should not be the fetus for the fetus is in a relationship with the mother, and it </w:t>
      </w:r>
      <w:r>
        <w:rPr>
          <w:rFonts w:asciiTheme="majorBidi" w:hAnsiTheme="majorBidi" w:cstheme="majorBidi"/>
        </w:rPr>
        <w:t>is</w:t>
      </w:r>
      <w:r w:rsidRPr="002759E8">
        <w:rPr>
          <w:rFonts w:asciiTheme="majorBidi" w:hAnsiTheme="majorBidi" w:cstheme="majorBidi"/>
        </w:rPr>
        <w:t xml:space="preserve"> the mother who feels pain and provides for the fetus. The doctor should conduct the tests for Lavinia, for it is her right to know her fetus's gender and get in abortion if she sees fit. Also, in Canada, "information about the gender of the fetus is discouraged, there is no law against it" (Fisher et al. 282). Ultimately, Lavinia’s well-being and her future come first for the fetus depends on the mother’s physical, mental, and financial stability. </w:t>
      </w:r>
    </w:p>
    <w:p w14:paraId="035310CE" w14:textId="24B853C7" w:rsidR="00FD30D3" w:rsidRDefault="00FD30D3" w:rsidP="00FD30D3">
      <w:pPr>
        <w:ind w:firstLine="720"/>
        <w:rPr>
          <w:rFonts w:asciiTheme="majorBidi" w:hAnsiTheme="majorBidi" w:cstheme="majorBidi"/>
        </w:rPr>
      </w:pPr>
    </w:p>
    <w:p w14:paraId="4E72C1D3" w14:textId="2382A5E7" w:rsidR="00FD30D3" w:rsidRDefault="00FD30D3" w:rsidP="00FD30D3">
      <w:pPr>
        <w:ind w:firstLine="720"/>
        <w:rPr>
          <w:rFonts w:asciiTheme="majorBidi" w:hAnsiTheme="majorBidi" w:cstheme="majorBidi"/>
        </w:rPr>
      </w:pPr>
    </w:p>
    <w:p w14:paraId="6623581F" w14:textId="74F888DB" w:rsidR="00FD30D3" w:rsidRDefault="00FD30D3" w:rsidP="00FD30D3">
      <w:pPr>
        <w:ind w:firstLine="720"/>
        <w:rPr>
          <w:rFonts w:asciiTheme="majorBidi" w:hAnsiTheme="majorBidi" w:cstheme="majorBidi"/>
        </w:rPr>
      </w:pPr>
    </w:p>
    <w:p w14:paraId="7DA73377" w14:textId="126E4A74" w:rsidR="00FD30D3" w:rsidRDefault="00FD30D3" w:rsidP="00FD30D3">
      <w:pPr>
        <w:ind w:firstLine="720"/>
        <w:rPr>
          <w:rFonts w:asciiTheme="majorBidi" w:hAnsiTheme="majorBidi" w:cstheme="majorBidi"/>
        </w:rPr>
      </w:pPr>
    </w:p>
    <w:p w14:paraId="2C2AFF1C" w14:textId="0889AD24" w:rsidR="00FD30D3" w:rsidRDefault="00FD30D3" w:rsidP="00FD30D3">
      <w:pPr>
        <w:ind w:firstLine="720"/>
        <w:rPr>
          <w:rFonts w:asciiTheme="majorBidi" w:hAnsiTheme="majorBidi" w:cstheme="majorBidi"/>
        </w:rPr>
      </w:pPr>
    </w:p>
    <w:p w14:paraId="24C3FAFF" w14:textId="0D80D5F7" w:rsidR="00FD30D3" w:rsidRDefault="00FD30D3" w:rsidP="00FD30D3">
      <w:pPr>
        <w:ind w:firstLine="720"/>
        <w:rPr>
          <w:rFonts w:asciiTheme="majorBidi" w:hAnsiTheme="majorBidi" w:cstheme="majorBidi"/>
        </w:rPr>
      </w:pPr>
    </w:p>
    <w:p w14:paraId="229D2997" w14:textId="02515CED" w:rsidR="00FD30D3" w:rsidRDefault="00FD30D3" w:rsidP="00FD30D3">
      <w:pPr>
        <w:ind w:firstLine="720"/>
        <w:rPr>
          <w:rFonts w:asciiTheme="majorBidi" w:hAnsiTheme="majorBidi" w:cstheme="majorBidi"/>
        </w:rPr>
      </w:pPr>
    </w:p>
    <w:p w14:paraId="0666A620" w14:textId="2AFFCBAE" w:rsidR="00FD30D3" w:rsidRDefault="00FD30D3" w:rsidP="00FD30D3">
      <w:pPr>
        <w:ind w:firstLine="720"/>
        <w:rPr>
          <w:rFonts w:asciiTheme="majorBidi" w:hAnsiTheme="majorBidi" w:cstheme="majorBidi"/>
        </w:rPr>
      </w:pPr>
    </w:p>
    <w:p w14:paraId="3235A992" w14:textId="4FB708B0" w:rsidR="00FD30D3" w:rsidRDefault="00FD30D3" w:rsidP="00FD30D3">
      <w:pPr>
        <w:ind w:firstLine="720"/>
        <w:rPr>
          <w:rFonts w:asciiTheme="majorBidi" w:hAnsiTheme="majorBidi" w:cstheme="majorBidi"/>
        </w:rPr>
      </w:pPr>
    </w:p>
    <w:p w14:paraId="3BD52470" w14:textId="7AE3AC68" w:rsidR="00FD30D3" w:rsidRDefault="00FD30D3" w:rsidP="00FD30D3">
      <w:pPr>
        <w:ind w:firstLine="720"/>
        <w:rPr>
          <w:rFonts w:asciiTheme="majorBidi" w:hAnsiTheme="majorBidi" w:cstheme="majorBidi"/>
        </w:rPr>
      </w:pPr>
    </w:p>
    <w:p w14:paraId="0B5A1C2D" w14:textId="1AF7B0B5" w:rsidR="00FD30D3" w:rsidRDefault="00FD30D3" w:rsidP="00FD30D3">
      <w:pPr>
        <w:ind w:firstLine="720"/>
        <w:rPr>
          <w:rFonts w:asciiTheme="majorBidi" w:hAnsiTheme="majorBidi" w:cstheme="majorBidi"/>
        </w:rPr>
      </w:pPr>
    </w:p>
    <w:p w14:paraId="2B42D8BC" w14:textId="3E817AFD" w:rsidR="00FD30D3" w:rsidRDefault="00FD30D3" w:rsidP="00FD30D3">
      <w:pPr>
        <w:ind w:firstLine="720"/>
        <w:rPr>
          <w:rFonts w:asciiTheme="majorBidi" w:hAnsiTheme="majorBidi" w:cstheme="majorBidi"/>
        </w:rPr>
      </w:pPr>
    </w:p>
    <w:p w14:paraId="08581BD2" w14:textId="37300DF3" w:rsidR="00FD30D3" w:rsidRDefault="00FD30D3" w:rsidP="00FD30D3">
      <w:pPr>
        <w:ind w:firstLine="720"/>
        <w:rPr>
          <w:rFonts w:asciiTheme="majorBidi" w:hAnsiTheme="majorBidi" w:cstheme="majorBidi"/>
        </w:rPr>
      </w:pPr>
    </w:p>
    <w:p w14:paraId="4993E1C4" w14:textId="494908C6" w:rsidR="00FD30D3" w:rsidRDefault="00FD30D3" w:rsidP="00FD30D3">
      <w:pPr>
        <w:ind w:firstLine="720"/>
        <w:rPr>
          <w:rFonts w:asciiTheme="majorBidi" w:hAnsiTheme="majorBidi" w:cstheme="majorBidi"/>
        </w:rPr>
      </w:pPr>
    </w:p>
    <w:p w14:paraId="11E27557" w14:textId="37BC432D" w:rsidR="00FD30D3" w:rsidRDefault="00FD30D3" w:rsidP="00FD30D3">
      <w:pPr>
        <w:ind w:firstLine="720"/>
        <w:rPr>
          <w:rFonts w:asciiTheme="majorBidi" w:hAnsiTheme="majorBidi" w:cstheme="majorBidi"/>
        </w:rPr>
      </w:pPr>
    </w:p>
    <w:p w14:paraId="4C69F482" w14:textId="17D5ECEE" w:rsidR="00FD30D3" w:rsidRDefault="00FD30D3" w:rsidP="00FD30D3">
      <w:pPr>
        <w:ind w:firstLine="720"/>
        <w:rPr>
          <w:rFonts w:asciiTheme="majorBidi" w:hAnsiTheme="majorBidi" w:cstheme="majorBidi"/>
        </w:rPr>
      </w:pPr>
    </w:p>
    <w:p w14:paraId="04EF27CD" w14:textId="65D6A5EF" w:rsidR="00FD30D3" w:rsidRDefault="00FD30D3" w:rsidP="00FD30D3">
      <w:pPr>
        <w:ind w:firstLine="720"/>
        <w:rPr>
          <w:rFonts w:asciiTheme="majorBidi" w:hAnsiTheme="majorBidi" w:cstheme="majorBidi"/>
        </w:rPr>
      </w:pPr>
    </w:p>
    <w:p w14:paraId="76A8A015" w14:textId="3E1232CD" w:rsidR="00FD30D3" w:rsidRDefault="00FD30D3" w:rsidP="00FD30D3">
      <w:pPr>
        <w:ind w:firstLine="720"/>
        <w:rPr>
          <w:rFonts w:asciiTheme="majorBidi" w:hAnsiTheme="majorBidi" w:cstheme="majorBidi"/>
        </w:rPr>
      </w:pPr>
    </w:p>
    <w:p w14:paraId="5B33AEF9" w14:textId="68CC71C1" w:rsidR="00FD30D3" w:rsidRDefault="00FD30D3" w:rsidP="00FD30D3">
      <w:pPr>
        <w:ind w:firstLine="720"/>
        <w:rPr>
          <w:rFonts w:asciiTheme="majorBidi" w:hAnsiTheme="majorBidi" w:cstheme="majorBidi"/>
        </w:rPr>
      </w:pPr>
    </w:p>
    <w:p w14:paraId="0634D727" w14:textId="342EA512" w:rsidR="00FD30D3" w:rsidRDefault="00FD30D3" w:rsidP="00FD30D3">
      <w:pPr>
        <w:ind w:firstLine="720"/>
        <w:rPr>
          <w:rFonts w:asciiTheme="majorBidi" w:hAnsiTheme="majorBidi" w:cstheme="majorBidi"/>
        </w:rPr>
      </w:pPr>
    </w:p>
    <w:p w14:paraId="7C7F7C53" w14:textId="41D185B9" w:rsidR="00FD30D3" w:rsidRDefault="00FD30D3" w:rsidP="00FD30D3">
      <w:pPr>
        <w:ind w:firstLine="720"/>
        <w:rPr>
          <w:rFonts w:asciiTheme="majorBidi" w:hAnsiTheme="majorBidi" w:cstheme="majorBidi"/>
        </w:rPr>
      </w:pPr>
    </w:p>
    <w:p w14:paraId="1E03D091" w14:textId="450F0239" w:rsidR="00FD30D3" w:rsidRDefault="00FD30D3" w:rsidP="00FD30D3">
      <w:pPr>
        <w:ind w:firstLine="720"/>
        <w:rPr>
          <w:rFonts w:asciiTheme="majorBidi" w:hAnsiTheme="majorBidi" w:cstheme="majorBidi"/>
        </w:rPr>
      </w:pPr>
    </w:p>
    <w:p w14:paraId="6BD52D4E" w14:textId="6C37F90D" w:rsidR="00B21C5C" w:rsidRDefault="00B21C5C" w:rsidP="00FD30D3">
      <w:pPr>
        <w:ind w:firstLine="720"/>
        <w:rPr>
          <w:rFonts w:asciiTheme="majorBidi" w:hAnsiTheme="majorBidi" w:cstheme="majorBidi"/>
        </w:rPr>
      </w:pPr>
    </w:p>
    <w:p w14:paraId="3A5A6155" w14:textId="3854CC3A" w:rsidR="00B21C5C" w:rsidRDefault="00B21C5C" w:rsidP="00FD30D3">
      <w:pPr>
        <w:ind w:firstLine="720"/>
        <w:rPr>
          <w:rFonts w:asciiTheme="majorBidi" w:hAnsiTheme="majorBidi" w:cstheme="majorBidi"/>
        </w:rPr>
      </w:pPr>
    </w:p>
    <w:p w14:paraId="282B9873" w14:textId="77777777" w:rsidR="00B21C5C" w:rsidRPr="002759E8" w:rsidRDefault="00B21C5C" w:rsidP="00FD30D3">
      <w:pPr>
        <w:ind w:firstLine="720"/>
        <w:rPr>
          <w:rFonts w:asciiTheme="majorBidi" w:hAnsiTheme="majorBidi" w:cstheme="majorBidi"/>
        </w:rPr>
      </w:pPr>
    </w:p>
    <w:p w14:paraId="1953DE0F" w14:textId="77777777" w:rsidR="00FD30D3" w:rsidRDefault="00FD30D3" w:rsidP="00FD30D3">
      <w:pPr>
        <w:rPr>
          <w:rFonts w:asciiTheme="majorBidi" w:hAnsiTheme="majorBidi" w:cstheme="majorBidi"/>
        </w:rPr>
      </w:pPr>
    </w:p>
    <w:p w14:paraId="417AABF5" w14:textId="136513A9" w:rsidR="00FD30D3" w:rsidRDefault="00FD30D3" w:rsidP="00FD30D3">
      <w:pPr>
        <w:jc w:val="center"/>
        <w:rPr>
          <w:rFonts w:asciiTheme="majorBidi" w:hAnsiTheme="majorBidi" w:cstheme="majorBidi"/>
        </w:rPr>
      </w:pPr>
      <w:r>
        <w:rPr>
          <w:rFonts w:asciiTheme="majorBidi" w:hAnsiTheme="majorBidi" w:cstheme="majorBidi"/>
        </w:rPr>
        <w:lastRenderedPageBreak/>
        <w:t>Works Cited</w:t>
      </w:r>
    </w:p>
    <w:p w14:paraId="27AFEABA" w14:textId="22CC9B1E" w:rsidR="00FD30D3" w:rsidRDefault="00FD30D3" w:rsidP="00FD30D3">
      <w:pPr>
        <w:jc w:val="center"/>
        <w:rPr>
          <w:rFonts w:asciiTheme="majorBidi" w:hAnsiTheme="majorBidi" w:cstheme="majorBidi"/>
        </w:rPr>
      </w:pPr>
    </w:p>
    <w:p w14:paraId="1E67948F" w14:textId="77777777" w:rsidR="00FD30D3" w:rsidRDefault="00FD30D3" w:rsidP="00FD30D3">
      <w:pPr>
        <w:jc w:val="center"/>
        <w:rPr>
          <w:rFonts w:asciiTheme="majorBidi" w:hAnsiTheme="majorBidi" w:cstheme="majorBidi"/>
        </w:rPr>
      </w:pPr>
    </w:p>
    <w:p w14:paraId="1A23ACEC" w14:textId="77777777" w:rsidR="00FD30D3" w:rsidRPr="004A5E3A" w:rsidRDefault="00FD30D3" w:rsidP="00FD30D3">
      <w:pPr>
        <w:rPr>
          <w:rFonts w:asciiTheme="majorBidi" w:hAnsiTheme="majorBidi" w:cstheme="majorBidi"/>
        </w:rPr>
      </w:pPr>
    </w:p>
    <w:p w14:paraId="65ADA82F" w14:textId="77777777" w:rsidR="00FD30D3" w:rsidRDefault="00FD30D3" w:rsidP="00FD30D3">
      <w:pPr>
        <w:rPr>
          <w:rFonts w:asciiTheme="majorBidi" w:hAnsiTheme="majorBidi" w:cstheme="majorBidi"/>
        </w:rPr>
      </w:pPr>
      <w:r w:rsidRPr="004A5E3A">
        <w:rPr>
          <w:rFonts w:asciiTheme="majorBidi" w:hAnsiTheme="majorBidi" w:cstheme="majorBidi"/>
        </w:rPr>
        <w:t>Fisher, Johnna, et al., editors. </w:t>
      </w:r>
      <w:r w:rsidRPr="004A5E3A">
        <w:rPr>
          <w:rFonts w:asciiTheme="majorBidi" w:hAnsiTheme="majorBidi" w:cstheme="majorBidi"/>
          <w:i/>
          <w:iCs/>
        </w:rPr>
        <w:t xml:space="preserve">Biomedical Ethics: </w:t>
      </w:r>
      <w:r>
        <w:rPr>
          <w:rFonts w:asciiTheme="majorBidi" w:hAnsiTheme="majorBidi" w:cstheme="majorBidi"/>
          <w:i/>
          <w:iCs/>
        </w:rPr>
        <w:t>A</w:t>
      </w:r>
      <w:r w:rsidRPr="004A5E3A">
        <w:rPr>
          <w:rFonts w:asciiTheme="majorBidi" w:hAnsiTheme="majorBidi" w:cstheme="majorBidi"/>
          <w:i/>
          <w:iCs/>
        </w:rPr>
        <w:t xml:space="preserve"> Canadian Focus</w:t>
      </w:r>
      <w:r w:rsidRPr="004A5E3A">
        <w:rPr>
          <w:rFonts w:asciiTheme="majorBidi" w:hAnsiTheme="majorBidi" w:cstheme="majorBidi"/>
        </w:rPr>
        <w:t xml:space="preserve">. Oxford University Press, </w:t>
      </w:r>
    </w:p>
    <w:p w14:paraId="5219F3BB" w14:textId="77777777" w:rsidR="00FD30D3" w:rsidRDefault="00FD30D3" w:rsidP="00FD30D3">
      <w:pPr>
        <w:ind w:firstLine="720"/>
        <w:rPr>
          <w:rFonts w:asciiTheme="majorBidi" w:hAnsiTheme="majorBidi" w:cstheme="majorBidi"/>
        </w:rPr>
      </w:pPr>
      <w:r w:rsidRPr="004A5E3A">
        <w:rPr>
          <w:rFonts w:asciiTheme="majorBidi" w:hAnsiTheme="majorBidi" w:cstheme="majorBidi"/>
        </w:rPr>
        <w:t>2018</w:t>
      </w:r>
      <w:r>
        <w:rPr>
          <w:rFonts w:asciiTheme="majorBidi" w:hAnsiTheme="majorBidi" w:cstheme="majorBidi"/>
        </w:rPr>
        <w:t>.</w:t>
      </w:r>
    </w:p>
    <w:p w14:paraId="48A832E9" w14:textId="77777777" w:rsidR="00FD30D3" w:rsidRPr="004A5E3A" w:rsidRDefault="00FD30D3" w:rsidP="00FD30D3">
      <w:pPr>
        <w:ind w:firstLine="720"/>
        <w:rPr>
          <w:rFonts w:asciiTheme="majorBidi" w:hAnsiTheme="majorBidi" w:cstheme="majorBidi"/>
        </w:rPr>
      </w:pPr>
    </w:p>
    <w:p w14:paraId="77B5F6A6" w14:textId="77777777" w:rsidR="00FD30D3" w:rsidRDefault="00FD30D3" w:rsidP="00FD30D3">
      <w:r w:rsidRPr="001D7343">
        <w:t>Marquis, Don. “Why Abortion Is Immortal.” </w:t>
      </w:r>
      <w:r w:rsidRPr="004A5E3A">
        <w:rPr>
          <w:rFonts w:asciiTheme="majorBidi" w:hAnsiTheme="majorBidi" w:cstheme="majorBidi"/>
          <w:i/>
          <w:iCs/>
        </w:rPr>
        <w:t xml:space="preserve">Biomedical Ethics: </w:t>
      </w:r>
      <w:r>
        <w:rPr>
          <w:rFonts w:asciiTheme="majorBidi" w:hAnsiTheme="majorBidi" w:cstheme="majorBidi"/>
          <w:i/>
          <w:iCs/>
        </w:rPr>
        <w:t>A</w:t>
      </w:r>
      <w:r w:rsidRPr="004A5E3A">
        <w:rPr>
          <w:rFonts w:asciiTheme="majorBidi" w:hAnsiTheme="majorBidi" w:cstheme="majorBidi"/>
          <w:i/>
          <w:iCs/>
        </w:rPr>
        <w:t xml:space="preserve"> Canadian Focus</w:t>
      </w:r>
      <w:r w:rsidRPr="001D7343">
        <w:t xml:space="preserve">, 2018, pp. </w:t>
      </w:r>
    </w:p>
    <w:p w14:paraId="1AC42EA0" w14:textId="77777777" w:rsidR="00FD30D3" w:rsidRDefault="00FD30D3" w:rsidP="00FD30D3">
      <w:pPr>
        <w:ind w:firstLine="720"/>
      </w:pPr>
      <w:r w:rsidRPr="001D7343">
        <w:t>2</w:t>
      </w:r>
      <w:r>
        <w:t>38</w:t>
      </w:r>
      <w:r w:rsidRPr="001D7343">
        <w:t>–2</w:t>
      </w:r>
      <w:r>
        <w:t>47</w:t>
      </w:r>
      <w:r w:rsidRPr="001D7343">
        <w:t>.</w:t>
      </w:r>
    </w:p>
    <w:p w14:paraId="733D6E63" w14:textId="77777777" w:rsidR="00FD30D3" w:rsidRDefault="00FD30D3" w:rsidP="00FD30D3">
      <w:pPr>
        <w:ind w:firstLine="720"/>
      </w:pPr>
    </w:p>
    <w:p w14:paraId="16C0C9FF" w14:textId="77777777" w:rsidR="00FD30D3" w:rsidRDefault="00FD30D3" w:rsidP="00FD30D3">
      <w:pPr>
        <w:rPr>
          <w:i/>
          <w:iCs/>
        </w:rPr>
      </w:pPr>
      <w:r w:rsidRPr="002759E8">
        <w:rPr>
          <w:rFonts w:asciiTheme="majorBidi" w:hAnsiTheme="majorBidi" w:cstheme="majorBidi"/>
        </w:rPr>
        <w:t>Overall</w:t>
      </w:r>
      <w:r>
        <w:rPr>
          <w:rFonts w:asciiTheme="majorBidi" w:hAnsiTheme="majorBidi" w:cstheme="majorBidi"/>
        </w:rPr>
        <w:t xml:space="preserve">, </w:t>
      </w:r>
      <w:r w:rsidRPr="002759E8">
        <w:rPr>
          <w:rFonts w:asciiTheme="majorBidi" w:hAnsiTheme="majorBidi" w:cstheme="majorBidi"/>
        </w:rPr>
        <w:t>Christine</w:t>
      </w:r>
      <w:r>
        <w:rPr>
          <w:rFonts w:asciiTheme="majorBidi" w:hAnsiTheme="majorBidi" w:cstheme="majorBidi"/>
        </w:rPr>
        <w:t xml:space="preserve">. “Reproductive Freedom, Autonomy, and Reproductive Rights.” </w:t>
      </w:r>
      <w:r w:rsidRPr="001D7343">
        <w:rPr>
          <w:i/>
          <w:iCs/>
        </w:rPr>
        <w:t xml:space="preserve">Biomedical </w:t>
      </w:r>
    </w:p>
    <w:p w14:paraId="7D120331" w14:textId="77777777" w:rsidR="00FD30D3" w:rsidRPr="001D7343" w:rsidRDefault="00FD30D3" w:rsidP="00FD30D3">
      <w:pPr>
        <w:ind w:firstLine="720"/>
        <w:rPr>
          <w:i/>
          <w:iCs/>
        </w:rPr>
      </w:pPr>
      <w:r w:rsidRPr="001D7343">
        <w:rPr>
          <w:i/>
          <w:iCs/>
        </w:rPr>
        <w:t xml:space="preserve">Ethics: </w:t>
      </w:r>
      <w:r>
        <w:rPr>
          <w:i/>
          <w:iCs/>
        </w:rPr>
        <w:t>A</w:t>
      </w:r>
      <w:r w:rsidRPr="001D7343">
        <w:rPr>
          <w:i/>
          <w:iCs/>
        </w:rPr>
        <w:t xml:space="preserve"> Canadian Focus</w:t>
      </w:r>
      <w:r w:rsidRPr="001D7343">
        <w:t xml:space="preserve">, 2018, pp. </w:t>
      </w:r>
      <w:r>
        <w:t>218-225</w:t>
      </w:r>
      <w:r w:rsidRPr="001D7343">
        <w:t>.</w:t>
      </w:r>
    </w:p>
    <w:p w14:paraId="37115A8C" w14:textId="77777777" w:rsidR="00FD30D3" w:rsidRDefault="00FD30D3" w:rsidP="00FD30D3">
      <w:pPr>
        <w:rPr>
          <w:color w:val="323232"/>
          <w:shd w:val="clear" w:color="auto" w:fill="FFE7AF"/>
        </w:rPr>
      </w:pPr>
    </w:p>
    <w:p w14:paraId="2FCB8E7E" w14:textId="77777777" w:rsidR="00FD30D3" w:rsidRDefault="00FD30D3" w:rsidP="00FD30D3">
      <w:pPr>
        <w:rPr>
          <w:i/>
          <w:iCs/>
        </w:rPr>
      </w:pPr>
      <w:r w:rsidRPr="001D7343">
        <w:t>Sherwin, Susan. “Abortion through a Feminist Ethics Lens.” </w:t>
      </w:r>
      <w:r w:rsidRPr="001D7343">
        <w:rPr>
          <w:i/>
          <w:iCs/>
        </w:rPr>
        <w:t xml:space="preserve">Biomedical Ethics: </w:t>
      </w:r>
      <w:r>
        <w:rPr>
          <w:i/>
          <w:iCs/>
        </w:rPr>
        <w:t>A</w:t>
      </w:r>
      <w:r w:rsidRPr="001D7343">
        <w:rPr>
          <w:i/>
          <w:iCs/>
        </w:rPr>
        <w:t xml:space="preserve"> Canadian </w:t>
      </w:r>
    </w:p>
    <w:p w14:paraId="2F264540" w14:textId="77777777" w:rsidR="00FD30D3" w:rsidRPr="001D7343" w:rsidRDefault="00FD30D3" w:rsidP="00FD30D3">
      <w:pPr>
        <w:ind w:firstLine="720"/>
      </w:pPr>
      <w:r w:rsidRPr="001D7343">
        <w:rPr>
          <w:i/>
          <w:iCs/>
        </w:rPr>
        <w:t>Focus</w:t>
      </w:r>
      <w:r w:rsidRPr="001D7343">
        <w:t xml:space="preserve">, 2018, pp. </w:t>
      </w:r>
      <w:r>
        <w:t>258-277</w:t>
      </w:r>
      <w:r w:rsidRPr="001D7343">
        <w:t>.</w:t>
      </w:r>
    </w:p>
    <w:p w14:paraId="6A3B7B0B" w14:textId="77777777" w:rsidR="00FD30D3" w:rsidRDefault="00FD30D3" w:rsidP="00FD30D3">
      <w:pPr>
        <w:rPr>
          <w:rFonts w:asciiTheme="majorBidi" w:hAnsiTheme="majorBidi" w:cstheme="majorBidi"/>
        </w:rPr>
      </w:pPr>
    </w:p>
    <w:p w14:paraId="06EC4A30" w14:textId="77777777" w:rsidR="00FD30D3" w:rsidRPr="002759E8" w:rsidRDefault="00FD30D3" w:rsidP="00FD30D3">
      <w:pPr>
        <w:rPr>
          <w:rFonts w:asciiTheme="majorBidi" w:hAnsiTheme="majorBidi" w:cstheme="majorBidi"/>
        </w:rPr>
      </w:pPr>
    </w:p>
    <w:p w14:paraId="3A7258C4" w14:textId="77777777" w:rsidR="00FD30D3" w:rsidRDefault="00FD30D3"/>
    <w:sectPr w:rsidR="00FD30D3" w:rsidSect="001074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D3"/>
    <w:rsid w:val="00B21C5C"/>
    <w:rsid w:val="00FD30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DF1C"/>
  <w15:chartTrackingRefBased/>
  <w15:docId w15:val="{25A32F1A-2294-444A-9A66-C214DB6BE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1559</Words>
  <Characters>8887</Characters>
  <Application>Microsoft Office Word</Application>
  <DocSecurity>0</DocSecurity>
  <Lines>74</Lines>
  <Paragraphs>20</Paragraphs>
  <ScaleCrop>false</ScaleCrop>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2020-06-27T11:25:00Z</dcterms:created>
  <dcterms:modified xsi:type="dcterms:W3CDTF">2020-06-27T11:25:00Z</dcterms:modified>
</cp:coreProperties>
</file>