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DBE14B" w14:textId="77777777" w:rsidR="003F35CE" w:rsidRDefault="009B7BA8">
      <w:pPr>
        <w:pStyle w:val="Title"/>
        <w:spacing w:after="200" w:line="218" w:lineRule="auto"/>
        <w:jc w:val="left"/>
        <w:rPr>
          <w:rFonts w:ascii="Times New Roman" w:eastAsia="Times New Roman" w:hAnsi="Times New Roman" w:cs="Times New Roman"/>
          <w:color w:val="000000"/>
          <w:sz w:val="72"/>
          <w:szCs w:val="72"/>
        </w:rPr>
      </w:pPr>
      <w:bookmarkStart w:id="0" w:name="_g1id4g3zobxl" w:colFirst="0" w:colLast="0"/>
      <w:bookmarkEnd w:id="0"/>
      <w:r>
        <w:rPr>
          <w:rFonts w:ascii="Times New Roman" w:eastAsia="Times New Roman" w:hAnsi="Times New Roman" w:cs="Times New Roman"/>
          <w:color w:val="000000"/>
          <w:sz w:val="60"/>
          <w:szCs w:val="60"/>
        </w:rPr>
        <w:t xml:space="preserve">                </w:t>
      </w:r>
      <w:r>
        <w:rPr>
          <w:rFonts w:ascii="Times New Roman" w:eastAsia="Times New Roman" w:hAnsi="Times New Roman" w:cs="Times New Roman"/>
          <w:color w:val="000000"/>
          <w:sz w:val="72"/>
          <w:szCs w:val="72"/>
        </w:rPr>
        <w:t xml:space="preserve"> CHM 1321 Lab </w:t>
      </w:r>
    </w:p>
    <w:p w14:paraId="4E5ED01D" w14:textId="77777777" w:rsidR="003F35CE" w:rsidRDefault="009B7BA8">
      <w:pPr>
        <w:pStyle w:val="Title"/>
        <w:spacing w:after="200" w:line="218" w:lineRule="auto"/>
        <w:rPr>
          <w:rFonts w:ascii="Times New Roman" w:eastAsia="Times New Roman" w:hAnsi="Times New Roman" w:cs="Times New Roman"/>
          <w:color w:val="000000"/>
          <w:sz w:val="48"/>
          <w:szCs w:val="48"/>
        </w:rPr>
      </w:pPr>
      <w:bookmarkStart w:id="1" w:name="_t1ocwyod17y6" w:colFirst="0" w:colLast="0"/>
      <w:bookmarkEnd w:id="1"/>
      <w:r>
        <w:rPr>
          <w:rFonts w:ascii="Times New Roman" w:eastAsia="Times New Roman" w:hAnsi="Times New Roman" w:cs="Times New Roman"/>
          <w:color w:val="000000"/>
          <w:sz w:val="48"/>
          <w:szCs w:val="48"/>
        </w:rPr>
        <w:t xml:space="preserve">       Experiment 6 Regioselective Nitration of   Acetanilide</w:t>
      </w:r>
    </w:p>
    <w:p w14:paraId="2662C885" w14:textId="77777777" w:rsidR="003F35CE" w:rsidRDefault="003F35CE">
      <w:pPr>
        <w:pBdr>
          <w:top w:val="nil"/>
          <w:left w:val="nil"/>
          <w:bottom w:val="nil"/>
          <w:right w:val="nil"/>
          <w:between w:val="nil"/>
        </w:pBdr>
        <w:spacing w:before="400"/>
        <w:jc w:val="center"/>
        <w:rPr>
          <w:rFonts w:ascii="Times New Roman" w:eastAsia="Times New Roman" w:hAnsi="Times New Roman" w:cs="Times New Roman"/>
          <w:b/>
          <w:color w:val="000000"/>
          <w:sz w:val="36"/>
          <w:szCs w:val="36"/>
        </w:rPr>
      </w:pPr>
    </w:p>
    <w:p w14:paraId="36B363F1" w14:textId="77777777" w:rsidR="003F35CE" w:rsidRDefault="003F35CE">
      <w:pPr>
        <w:pBdr>
          <w:top w:val="nil"/>
          <w:left w:val="nil"/>
          <w:bottom w:val="nil"/>
          <w:right w:val="nil"/>
          <w:between w:val="nil"/>
        </w:pBdr>
        <w:spacing w:before="400"/>
        <w:rPr>
          <w:rFonts w:ascii="Times New Roman" w:eastAsia="Times New Roman" w:hAnsi="Times New Roman" w:cs="Times New Roman"/>
          <w:b/>
          <w:color w:val="000000"/>
          <w:sz w:val="36"/>
          <w:szCs w:val="36"/>
        </w:rPr>
      </w:pPr>
    </w:p>
    <w:p w14:paraId="1B0DF549" w14:textId="77777777" w:rsidR="003F35CE" w:rsidRDefault="003F35CE">
      <w:pPr>
        <w:pBdr>
          <w:top w:val="nil"/>
          <w:left w:val="nil"/>
          <w:bottom w:val="nil"/>
          <w:right w:val="nil"/>
          <w:between w:val="nil"/>
        </w:pBdr>
        <w:spacing w:before="0"/>
        <w:jc w:val="center"/>
        <w:rPr>
          <w:rFonts w:ascii="Times New Roman" w:eastAsia="Times New Roman" w:hAnsi="Times New Roman" w:cs="Times New Roman"/>
          <w:b/>
          <w:color w:val="000000"/>
          <w:sz w:val="36"/>
          <w:szCs w:val="36"/>
        </w:rPr>
      </w:pPr>
    </w:p>
    <w:p w14:paraId="0187B81B" w14:textId="77777777" w:rsidR="003F35CE" w:rsidRDefault="003F35CE">
      <w:pPr>
        <w:pBdr>
          <w:top w:val="nil"/>
          <w:left w:val="nil"/>
          <w:bottom w:val="nil"/>
          <w:right w:val="nil"/>
          <w:between w:val="nil"/>
        </w:pBdr>
        <w:spacing w:before="0"/>
        <w:jc w:val="center"/>
        <w:rPr>
          <w:rFonts w:ascii="Times New Roman" w:eastAsia="Times New Roman" w:hAnsi="Times New Roman" w:cs="Times New Roman"/>
          <w:b/>
          <w:color w:val="000000"/>
          <w:sz w:val="36"/>
          <w:szCs w:val="36"/>
        </w:rPr>
      </w:pPr>
    </w:p>
    <w:p w14:paraId="06E3AB90" w14:textId="77777777" w:rsidR="003F35CE" w:rsidRDefault="003F35CE">
      <w:pPr>
        <w:pBdr>
          <w:top w:val="nil"/>
          <w:left w:val="nil"/>
          <w:bottom w:val="nil"/>
          <w:right w:val="nil"/>
          <w:between w:val="nil"/>
        </w:pBdr>
        <w:spacing w:before="0"/>
        <w:jc w:val="center"/>
        <w:rPr>
          <w:rFonts w:ascii="Times New Roman" w:eastAsia="Times New Roman" w:hAnsi="Times New Roman" w:cs="Times New Roman"/>
          <w:color w:val="000000"/>
        </w:rPr>
      </w:pPr>
    </w:p>
    <w:p w14:paraId="67395E2B" w14:textId="77777777" w:rsidR="003F35CE" w:rsidRDefault="003F35CE">
      <w:pPr>
        <w:pBdr>
          <w:top w:val="nil"/>
          <w:left w:val="nil"/>
          <w:bottom w:val="nil"/>
          <w:right w:val="nil"/>
          <w:between w:val="nil"/>
        </w:pBdr>
        <w:spacing w:before="0"/>
        <w:jc w:val="center"/>
        <w:rPr>
          <w:rFonts w:ascii="Times New Roman" w:eastAsia="Times New Roman" w:hAnsi="Times New Roman" w:cs="Times New Roman"/>
          <w:color w:val="000000"/>
        </w:rPr>
      </w:pPr>
    </w:p>
    <w:p w14:paraId="1EDE93EE" w14:textId="77777777" w:rsidR="003F35CE" w:rsidRDefault="003F35CE">
      <w:pPr>
        <w:pStyle w:val="Heading1"/>
        <w:pBdr>
          <w:top w:val="nil"/>
          <w:left w:val="nil"/>
          <w:bottom w:val="nil"/>
          <w:right w:val="nil"/>
          <w:between w:val="nil"/>
        </w:pBdr>
        <w:rPr>
          <w:rFonts w:ascii="Times New Roman" w:eastAsia="Times New Roman" w:hAnsi="Times New Roman" w:cs="Times New Roman"/>
          <w:color w:val="000000"/>
        </w:rPr>
      </w:pPr>
      <w:bookmarkStart w:id="2" w:name="_yspy8tt3f0xe" w:colFirst="0" w:colLast="0"/>
      <w:bookmarkEnd w:id="2"/>
    </w:p>
    <w:p w14:paraId="5BDDD20C" w14:textId="77777777" w:rsidR="003F35CE" w:rsidRDefault="003F35CE">
      <w:pPr>
        <w:pStyle w:val="Heading1"/>
        <w:pBdr>
          <w:top w:val="nil"/>
          <w:left w:val="nil"/>
          <w:bottom w:val="nil"/>
          <w:right w:val="nil"/>
          <w:between w:val="nil"/>
        </w:pBdr>
        <w:rPr>
          <w:rFonts w:ascii="Times New Roman" w:eastAsia="Times New Roman" w:hAnsi="Times New Roman" w:cs="Times New Roman"/>
          <w:color w:val="000000"/>
        </w:rPr>
      </w:pPr>
      <w:bookmarkStart w:id="3" w:name="_y4xpyjwdz5b0" w:colFirst="0" w:colLast="0"/>
      <w:bookmarkEnd w:id="3"/>
    </w:p>
    <w:p w14:paraId="67D0063A" w14:textId="77777777" w:rsidR="003F35CE" w:rsidRDefault="003F35CE">
      <w:pPr>
        <w:pStyle w:val="Heading1"/>
        <w:pBdr>
          <w:top w:val="nil"/>
          <w:left w:val="nil"/>
          <w:bottom w:val="nil"/>
          <w:right w:val="nil"/>
          <w:between w:val="nil"/>
        </w:pBdr>
        <w:rPr>
          <w:rFonts w:ascii="Times New Roman" w:eastAsia="Times New Roman" w:hAnsi="Times New Roman" w:cs="Times New Roman"/>
          <w:color w:val="000000"/>
        </w:rPr>
      </w:pPr>
      <w:bookmarkStart w:id="4" w:name="_uh655hp3vjv2" w:colFirst="0" w:colLast="0"/>
      <w:bookmarkEnd w:id="4"/>
    </w:p>
    <w:p w14:paraId="328BC02E" w14:textId="77777777" w:rsidR="003F35CE" w:rsidRDefault="003F35CE">
      <w:pPr>
        <w:pStyle w:val="Heading1"/>
        <w:pBdr>
          <w:top w:val="nil"/>
          <w:left w:val="nil"/>
          <w:bottom w:val="nil"/>
          <w:right w:val="nil"/>
          <w:between w:val="nil"/>
        </w:pBdr>
        <w:rPr>
          <w:rFonts w:ascii="Times New Roman" w:eastAsia="Times New Roman" w:hAnsi="Times New Roman" w:cs="Times New Roman"/>
          <w:color w:val="000000"/>
        </w:rPr>
      </w:pPr>
      <w:bookmarkStart w:id="5" w:name="_32yl0fij3k7s" w:colFirst="0" w:colLast="0"/>
      <w:bookmarkEnd w:id="5"/>
    </w:p>
    <w:p w14:paraId="365867C6" w14:textId="77777777" w:rsidR="008C78DE" w:rsidRDefault="008C78DE">
      <w:pPr>
        <w:pStyle w:val="Heading1"/>
        <w:pBdr>
          <w:top w:val="nil"/>
          <w:left w:val="nil"/>
          <w:bottom w:val="nil"/>
          <w:right w:val="nil"/>
          <w:between w:val="nil"/>
        </w:pBdr>
        <w:rPr>
          <w:rFonts w:ascii="Times New Roman" w:eastAsia="Times New Roman" w:hAnsi="Times New Roman" w:cs="Times New Roman"/>
          <w:color w:val="000000"/>
          <w:sz w:val="36"/>
          <w:szCs w:val="36"/>
        </w:rPr>
      </w:pPr>
      <w:bookmarkStart w:id="6" w:name="_gqkqfp7t6jzy" w:colFirst="0" w:colLast="0"/>
      <w:bookmarkEnd w:id="6"/>
    </w:p>
    <w:p w14:paraId="7891E035" w14:textId="77777777" w:rsidR="003F35CE" w:rsidRDefault="009B7BA8">
      <w:pPr>
        <w:pStyle w:val="Heading1"/>
        <w:pBdr>
          <w:top w:val="nil"/>
          <w:left w:val="nil"/>
          <w:bottom w:val="nil"/>
          <w:right w:val="nil"/>
          <w:between w:val="nil"/>
        </w:pBdr>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INTRODUCTION</w:t>
      </w:r>
    </w:p>
    <w:p w14:paraId="0F5343D3" w14:textId="77777777" w:rsidR="003F35CE" w:rsidRDefault="009B7BA8">
      <w:pPr>
        <w:spacing w:after="200" w:line="218"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Nitration is a chemical process in which a nitro group such as NO2, is inserted into an organic compound. In the mechanism below, nitric acid is protonated by sulfuric acid to produce the </w:t>
      </w:r>
      <w:proofErr w:type="spellStart"/>
      <w:r>
        <w:rPr>
          <w:rFonts w:ascii="Times New Roman" w:eastAsia="Times New Roman" w:hAnsi="Times New Roman" w:cs="Times New Roman"/>
          <w:color w:val="000000"/>
          <w:sz w:val="28"/>
          <w:szCs w:val="28"/>
        </w:rPr>
        <w:t>nitronium</w:t>
      </w:r>
      <w:proofErr w:type="spellEnd"/>
      <w:r>
        <w:rPr>
          <w:rFonts w:ascii="Times New Roman" w:eastAsia="Times New Roman" w:hAnsi="Times New Roman" w:cs="Times New Roman"/>
          <w:color w:val="000000"/>
          <w:sz w:val="28"/>
          <w:szCs w:val="28"/>
        </w:rPr>
        <w:t xml:space="preserve"> ion. Nitration then occurs with three possible isomers: meta, ortho and para depending on which area of the</w:t>
      </w:r>
      <w:hyperlink r:id="rId7">
        <w:r>
          <w:rPr>
            <w:rFonts w:ascii="Times New Roman" w:eastAsia="Times New Roman" w:hAnsi="Times New Roman" w:cs="Times New Roman"/>
            <w:color w:val="000000"/>
            <w:sz w:val="28"/>
            <w:szCs w:val="28"/>
          </w:rPr>
          <w:t xml:space="preserve"> organic compound</w:t>
        </w:r>
      </w:hyperlink>
      <w:r>
        <w:rPr>
          <w:rFonts w:ascii="Times New Roman" w:eastAsia="Times New Roman" w:hAnsi="Times New Roman" w:cs="Times New Roman"/>
          <w:color w:val="000000"/>
          <w:sz w:val="28"/>
          <w:szCs w:val="28"/>
        </w:rPr>
        <w:t xml:space="preserve"> is </w:t>
      </w:r>
      <w:r>
        <w:rPr>
          <w:rFonts w:ascii="Times New Roman" w:eastAsia="Times New Roman" w:hAnsi="Times New Roman" w:cs="Times New Roman"/>
          <w:color w:val="000000"/>
          <w:sz w:val="28"/>
          <w:szCs w:val="28"/>
        </w:rPr>
        <w:lastRenderedPageBreak/>
        <w:t xml:space="preserve">nitrated. Below is the mechanism, para isomer is the most stable of the three, because it has full octets. </w:t>
      </w:r>
    </w:p>
    <w:p w14:paraId="085D9ECB" w14:textId="77777777" w:rsidR="003F35CE" w:rsidRDefault="009B7BA8">
      <w:pPr>
        <w:spacing w:after="200" w:line="218" w:lineRule="auto"/>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inline distT="114300" distB="114300" distL="114300" distR="114300" wp14:anchorId="3BAFDE9B" wp14:editId="64FBA3F8">
            <wp:extent cx="5943600" cy="3111500"/>
            <wp:effectExtent l="0" t="0" r="0" b="0"/>
            <wp:docPr id="1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943600" cy="3111500"/>
                    </a:xfrm>
                    <a:prstGeom prst="rect">
                      <a:avLst/>
                    </a:prstGeom>
                    <a:ln/>
                  </pic:spPr>
                </pic:pic>
              </a:graphicData>
            </a:graphic>
          </wp:inline>
        </w:drawing>
      </w:r>
    </w:p>
    <w:p w14:paraId="0AA17A83" w14:textId="77777777" w:rsidR="003F35CE" w:rsidRDefault="003F35CE">
      <w:pPr>
        <w:spacing w:after="200" w:line="218" w:lineRule="auto"/>
        <w:rPr>
          <w:rFonts w:ascii="Times New Roman" w:eastAsia="Times New Roman" w:hAnsi="Times New Roman" w:cs="Times New Roman"/>
          <w:color w:val="000000"/>
          <w:sz w:val="28"/>
          <w:szCs w:val="28"/>
        </w:rPr>
      </w:pPr>
    </w:p>
    <w:p w14:paraId="6FE59FDF" w14:textId="77777777" w:rsidR="003F35CE" w:rsidRDefault="003F35CE">
      <w:pPr>
        <w:spacing w:after="200" w:line="218" w:lineRule="auto"/>
        <w:rPr>
          <w:rFonts w:ascii="Times New Roman" w:eastAsia="Times New Roman" w:hAnsi="Times New Roman" w:cs="Times New Roman"/>
          <w:color w:val="000000"/>
          <w:sz w:val="28"/>
          <w:szCs w:val="28"/>
        </w:rPr>
      </w:pPr>
    </w:p>
    <w:p w14:paraId="57331543" w14:textId="77777777" w:rsidR="003F35CE" w:rsidRDefault="003F35CE">
      <w:pPr>
        <w:spacing w:after="200" w:line="214" w:lineRule="auto"/>
        <w:rPr>
          <w:rFonts w:ascii="Times New Roman" w:eastAsia="Times New Roman" w:hAnsi="Times New Roman" w:cs="Times New Roman"/>
          <w:color w:val="000000"/>
          <w:sz w:val="36"/>
          <w:szCs w:val="36"/>
        </w:rPr>
      </w:pPr>
    </w:p>
    <w:p w14:paraId="5DC390DE" w14:textId="77777777" w:rsidR="003F35CE" w:rsidRDefault="009B7BA8">
      <w:pPr>
        <w:spacing w:after="200" w:line="214" w:lineRule="auto"/>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Procedure</w:t>
      </w:r>
    </w:p>
    <w:p w14:paraId="32997336" w14:textId="77777777" w:rsidR="003F35CE" w:rsidRDefault="009B7BA8">
      <w:pPr>
        <w:spacing w:after="200" w:line="218"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 to the laboratory manual and note the following points:</w:t>
      </w:r>
    </w:p>
    <w:p w14:paraId="43E59AEF" w14:textId="77777777" w:rsidR="003F35CE" w:rsidRDefault="009B7BA8">
      <w:pPr>
        <w:numPr>
          <w:ilvl w:val="0"/>
          <w:numId w:val="1"/>
        </w:numPr>
        <w:spacing w:line="218"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mL of H2SO4 will be used to dissolve acetanilide. At this step the sulfuric acid is used as solvent.</w:t>
      </w:r>
    </w:p>
    <w:p w14:paraId="5A75A521" w14:textId="77777777" w:rsidR="003F35CE" w:rsidRDefault="009B7BA8">
      <w:pPr>
        <w:numPr>
          <w:ilvl w:val="0"/>
          <w:numId w:val="1"/>
        </w:numPr>
        <w:spacing w:before="0" w:line="218"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Add 0.8 mL of H2SO4 and 0.6 mL of HNO3 in step 5.</w:t>
      </w:r>
    </w:p>
    <w:p w14:paraId="6E4CC8D0" w14:textId="77777777" w:rsidR="003F35CE" w:rsidRDefault="009B7BA8">
      <w:pPr>
        <w:numPr>
          <w:ilvl w:val="0"/>
          <w:numId w:val="1"/>
        </w:numPr>
        <w:spacing w:before="0" w:line="218"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In step 6 use TLC to </w:t>
      </w:r>
      <w:proofErr w:type="spellStart"/>
      <w:r>
        <w:rPr>
          <w:rFonts w:ascii="Times New Roman" w:eastAsia="Times New Roman" w:hAnsi="Times New Roman" w:cs="Times New Roman"/>
          <w:color w:val="000000"/>
          <w:sz w:val="28"/>
          <w:szCs w:val="28"/>
        </w:rPr>
        <w:t>to</w:t>
      </w:r>
      <w:proofErr w:type="spellEnd"/>
      <w:r>
        <w:rPr>
          <w:rFonts w:ascii="Times New Roman" w:eastAsia="Times New Roman" w:hAnsi="Times New Roman" w:cs="Times New Roman"/>
          <w:color w:val="000000"/>
          <w:sz w:val="28"/>
          <w:szCs w:val="28"/>
        </w:rPr>
        <w:t xml:space="preserve"> check if the reaction is complete. </w:t>
      </w:r>
    </w:p>
    <w:p w14:paraId="12C0CE00" w14:textId="77777777" w:rsidR="003F35CE" w:rsidRDefault="009B7BA8">
      <w:pPr>
        <w:numPr>
          <w:ilvl w:val="0"/>
          <w:numId w:val="1"/>
        </w:numPr>
        <w:spacing w:before="0" w:after="200" w:line="224"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Isolation of Crude Product (step 8)</w:t>
      </w:r>
    </w:p>
    <w:p w14:paraId="09AB81FD" w14:textId="77777777" w:rsidR="003F35CE" w:rsidRDefault="009B7BA8">
      <w:pPr>
        <w:spacing w:after="200"/>
        <w:ind w:left="7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•Place four or three pieces of small ice cubes in a 125 mL Erlenmeyer flask with about 20 mL of cold water and a stir bar. Place the flask on the stir plate and add the mixture from the reaction flask. Rinse the reaction flask with water to get most of the reaction mixture into the 125 mL Erlenmeyer flask. Continue stirring until the ice cubes have completely melted.</w:t>
      </w:r>
    </w:p>
    <w:p w14:paraId="13A66BEE" w14:textId="77777777" w:rsidR="003F35CE" w:rsidRDefault="009B7BA8">
      <w:pPr>
        <w:numPr>
          <w:ilvl w:val="0"/>
          <w:numId w:val="1"/>
        </w:numPr>
        <w:spacing w:line="218"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Use 2 TLC's in step 11. Ortho and meta on the first TLC, para and 2-4-</w:t>
      </w:r>
      <w:r>
        <w:rPr>
          <w:rFonts w:ascii="Times New Roman" w:eastAsia="Times New Roman" w:hAnsi="Times New Roman" w:cs="Times New Roman"/>
          <w:color w:val="000000"/>
          <w:sz w:val="28"/>
          <w:szCs w:val="28"/>
        </w:rPr>
        <w:lastRenderedPageBreak/>
        <w:t>dinitro on the other TLC.</w:t>
      </w:r>
    </w:p>
    <w:p w14:paraId="72873298" w14:textId="77777777" w:rsidR="003F35CE" w:rsidRDefault="009B7BA8">
      <w:pPr>
        <w:numPr>
          <w:ilvl w:val="0"/>
          <w:numId w:val="1"/>
        </w:numPr>
        <w:spacing w:before="0" w:after="200" w:line="218"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 step 17: Use 2 TLC's in step 17. On the first TLC spot CP, mother liquor on the other TLC.</w:t>
      </w:r>
    </w:p>
    <w:p w14:paraId="47ACE6B5" w14:textId="77777777" w:rsidR="003F35CE" w:rsidRDefault="003F35CE">
      <w:pPr>
        <w:spacing w:after="200" w:line="218" w:lineRule="auto"/>
        <w:ind w:left="720"/>
        <w:rPr>
          <w:rFonts w:ascii="Times New Roman" w:eastAsia="Times New Roman" w:hAnsi="Times New Roman" w:cs="Times New Roman"/>
          <w:color w:val="000000"/>
          <w:sz w:val="28"/>
          <w:szCs w:val="28"/>
        </w:rPr>
      </w:pPr>
    </w:p>
    <w:p w14:paraId="4F1B8066" w14:textId="77777777" w:rsidR="003F35CE" w:rsidRDefault="003F35CE">
      <w:pPr>
        <w:spacing w:after="200" w:line="218" w:lineRule="auto"/>
        <w:rPr>
          <w:rFonts w:ascii="Times New Roman" w:eastAsia="Times New Roman" w:hAnsi="Times New Roman" w:cs="Times New Roman"/>
          <w:color w:val="000000"/>
          <w:sz w:val="28"/>
          <w:szCs w:val="28"/>
        </w:rPr>
      </w:pPr>
    </w:p>
    <w:p w14:paraId="6D19B04E" w14:textId="77777777" w:rsidR="003F35CE" w:rsidRDefault="003F35CE">
      <w:pPr>
        <w:spacing w:after="200"/>
        <w:rPr>
          <w:rFonts w:ascii="Times New Roman" w:eastAsia="Times New Roman" w:hAnsi="Times New Roman" w:cs="Times New Roman"/>
          <w:color w:val="000000"/>
          <w:sz w:val="28"/>
          <w:szCs w:val="28"/>
        </w:rPr>
      </w:pPr>
    </w:p>
    <w:p w14:paraId="0D8D85B8" w14:textId="77777777" w:rsidR="003F35CE" w:rsidRDefault="009B7BA8">
      <w:pPr>
        <w:spacing w:after="200" w:line="214"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36"/>
          <w:szCs w:val="36"/>
        </w:rPr>
        <w:t>Observations</w:t>
      </w:r>
    </w:p>
    <w:p w14:paraId="094F8E2F" w14:textId="77777777" w:rsidR="003F35CE" w:rsidRPr="008C78DE" w:rsidRDefault="009B7BA8" w:rsidP="008C78DE">
      <w:pPr>
        <w:pStyle w:val="ListParagraph"/>
        <w:numPr>
          <w:ilvl w:val="0"/>
          <w:numId w:val="2"/>
        </w:numPr>
        <w:spacing w:after="200" w:line="159" w:lineRule="auto"/>
        <w:ind w:firstLineChars="0"/>
        <w:rPr>
          <w:rFonts w:ascii="Times New Roman" w:eastAsia="Times New Roman" w:hAnsi="Times New Roman" w:cs="Times New Roman"/>
          <w:color w:val="000000"/>
          <w:sz w:val="28"/>
          <w:szCs w:val="28"/>
        </w:rPr>
      </w:pPr>
      <w:r w:rsidRPr="008C78DE">
        <w:rPr>
          <w:rFonts w:ascii="Times New Roman" w:eastAsia="Times New Roman" w:hAnsi="Times New Roman" w:cs="Times New Roman"/>
          <w:color w:val="000000"/>
          <w:sz w:val="28"/>
          <w:szCs w:val="28"/>
        </w:rPr>
        <w:t>Sulfuric acid and acetanilide formed a yellow liquid with some undissolved solid.</w:t>
      </w:r>
    </w:p>
    <w:p w14:paraId="4C0E463D" w14:textId="77777777" w:rsidR="003F35CE" w:rsidRPr="008C78DE" w:rsidRDefault="009B7BA8" w:rsidP="008C78DE">
      <w:pPr>
        <w:pStyle w:val="ListParagraph"/>
        <w:numPr>
          <w:ilvl w:val="0"/>
          <w:numId w:val="2"/>
        </w:numPr>
        <w:spacing w:after="200" w:line="159" w:lineRule="auto"/>
        <w:ind w:firstLineChars="0"/>
        <w:rPr>
          <w:rFonts w:ascii="Times New Roman" w:eastAsia="Times New Roman" w:hAnsi="Times New Roman" w:cs="Times New Roman"/>
          <w:color w:val="000000"/>
          <w:sz w:val="28"/>
          <w:szCs w:val="28"/>
        </w:rPr>
      </w:pPr>
      <w:r w:rsidRPr="008C78DE">
        <w:rPr>
          <w:rFonts w:ascii="Times New Roman" w:eastAsia="Times New Roman" w:hAnsi="Times New Roman" w:cs="Times New Roman"/>
          <w:color w:val="000000"/>
          <w:sz w:val="28"/>
          <w:szCs w:val="28"/>
        </w:rPr>
        <w:t>When a mixture of concentrated nitric acid and concentrated sulfuric acid were added dropwise to the acetanilide, the</w:t>
      </w:r>
      <w:hyperlink r:id="rId9">
        <w:r w:rsidRPr="008C78DE">
          <w:rPr>
            <w:rFonts w:ascii="Times New Roman" w:eastAsia="Times New Roman" w:hAnsi="Times New Roman" w:cs="Times New Roman"/>
            <w:color w:val="000000"/>
            <w:sz w:val="28"/>
            <w:szCs w:val="28"/>
          </w:rPr>
          <w:t xml:space="preserve"> mixture</w:t>
        </w:r>
      </w:hyperlink>
      <w:r w:rsidRPr="008C78DE">
        <w:rPr>
          <w:rFonts w:ascii="Times New Roman" w:eastAsia="Times New Roman" w:hAnsi="Times New Roman" w:cs="Times New Roman"/>
          <w:color w:val="000000"/>
          <w:sz w:val="28"/>
          <w:szCs w:val="28"/>
        </w:rPr>
        <w:t xml:space="preserve"> turned dark brown, almost black.</w:t>
      </w:r>
    </w:p>
    <w:p w14:paraId="5AA96F98" w14:textId="77777777" w:rsidR="003F35CE" w:rsidRPr="008C78DE" w:rsidRDefault="009B7BA8" w:rsidP="008C78DE">
      <w:pPr>
        <w:pStyle w:val="ListParagraph"/>
        <w:numPr>
          <w:ilvl w:val="0"/>
          <w:numId w:val="2"/>
        </w:numPr>
        <w:spacing w:after="200" w:line="159" w:lineRule="auto"/>
        <w:ind w:firstLineChars="0"/>
        <w:rPr>
          <w:rFonts w:ascii="Times New Roman" w:eastAsia="Times New Roman" w:hAnsi="Times New Roman" w:cs="Times New Roman"/>
          <w:color w:val="000000"/>
          <w:sz w:val="28"/>
          <w:szCs w:val="28"/>
        </w:rPr>
      </w:pPr>
      <w:r w:rsidRPr="008C78DE">
        <w:rPr>
          <w:rFonts w:ascii="Times New Roman" w:eastAsia="Times New Roman" w:hAnsi="Times New Roman" w:cs="Times New Roman"/>
          <w:color w:val="000000"/>
          <w:sz w:val="28"/>
          <w:szCs w:val="28"/>
        </w:rPr>
        <w:t>When the reaction mixture is mixed with cold water and ice, a bright yellow liquid with a thick precipitate is produced.</w:t>
      </w:r>
    </w:p>
    <w:p w14:paraId="312B0777" w14:textId="77777777" w:rsidR="003F35CE" w:rsidRPr="008C78DE" w:rsidRDefault="009B7BA8" w:rsidP="008C78DE">
      <w:pPr>
        <w:pStyle w:val="ListParagraph"/>
        <w:numPr>
          <w:ilvl w:val="0"/>
          <w:numId w:val="2"/>
        </w:numPr>
        <w:spacing w:after="200" w:line="159" w:lineRule="auto"/>
        <w:ind w:firstLineChars="0"/>
        <w:rPr>
          <w:rFonts w:ascii="Times New Roman" w:eastAsia="Times New Roman" w:hAnsi="Times New Roman" w:cs="Times New Roman"/>
          <w:color w:val="000000"/>
          <w:sz w:val="28"/>
          <w:szCs w:val="28"/>
        </w:rPr>
      </w:pPr>
      <w:r w:rsidRPr="008C78DE">
        <w:rPr>
          <w:rFonts w:ascii="Times New Roman" w:eastAsia="Times New Roman" w:hAnsi="Times New Roman" w:cs="Times New Roman"/>
          <w:color w:val="000000"/>
          <w:sz w:val="28"/>
          <w:szCs w:val="28"/>
        </w:rPr>
        <w:t>During the recrystallization process, the liquid</w:t>
      </w:r>
      <w:hyperlink r:id="rId10">
        <w:r w:rsidRPr="008C78DE">
          <w:rPr>
            <w:rFonts w:ascii="Times New Roman" w:eastAsia="Times New Roman" w:hAnsi="Times New Roman" w:cs="Times New Roman"/>
            <w:color w:val="000000"/>
            <w:sz w:val="28"/>
            <w:szCs w:val="28"/>
          </w:rPr>
          <w:t xml:space="preserve"> mixture</w:t>
        </w:r>
      </w:hyperlink>
      <w:r w:rsidRPr="008C78DE">
        <w:rPr>
          <w:rFonts w:ascii="Times New Roman" w:eastAsia="Times New Roman" w:hAnsi="Times New Roman" w:cs="Times New Roman"/>
          <w:color w:val="000000"/>
          <w:sz w:val="28"/>
          <w:szCs w:val="28"/>
        </w:rPr>
        <w:t xml:space="preserve"> turns into deep yellow solid and with suction filtration, very little mother liquor is produced.</w:t>
      </w:r>
    </w:p>
    <w:p w14:paraId="5ACA33A0" w14:textId="77777777" w:rsidR="003F35CE" w:rsidRDefault="003F35CE">
      <w:pPr>
        <w:spacing w:before="180" w:after="280" w:line="276" w:lineRule="auto"/>
        <w:rPr>
          <w:rFonts w:ascii="Times New Roman" w:eastAsia="Times New Roman" w:hAnsi="Times New Roman" w:cs="Times New Roman"/>
          <w:color w:val="000000"/>
          <w:sz w:val="24"/>
          <w:szCs w:val="24"/>
        </w:rPr>
      </w:pPr>
    </w:p>
    <w:p w14:paraId="1A2B6156" w14:textId="77777777" w:rsidR="003F35CE" w:rsidRDefault="003F35CE">
      <w:pPr>
        <w:spacing w:before="180" w:after="280" w:line="276" w:lineRule="auto"/>
        <w:rPr>
          <w:rFonts w:ascii="Times New Roman" w:eastAsia="Times New Roman" w:hAnsi="Times New Roman" w:cs="Times New Roman"/>
          <w:color w:val="000000"/>
          <w:sz w:val="24"/>
          <w:szCs w:val="24"/>
        </w:rPr>
      </w:pPr>
    </w:p>
    <w:p w14:paraId="0D41DC6A" w14:textId="77777777" w:rsidR="003F35CE" w:rsidRDefault="009B7BA8">
      <w:pPr>
        <w:pStyle w:val="Heading1"/>
        <w:pBdr>
          <w:top w:val="nil"/>
          <w:left w:val="nil"/>
          <w:bottom w:val="nil"/>
          <w:right w:val="nil"/>
          <w:between w:val="nil"/>
        </w:pBdr>
        <w:rPr>
          <w:rFonts w:ascii="Times New Roman" w:eastAsia="Times New Roman" w:hAnsi="Times New Roman" w:cs="Times New Roman"/>
          <w:color w:val="000000"/>
          <w:sz w:val="36"/>
          <w:szCs w:val="36"/>
        </w:rPr>
      </w:pPr>
      <w:bookmarkStart w:id="7" w:name="_lquiyrwpy6ke" w:colFirst="0" w:colLast="0"/>
      <w:bookmarkEnd w:id="7"/>
      <w:r>
        <w:rPr>
          <w:rFonts w:ascii="Times New Roman" w:eastAsia="Times New Roman" w:hAnsi="Times New Roman" w:cs="Times New Roman"/>
          <w:color w:val="000000"/>
          <w:sz w:val="36"/>
          <w:szCs w:val="36"/>
        </w:rPr>
        <w:t>MATERIALS</w:t>
      </w:r>
    </w:p>
    <w:p w14:paraId="32B17C84"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g acetanilide, 25 ml round bottom flask, 5 ml H2sO4, ice bath container, 50 ml </w:t>
      </w:r>
      <w:proofErr w:type="spellStart"/>
      <w:r>
        <w:rPr>
          <w:rFonts w:ascii="Times New Roman" w:eastAsia="Times New Roman" w:hAnsi="Times New Roman" w:cs="Times New Roman"/>
          <w:color w:val="000000"/>
          <w:sz w:val="28"/>
          <w:szCs w:val="28"/>
        </w:rPr>
        <w:t>erlenmeyer</w:t>
      </w:r>
      <w:proofErr w:type="spellEnd"/>
      <w:r>
        <w:rPr>
          <w:rFonts w:ascii="Times New Roman" w:eastAsia="Times New Roman" w:hAnsi="Times New Roman" w:cs="Times New Roman"/>
          <w:color w:val="000000"/>
          <w:sz w:val="28"/>
          <w:szCs w:val="28"/>
        </w:rPr>
        <w:t xml:space="preserve"> flask, 0.6 ml HNO3, 0.8 ml H2So4, 5 TLC plates, ice cubes, 125 ml Erlenmeyer flask, gravity filtration, 2 ml CH2CL2, ortho, meta, para, 2-4-dinitro, </w:t>
      </w:r>
      <w:proofErr w:type="spellStart"/>
      <w:r>
        <w:rPr>
          <w:rFonts w:ascii="Times New Roman" w:eastAsia="Times New Roman" w:hAnsi="Times New Roman" w:cs="Times New Roman"/>
          <w:color w:val="000000"/>
          <w:sz w:val="28"/>
          <w:szCs w:val="28"/>
        </w:rPr>
        <w:t>EtOAc:hexanes 5:5, mother</w:t>
      </w:r>
      <w:proofErr w:type="spellEnd"/>
      <w:r>
        <w:rPr>
          <w:rFonts w:ascii="Times New Roman" w:eastAsia="Times New Roman" w:hAnsi="Times New Roman" w:cs="Times New Roman"/>
          <w:color w:val="000000"/>
          <w:sz w:val="28"/>
          <w:szCs w:val="28"/>
        </w:rPr>
        <w:t xml:space="preserve"> liquor.</w:t>
      </w:r>
    </w:p>
    <w:p w14:paraId="5E029BA8" w14:textId="77777777" w:rsidR="003F35CE" w:rsidRDefault="003F35CE">
      <w:pPr>
        <w:pBdr>
          <w:top w:val="nil"/>
          <w:left w:val="nil"/>
          <w:bottom w:val="nil"/>
          <w:right w:val="nil"/>
          <w:between w:val="nil"/>
        </w:pBdr>
        <w:rPr>
          <w:rFonts w:ascii="Times New Roman" w:eastAsia="Times New Roman" w:hAnsi="Times New Roman" w:cs="Times New Roman"/>
          <w:color w:val="000000"/>
          <w:sz w:val="28"/>
          <w:szCs w:val="28"/>
        </w:rPr>
      </w:pPr>
    </w:p>
    <w:p w14:paraId="251A75B7" w14:textId="77777777" w:rsidR="003F35CE" w:rsidRDefault="009B7BA8">
      <w:pPr>
        <w:pStyle w:val="Heading1"/>
        <w:pBdr>
          <w:top w:val="nil"/>
          <w:left w:val="nil"/>
          <w:bottom w:val="nil"/>
          <w:right w:val="nil"/>
          <w:between w:val="nil"/>
        </w:pBdr>
        <w:spacing w:after="200"/>
        <w:rPr>
          <w:rFonts w:ascii="Times New Roman" w:eastAsia="Times New Roman" w:hAnsi="Times New Roman" w:cs="Times New Roman"/>
          <w:color w:val="000000"/>
          <w:sz w:val="36"/>
          <w:szCs w:val="36"/>
        </w:rPr>
      </w:pPr>
      <w:bookmarkStart w:id="8" w:name="_o8rmzovhszmh" w:colFirst="0" w:colLast="0"/>
      <w:bookmarkEnd w:id="8"/>
      <w:r>
        <w:rPr>
          <w:rFonts w:ascii="Times New Roman" w:eastAsia="Times New Roman" w:hAnsi="Times New Roman" w:cs="Times New Roman"/>
          <w:color w:val="000000"/>
          <w:sz w:val="36"/>
          <w:szCs w:val="36"/>
        </w:rPr>
        <w:t>DATA</w:t>
      </w:r>
    </w:p>
    <w:p w14:paraId="0322C6B9" w14:textId="77777777" w:rsidR="003F35CE" w:rsidRDefault="009B7BA8">
      <w:pPr>
        <w:rPr>
          <w:rFonts w:hint="eastAsia"/>
        </w:rPr>
      </w:pPr>
      <w:r>
        <w:rPr>
          <w:noProof/>
        </w:rPr>
        <w:lastRenderedPageBreak/>
        <w:drawing>
          <wp:inline distT="114300" distB="114300" distL="114300" distR="114300" wp14:anchorId="24CE3BC2" wp14:editId="16D75314">
            <wp:extent cx="4043363" cy="6122212"/>
            <wp:effectExtent l="0" t="0" r="0" b="0"/>
            <wp:docPr id="1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4043363" cy="6122212"/>
                    </a:xfrm>
                    <a:prstGeom prst="rect">
                      <a:avLst/>
                    </a:prstGeom>
                    <a:ln/>
                  </pic:spPr>
                </pic:pic>
              </a:graphicData>
            </a:graphic>
          </wp:inline>
        </w:drawing>
      </w:r>
      <w:r>
        <w:rPr>
          <w:noProof/>
        </w:rPr>
        <w:lastRenderedPageBreak/>
        <w:drawing>
          <wp:inline distT="114300" distB="114300" distL="114300" distR="114300" wp14:anchorId="5D9AD252" wp14:editId="17838C80">
            <wp:extent cx="4767263" cy="3952604"/>
            <wp:effectExtent l="0" t="0" r="0" b="0"/>
            <wp:docPr id="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2"/>
                    <a:srcRect/>
                    <a:stretch>
                      <a:fillRect/>
                    </a:stretch>
                  </pic:blipFill>
                  <pic:spPr>
                    <a:xfrm>
                      <a:off x="0" y="0"/>
                      <a:ext cx="4767263" cy="3952604"/>
                    </a:xfrm>
                    <a:prstGeom prst="rect">
                      <a:avLst/>
                    </a:prstGeom>
                    <a:ln/>
                  </pic:spPr>
                </pic:pic>
              </a:graphicData>
            </a:graphic>
          </wp:inline>
        </w:drawing>
      </w:r>
    </w:p>
    <w:p w14:paraId="682E677E" w14:textId="77777777" w:rsidR="003F35CE" w:rsidRDefault="009B7BA8">
      <w:pPr>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RESULTS</w:t>
      </w:r>
    </w:p>
    <w:p w14:paraId="57454722" w14:textId="77777777" w:rsidR="003F35CE" w:rsidRDefault="009B7B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For the TLC 1: Rf1=0.3, Rf2=0.15</w:t>
      </w:r>
    </w:p>
    <w:p w14:paraId="17C6C596" w14:textId="77777777" w:rsidR="003F35CE" w:rsidRDefault="009B7B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For the TLC2 of o/m: Rf1=0.93, Rf2=0.67, Rf3=0.55, Rf5=0.357, Rf6=0.262</w:t>
      </w:r>
    </w:p>
    <w:p w14:paraId="3F96C3FD" w14:textId="77777777" w:rsidR="003F35CE" w:rsidRDefault="009B7B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For the TLC3 of p/d: Rf1=0.667, Rf2=0.590, Rf3=0.359, Rf4=0.256</w:t>
      </w:r>
    </w:p>
    <w:p w14:paraId="15E9991B" w14:textId="77777777" w:rsidR="003F35CE" w:rsidRDefault="009B7B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For the TLC4 of cp: Rf1=0.610, Rf2=0.537, Rf3=0.488, Rf5=0.341, Rf6=o.244</w:t>
      </w:r>
    </w:p>
    <w:p w14:paraId="3DA34C44" w14:textId="77777777" w:rsidR="003F35CE" w:rsidRDefault="009B7B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For the TLC5 of mother: Rf1=0.767, Rf2=0.605, Rf3=o.558, Rf4=0.488, Rf5=0.349, Rf6=0.233</w:t>
      </w:r>
    </w:p>
    <w:p w14:paraId="3CB1B408" w14:textId="77777777" w:rsidR="003F35CE" w:rsidRDefault="009B7B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product collected=0.51g</w:t>
      </w:r>
    </w:p>
    <w:p w14:paraId="08545CE5" w14:textId="77777777" w:rsidR="003F35CE" w:rsidRDefault="009B7B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Percent yield=0.51 g/15.77 g =3.23%</w:t>
      </w:r>
    </w:p>
    <w:p w14:paraId="277C6355" w14:textId="77777777" w:rsidR="003F35CE" w:rsidRDefault="003F35CE">
      <w:pPr>
        <w:pStyle w:val="Heading1"/>
        <w:rPr>
          <w:rFonts w:ascii="Times New Roman" w:eastAsia="Times New Roman" w:hAnsi="Times New Roman" w:cs="Times New Roman"/>
          <w:color w:val="000000"/>
          <w:sz w:val="36"/>
          <w:szCs w:val="36"/>
        </w:rPr>
      </w:pPr>
      <w:bookmarkStart w:id="9" w:name="_pthnkfhz9bbr" w:colFirst="0" w:colLast="0"/>
      <w:bookmarkEnd w:id="9"/>
    </w:p>
    <w:p w14:paraId="69FB78D0" w14:textId="77777777" w:rsidR="003F35CE" w:rsidRDefault="009B7BA8">
      <w:pPr>
        <w:pStyle w:val="Heading1"/>
        <w:rPr>
          <w:rFonts w:ascii="Times New Roman" w:eastAsia="Times New Roman" w:hAnsi="Times New Roman" w:cs="Times New Roman"/>
          <w:color w:val="000000"/>
        </w:rPr>
      </w:pPr>
      <w:bookmarkStart w:id="10" w:name="_dsifhm6e7wto" w:colFirst="0" w:colLast="0"/>
      <w:bookmarkEnd w:id="10"/>
      <w:r>
        <w:rPr>
          <w:rFonts w:ascii="Times New Roman" w:eastAsia="Times New Roman" w:hAnsi="Times New Roman" w:cs="Times New Roman"/>
          <w:color w:val="000000"/>
          <w:sz w:val="36"/>
          <w:szCs w:val="36"/>
        </w:rPr>
        <w:lastRenderedPageBreak/>
        <w:t xml:space="preserve">Discussion </w:t>
      </w:r>
    </w:p>
    <w:p w14:paraId="6F56A198" w14:textId="77777777" w:rsidR="003F35CE" w:rsidRDefault="009B7BA8">
      <w:pPr>
        <w:rPr>
          <w:rFonts w:hint="eastAsia"/>
        </w:rPr>
      </w:pPr>
      <w:r>
        <w:rPr>
          <w:noProof/>
        </w:rPr>
        <w:drawing>
          <wp:inline distT="114300" distB="114300" distL="114300" distR="114300" wp14:anchorId="2CB1D5E1" wp14:editId="3D66E83D">
            <wp:extent cx="3579749" cy="4770437"/>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3"/>
                    <a:srcRect/>
                    <a:stretch>
                      <a:fillRect/>
                    </a:stretch>
                  </pic:blipFill>
                  <pic:spPr>
                    <a:xfrm rot="10800000">
                      <a:off x="0" y="0"/>
                      <a:ext cx="3579749" cy="4770437"/>
                    </a:xfrm>
                    <a:prstGeom prst="rect">
                      <a:avLst/>
                    </a:prstGeom>
                    <a:ln/>
                  </pic:spPr>
                </pic:pic>
              </a:graphicData>
            </a:graphic>
          </wp:inline>
        </w:drawing>
      </w:r>
    </w:p>
    <w:p w14:paraId="698242D8" w14:textId="77777777" w:rsidR="003F35CE" w:rsidRDefault="009B7BA8">
      <w:pPr>
        <w:rPr>
          <w:rFonts w:hint="eastAsia"/>
        </w:rPr>
      </w:pPr>
      <w:r>
        <w:rPr>
          <w:noProof/>
        </w:rPr>
        <w:drawing>
          <wp:inline distT="114300" distB="114300" distL="114300" distR="114300" wp14:anchorId="2FE83B49" wp14:editId="7B37322A">
            <wp:extent cx="1862189" cy="2478088"/>
            <wp:effectExtent l="0" t="0" r="0" b="0"/>
            <wp:docPr id="11"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4"/>
                    <a:srcRect/>
                    <a:stretch>
                      <a:fillRect/>
                    </a:stretch>
                  </pic:blipFill>
                  <pic:spPr>
                    <a:xfrm>
                      <a:off x="0" y="0"/>
                      <a:ext cx="1862189" cy="2478088"/>
                    </a:xfrm>
                    <a:prstGeom prst="rect">
                      <a:avLst/>
                    </a:prstGeom>
                    <a:ln/>
                  </pic:spPr>
                </pic:pic>
              </a:graphicData>
            </a:graphic>
          </wp:inline>
        </w:drawing>
      </w:r>
    </w:p>
    <w:p w14:paraId="454B57C6" w14:textId="77777777" w:rsidR="003F35CE" w:rsidRDefault="009B7BA8">
      <w:pPr>
        <w:rPr>
          <w:rFonts w:hint="eastAsia"/>
        </w:rPr>
      </w:pPr>
      <w:r>
        <w:rPr>
          <w:noProof/>
        </w:rPr>
        <w:lastRenderedPageBreak/>
        <w:drawing>
          <wp:inline distT="114300" distB="114300" distL="114300" distR="114300" wp14:anchorId="0F8C5C83" wp14:editId="16C5CCC2">
            <wp:extent cx="1852613" cy="2476451"/>
            <wp:effectExtent l="0" t="0" r="0" b="0"/>
            <wp:docPr id="3"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5"/>
                    <a:srcRect/>
                    <a:stretch>
                      <a:fillRect/>
                    </a:stretch>
                  </pic:blipFill>
                  <pic:spPr>
                    <a:xfrm>
                      <a:off x="0" y="0"/>
                      <a:ext cx="1852613" cy="2476451"/>
                    </a:xfrm>
                    <a:prstGeom prst="rect">
                      <a:avLst/>
                    </a:prstGeom>
                    <a:ln/>
                  </pic:spPr>
                </pic:pic>
              </a:graphicData>
            </a:graphic>
          </wp:inline>
        </w:drawing>
      </w:r>
      <w:r>
        <w:rPr>
          <w:noProof/>
        </w:rPr>
        <w:drawing>
          <wp:inline distT="114300" distB="114300" distL="114300" distR="114300" wp14:anchorId="3D4CE6AC" wp14:editId="4A3A372A">
            <wp:extent cx="1871663" cy="2500727"/>
            <wp:effectExtent l="0" t="0" r="0" b="0"/>
            <wp:docPr id="4"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6"/>
                    <a:srcRect/>
                    <a:stretch>
                      <a:fillRect/>
                    </a:stretch>
                  </pic:blipFill>
                  <pic:spPr>
                    <a:xfrm>
                      <a:off x="0" y="0"/>
                      <a:ext cx="1871663" cy="2500727"/>
                    </a:xfrm>
                    <a:prstGeom prst="rect">
                      <a:avLst/>
                    </a:prstGeom>
                    <a:ln/>
                  </pic:spPr>
                </pic:pic>
              </a:graphicData>
            </a:graphic>
          </wp:inline>
        </w:drawing>
      </w:r>
    </w:p>
    <w:p w14:paraId="767311B5" w14:textId="77777777" w:rsidR="003F35CE" w:rsidRDefault="009B7BA8">
      <w:pPr>
        <w:rPr>
          <w:rFonts w:ascii="Times New Roman" w:eastAsia="Times New Roman" w:hAnsi="Times New Roman" w:cs="Times New Roman"/>
          <w:color w:val="000000"/>
          <w:sz w:val="36"/>
          <w:szCs w:val="36"/>
        </w:rPr>
      </w:pPr>
      <w:r>
        <w:rPr>
          <w:noProof/>
        </w:rPr>
        <w:drawing>
          <wp:inline distT="114300" distB="114300" distL="114300" distR="114300" wp14:anchorId="36632891" wp14:editId="15180225">
            <wp:extent cx="1881188" cy="2498891"/>
            <wp:effectExtent l="0" t="0" r="0" b="0"/>
            <wp:docPr id="10"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7"/>
                    <a:srcRect/>
                    <a:stretch>
                      <a:fillRect/>
                    </a:stretch>
                  </pic:blipFill>
                  <pic:spPr>
                    <a:xfrm>
                      <a:off x="0" y="0"/>
                      <a:ext cx="1881188" cy="2498891"/>
                    </a:xfrm>
                    <a:prstGeom prst="rect">
                      <a:avLst/>
                    </a:prstGeom>
                    <a:ln/>
                  </pic:spPr>
                </pic:pic>
              </a:graphicData>
            </a:graphic>
          </wp:inline>
        </w:drawing>
      </w:r>
      <w:r>
        <w:rPr>
          <w:noProof/>
        </w:rPr>
        <w:drawing>
          <wp:inline distT="114300" distB="114300" distL="114300" distR="114300" wp14:anchorId="5516F326" wp14:editId="6C7ACB00">
            <wp:extent cx="1873026" cy="2500313"/>
            <wp:effectExtent l="0" t="0" r="0" b="0"/>
            <wp:docPr id="5"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8"/>
                    <a:srcRect/>
                    <a:stretch>
                      <a:fillRect/>
                    </a:stretch>
                  </pic:blipFill>
                  <pic:spPr>
                    <a:xfrm>
                      <a:off x="0" y="0"/>
                      <a:ext cx="1873026" cy="2500313"/>
                    </a:xfrm>
                    <a:prstGeom prst="rect">
                      <a:avLst/>
                    </a:prstGeom>
                    <a:ln/>
                  </pic:spPr>
                </pic:pic>
              </a:graphicData>
            </a:graphic>
          </wp:inline>
        </w:drawing>
      </w:r>
    </w:p>
    <w:p w14:paraId="377B313C" w14:textId="77777777" w:rsidR="003F35CE" w:rsidRDefault="009B7BA8">
      <w:pPr>
        <w:rPr>
          <w:rFonts w:ascii="Times New Roman" w:eastAsia="Times New Roman" w:hAnsi="Times New Roman" w:cs="Times New Roman"/>
          <w:color w:val="232323"/>
          <w:sz w:val="28"/>
          <w:szCs w:val="28"/>
        </w:rPr>
      </w:pPr>
      <w:r>
        <w:rPr>
          <w:rFonts w:ascii="Times New Roman" w:eastAsia="Times New Roman" w:hAnsi="Times New Roman" w:cs="Times New Roman"/>
          <w:color w:val="232323"/>
          <w:sz w:val="28"/>
          <w:szCs w:val="28"/>
        </w:rPr>
        <w:t xml:space="preserve">The goal of this experiment is leading to acetanilide nitration. As mentioned in the introduction, aromatic substitution of benzene is likely to produce three different isomers - ortho product, meta product and para product. In our laboratory, TLC plates are used to determine the formation of these isomers. By identify those TLC plates, we can clearly see that we have produced the maximum number of the para isomer NO2-Ph-NHAc. The evidence for this conclusion is that the spots on TLC plates are very similar to the spotted sample of the para isomer in Rf values. The reason that para-isomers seem to be the most advantageous of the three is simple. Since there are two functional groups on the ring, the counterpoint positions place them relative to each other in possible positions on the ring. This reduces the steric hindrance between functional groups as compared to ortho and meso isomers. The </w:t>
      </w:r>
      <w:r>
        <w:rPr>
          <w:rFonts w:ascii="Times New Roman" w:eastAsia="Times New Roman" w:hAnsi="Times New Roman" w:cs="Times New Roman"/>
          <w:color w:val="232323"/>
          <w:sz w:val="28"/>
          <w:szCs w:val="28"/>
        </w:rPr>
        <w:lastRenderedPageBreak/>
        <w:t>lower the steric hindrance, the lower the activity of the isomer, so it has a greater energy advantage over other isomers, which also explains the preference for isomer formation.</w:t>
      </w:r>
    </w:p>
    <w:p w14:paraId="0C1C949B" w14:textId="77777777" w:rsidR="003F35CE" w:rsidRDefault="003F35CE">
      <w:pPr>
        <w:pStyle w:val="Heading1"/>
        <w:pBdr>
          <w:top w:val="nil"/>
          <w:left w:val="nil"/>
          <w:bottom w:val="nil"/>
          <w:right w:val="nil"/>
          <w:between w:val="nil"/>
        </w:pBdr>
        <w:rPr>
          <w:rFonts w:ascii="Times New Roman" w:eastAsia="Times New Roman" w:hAnsi="Times New Roman" w:cs="Times New Roman"/>
          <w:color w:val="000000"/>
          <w:sz w:val="36"/>
          <w:szCs w:val="36"/>
        </w:rPr>
      </w:pPr>
      <w:bookmarkStart w:id="11" w:name="_ud52hld9ro65" w:colFirst="0" w:colLast="0"/>
      <w:bookmarkEnd w:id="11"/>
    </w:p>
    <w:p w14:paraId="3F7DAE90" w14:textId="77777777" w:rsidR="003F35CE" w:rsidRDefault="003F35CE">
      <w:pPr>
        <w:pStyle w:val="Heading1"/>
        <w:pBdr>
          <w:top w:val="nil"/>
          <w:left w:val="nil"/>
          <w:bottom w:val="nil"/>
          <w:right w:val="nil"/>
          <w:between w:val="nil"/>
        </w:pBdr>
        <w:rPr>
          <w:rFonts w:ascii="Times New Roman" w:eastAsia="Times New Roman" w:hAnsi="Times New Roman" w:cs="Times New Roman"/>
          <w:color w:val="000000"/>
          <w:sz w:val="36"/>
          <w:szCs w:val="36"/>
        </w:rPr>
      </w:pPr>
      <w:bookmarkStart w:id="12" w:name="_e1y7m4jwifk1" w:colFirst="0" w:colLast="0"/>
      <w:bookmarkEnd w:id="12"/>
    </w:p>
    <w:p w14:paraId="539EA340" w14:textId="77777777" w:rsidR="003F35CE" w:rsidRDefault="009B7BA8">
      <w:pPr>
        <w:pStyle w:val="Heading1"/>
        <w:pBdr>
          <w:top w:val="nil"/>
          <w:left w:val="nil"/>
          <w:bottom w:val="nil"/>
          <w:right w:val="nil"/>
          <w:between w:val="nil"/>
        </w:pBdr>
        <w:rPr>
          <w:rFonts w:ascii="Times New Roman" w:eastAsia="Times New Roman" w:hAnsi="Times New Roman" w:cs="Times New Roman"/>
          <w:color w:val="000000"/>
          <w:sz w:val="36"/>
          <w:szCs w:val="36"/>
        </w:rPr>
      </w:pPr>
      <w:bookmarkStart w:id="13" w:name="_1hefynu8pf8t" w:colFirst="0" w:colLast="0"/>
      <w:bookmarkEnd w:id="13"/>
      <w:r>
        <w:rPr>
          <w:rFonts w:ascii="Times New Roman" w:eastAsia="Times New Roman" w:hAnsi="Times New Roman" w:cs="Times New Roman"/>
          <w:color w:val="000000"/>
          <w:sz w:val="36"/>
          <w:szCs w:val="36"/>
        </w:rPr>
        <w:t>CONCLUSION</w:t>
      </w:r>
    </w:p>
    <w:p w14:paraId="07E9BF65"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After recrystallization the final pure product weighed in at 0.51g out of a possible 15.77g, giving a percent yield of 3.23%. Such a lower yield should take into account errors that may occur during the experiment, such as not being thoroughly removed during the rinsing process. *Note: All the TLCs eluent by 5:5 </w:t>
      </w:r>
      <w:proofErr w:type="spellStart"/>
      <w:proofErr w:type="gramStart"/>
      <w:r>
        <w:rPr>
          <w:rFonts w:ascii="Times New Roman" w:eastAsia="Times New Roman" w:hAnsi="Times New Roman" w:cs="Times New Roman"/>
          <w:color w:val="000000"/>
          <w:sz w:val="28"/>
          <w:szCs w:val="28"/>
        </w:rPr>
        <w:t>EtoAc:Hexanes</w:t>
      </w:r>
      <w:proofErr w:type="spellEnd"/>
      <w:proofErr w:type="gramEnd"/>
      <w:r>
        <w:rPr>
          <w:rFonts w:ascii="Times New Roman" w:eastAsia="Times New Roman" w:hAnsi="Times New Roman" w:cs="Times New Roman"/>
          <w:color w:val="000000"/>
          <w:sz w:val="28"/>
          <w:szCs w:val="28"/>
        </w:rPr>
        <w:t>. In this experiment, the probability of error is very high and there are many factors. Such as crystal collection difficulty, human error and so on. First, five TLCs were taken in this experiment. This can cause many similar errors to occur on each TLC. These errors include over positioning of the solution on the plate. This can lead to spots that are too large, which can affect a student's ability to correctly calculate Rf values and distinguish components of different solutions. Contamination of TLC or solution may result in faulty analysis or less analysis of other potential spots.</w:t>
      </w:r>
    </w:p>
    <w:p w14:paraId="2D6043CF" w14:textId="77777777" w:rsidR="003F35CE" w:rsidRDefault="003F35CE">
      <w:pPr>
        <w:pBdr>
          <w:top w:val="nil"/>
          <w:left w:val="nil"/>
          <w:bottom w:val="nil"/>
          <w:right w:val="nil"/>
          <w:between w:val="nil"/>
        </w:pBdr>
        <w:rPr>
          <w:rFonts w:ascii="Times New Roman" w:eastAsia="Times New Roman" w:hAnsi="Times New Roman" w:cs="Times New Roman"/>
          <w:color w:val="000000"/>
        </w:rPr>
      </w:pPr>
    </w:p>
    <w:p w14:paraId="611625ED" w14:textId="77777777" w:rsidR="003F35CE" w:rsidRDefault="003F35CE">
      <w:pPr>
        <w:pBdr>
          <w:top w:val="nil"/>
          <w:left w:val="nil"/>
          <w:bottom w:val="nil"/>
          <w:right w:val="nil"/>
          <w:between w:val="nil"/>
        </w:pBdr>
        <w:rPr>
          <w:rFonts w:ascii="Times New Roman" w:eastAsia="Times New Roman" w:hAnsi="Times New Roman" w:cs="Times New Roman"/>
          <w:color w:val="000000"/>
          <w:sz w:val="36"/>
          <w:szCs w:val="36"/>
        </w:rPr>
      </w:pPr>
    </w:p>
    <w:p w14:paraId="29B9EB1D" w14:textId="77777777" w:rsidR="003F35CE" w:rsidRDefault="009B7BA8">
      <w:pPr>
        <w:pBdr>
          <w:top w:val="nil"/>
          <w:left w:val="nil"/>
          <w:bottom w:val="nil"/>
          <w:right w:val="nil"/>
          <w:between w:val="nil"/>
        </w:pBdr>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Questions</w:t>
      </w:r>
    </w:p>
    <w:p w14:paraId="5C7D6E3B"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1.Nitration is an electrophilic reaction. Therefore, the higher the electron density of the aromatic ring is, the easier and faster the reaction will be. </w:t>
      </w:r>
      <w:proofErr w:type="gramStart"/>
      <w:r>
        <w:rPr>
          <w:rFonts w:ascii="Times New Roman" w:eastAsia="Times New Roman" w:hAnsi="Times New Roman" w:cs="Times New Roman"/>
          <w:color w:val="000000"/>
          <w:sz w:val="28"/>
          <w:szCs w:val="28"/>
        </w:rPr>
        <w:t>in  first</w:t>
      </w:r>
      <w:proofErr w:type="gramEnd"/>
      <w:r>
        <w:rPr>
          <w:rFonts w:ascii="Times New Roman" w:eastAsia="Times New Roman" w:hAnsi="Times New Roman" w:cs="Times New Roman"/>
          <w:color w:val="000000"/>
          <w:sz w:val="28"/>
          <w:szCs w:val="28"/>
        </w:rPr>
        <w:t xml:space="preserve"> reaction nitro groups are added by NO2 with a relatively electron-rich ring (Ph-</w:t>
      </w:r>
      <w:proofErr w:type="spellStart"/>
      <w:r>
        <w:rPr>
          <w:rFonts w:ascii="Times New Roman" w:eastAsia="Times New Roman" w:hAnsi="Times New Roman" w:cs="Times New Roman"/>
          <w:color w:val="000000"/>
          <w:sz w:val="28"/>
          <w:szCs w:val="28"/>
        </w:rPr>
        <w:t>NAc</w:t>
      </w:r>
      <w:proofErr w:type="spellEnd"/>
      <w:r>
        <w:rPr>
          <w:rFonts w:ascii="Times New Roman" w:eastAsia="Times New Roman" w:hAnsi="Times New Roman" w:cs="Times New Roman"/>
          <w:color w:val="000000"/>
          <w:sz w:val="28"/>
          <w:szCs w:val="28"/>
        </w:rPr>
        <w:t xml:space="preserve">). The </w:t>
      </w:r>
      <w:r>
        <w:rPr>
          <w:rFonts w:ascii="Times New Roman" w:eastAsia="Times New Roman" w:hAnsi="Times New Roman" w:cs="Times New Roman"/>
          <w:color w:val="000000"/>
          <w:sz w:val="28"/>
          <w:szCs w:val="28"/>
        </w:rPr>
        <w:lastRenderedPageBreak/>
        <w:t>second is the reaction of NO2 with a less electron-rich ring (NO2-Ph-NAc). Because of the low electron content of this ring, the formation will be slower than the first reaction.</w:t>
      </w:r>
    </w:p>
    <w:p w14:paraId="52FABE33"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p>
    <w:p w14:paraId="785F9286"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inline distT="114300" distB="114300" distL="114300" distR="114300" wp14:anchorId="3DCAA2CE" wp14:editId="21D49094">
            <wp:extent cx="5767388" cy="3327339"/>
            <wp:effectExtent l="0" t="0" r="0" b="0"/>
            <wp:docPr id="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9"/>
                    <a:srcRect/>
                    <a:stretch>
                      <a:fillRect/>
                    </a:stretch>
                  </pic:blipFill>
                  <pic:spPr>
                    <a:xfrm>
                      <a:off x="0" y="0"/>
                      <a:ext cx="5767388" cy="3327339"/>
                    </a:xfrm>
                    <a:prstGeom prst="rect">
                      <a:avLst/>
                    </a:prstGeom>
                    <a:ln/>
                  </pic:spPr>
                </pic:pic>
              </a:graphicData>
            </a:graphic>
          </wp:inline>
        </w:drawing>
      </w:r>
    </w:p>
    <w:p w14:paraId="05852362"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p w14:paraId="5FAB0E16"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lastRenderedPageBreak/>
        <w:drawing>
          <wp:inline distT="114300" distB="114300" distL="114300" distR="114300" wp14:anchorId="72BB4C23" wp14:editId="1664DAC5">
            <wp:extent cx="5943600" cy="3327400"/>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0"/>
                    <a:srcRect/>
                    <a:stretch>
                      <a:fillRect/>
                    </a:stretch>
                  </pic:blipFill>
                  <pic:spPr>
                    <a:xfrm>
                      <a:off x="0" y="0"/>
                      <a:ext cx="5943600" cy="3327400"/>
                    </a:xfrm>
                    <a:prstGeom prst="rect">
                      <a:avLst/>
                    </a:prstGeom>
                    <a:ln/>
                  </pic:spPr>
                </pic:pic>
              </a:graphicData>
            </a:graphic>
          </wp:inline>
        </w:drawing>
      </w:r>
      <w:r>
        <w:rPr>
          <w:rFonts w:ascii="Times New Roman" w:eastAsia="Times New Roman" w:hAnsi="Times New Roman" w:cs="Times New Roman"/>
          <w:color w:val="000000"/>
          <w:sz w:val="28"/>
          <w:szCs w:val="28"/>
        </w:rPr>
        <w:t xml:space="preserve"> </w:t>
      </w:r>
    </w:p>
    <w:p w14:paraId="404857A1" w14:textId="77777777" w:rsidR="003F35CE" w:rsidRDefault="003F35CE">
      <w:pPr>
        <w:pBdr>
          <w:top w:val="nil"/>
          <w:left w:val="nil"/>
          <w:bottom w:val="nil"/>
          <w:right w:val="nil"/>
          <w:between w:val="nil"/>
        </w:pBdr>
        <w:rPr>
          <w:rFonts w:ascii="Times New Roman" w:eastAsia="Times New Roman" w:hAnsi="Times New Roman" w:cs="Times New Roman"/>
          <w:color w:val="000000"/>
          <w:sz w:val="28"/>
          <w:szCs w:val="28"/>
        </w:rPr>
      </w:pPr>
    </w:p>
    <w:p w14:paraId="32569C12"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p w14:paraId="3FAE3D8C"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Identity the limiting reagent </w:t>
      </w:r>
    </w:p>
    <w:p w14:paraId="1A7C09FD"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ratio of benzene to nitric acid to sulfuric acid 1:1:1</w:t>
      </w:r>
    </w:p>
    <w:p w14:paraId="2397F87E"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moles of benzene = 10 g/78 g/mol=5/39=0.128mol</w:t>
      </w:r>
    </w:p>
    <w:p w14:paraId="1824BB7D"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moles of nitric acid =9 ml ·16 M=14.4 mol/L</w:t>
      </w:r>
    </w:p>
    <w:p w14:paraId="54396959"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mole of sulfuric acid =9 ml ·18 M=16.2 mol/L</w:t>
      </w:r>
    </w:p>
    <w:p w14:paraId="398B6B5A"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Therefore</w:t>
      </w:r>
      <w:proofErr w:type="gramEnd"/>
      <w:r>
        <w:rPr>
          <w:rFonts w:ascii="Times New Roman" w:eastAsia="Times New Roman" w:hAnsi="Times New Roman" w:cs="Times New Roman"/>
          <w:color w:val="000000"/>
          <w:sz w:val="28"/>
          <w:szCs w:val="28"/>
        </w:rPr>
        <w:t xml:space="preserve"> benzene is limit reagent </w:t>
      </w:r>
    </w:p>
    <w:p w14:paraId="34A22460" w14:textId="77777777" w:rsidR="003F35CE" w:rsidRDefault="003F35CE">
      <w:pPr>
        <w:pBdr>
          <w:top w:val="nil"/>
          <w:left w:val="nil"/>
          <w:bottom w:val="nil"/>
          <w:right w:val="nil"/>
          <w:between w:val="nil"/>
        </w:pBdr>
        <w:rPr>
          <w:rFonts w:ascii="Times New Roman" w:eastAsia="Times New Roman" w:hAnsi="Times New Roman" w:cs="Times New Roman"/>
          <w:color w:val="000000"/>
          <w:sz w:val="28"/>
          <w:szCs w:val="28"/>
        </w:rPr>
      </w:pPr>
    </w:p>
    <w:p w14:paraId="4B5A580E"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b) </w:t>
      </w:r>
    </w:p>
    <w:p w14:paraId="63F1017A"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Theoretical yield of nitrobenzene =0.128 mol· 123 g/mol =15.77g</w:t>
      </w:r>
    </w:p>
    <w:p w14:paraId="2FD290D8"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Percent =0.51 g/15.77 g =3.23%</w:t>
      </w:r>
    </w:p>
    <w:p w14:paraId="3C0B7B0C" w14:textId="77777777" w:rsidR="003F35CE" w:rsidRDefault="003F35CE">
      <w:pPr>
        <w:pBdr>
          <w:top w:val="nil"/>
          <w:left w:val="nil"/>
          <w:bottom w:val="nil"/>
          <w:right w:val="nil"/>
          <w:between w:val="nil"/>
        </w:pBdr>
        <w:rPr>
          <w:rFonts w:ascii="Times New Roman" w:eastAsia="Times New Roman" w:hAnsi="Times New Roman" w:cs="Times New Roman"/>
          <w:color w:val="000000"/>
          <w:sz w:val="28"/>
          <w:szCs w:val="28"/>
        </w:rPr>
      </w:pPr>
    </w:p>
    <w:p w14:paraId="1F7C4744"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w:t>
      </w:r>
    </w:p>
    <w:p w14:paraId="7DC6AF40" w14:textId="77777777" w:rsidR="003F35CE" w:rsidRDefault="003F35CE">
      <w:pPr>
        <w:pBdr>
          <w:top w:val="nil"/>
          <w:left w:val="nil"/>
          <w:bottom w:val="nil"/>
          <w:right w:val="nil"/>
          <w:between w:val="nil"/>
        </w:pBdr>
        <w:rPr>
          <w:rFonts w:ascii="Times New Roman" w:eastAsia="Times New Roman" w:hAnsi="Times New Roman" w:cs="Times New Roman"/>
          <w:color w:val="000000"/>
          <w:sz w:val="28"/>
          <w:szCs w:val="28"/>
        </w:rPr>
      </w:pPr>
    </w:p>
    <w:p w14:paraId="4A3E2941"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 H2SO4 work as reactant in this step</w:t>
      </w:r>
    </w:p>
    <w:p w14:paraId="4DC177F5"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inline distT="114300" distB="114300" distL="114300" distR="114300" wp14:anchorId="36297B61" wp14:editId="706EFA79">
            <wp:extent cx="5943600" cy="2667000"/>
            <wp:effectExtent l="0" t="0" r="0" b="0"/>
            <wp:docPr id="8"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1"/>
                    <a:srcRect/>
                    <a:stretch>
                      <a:fillRect/>
                    </a:stretch>
                  </pic:blipFill>
                  <pic:spPr>
                    <a:xfrm>
                      <a:off x="0" y="0"/>
                      <a:ext cx="5943600" cy="2667000"/>
                    </a:xfrm>
                    <a:prstGeom prst="rect">
                      <a:avLst/>
                    </a:prstGeom>
                    <a:ln/>
                  </pic:spPr>
                </pic:pic>
              </a:graphicData>
            </a:graphic>
          </wp:inline>
        </w:drawing>
      </w:r>
    </w:p>
    <w:p w14:paraId="1223C793" w14:textId="77777777" w:rsidR="003F35CE" w:rsidRDefault="003F35CE">
      <w:pPr>
        <w:pBdr>
          <w:top w:val="nil"/>
          <w:left w:val="nil"/>
          <w:bottom w:val="nil"/>
          <w:right w:val="nil"/>
          <w:between w:val="nil"/>
        </w:pBdr>
        <w:rPr>
          <w:rFonts w:ascii="Times New Roman" w:eastAsia="Times New Roman" w:hAnsi="Times New Roman" w:cs="Times New Roman"/>
          <w:color w:val="000000"/>
          <w:sz w:val="28"/>
          <w:szCs w:val="28"/>
        </w:rPr>
      </w:pPr>
    </w:p>
    <w:p w14:paraId="01AC1684" w14:textId="77777777" w:rsidR="003F35CE" w:rsidRDefault="003F35CE">
      <w:pPr>
        <w:pBdr>
          <w:top w:val="nil"/>
          <w:left w:val="nil"/>
          <w:bottom w:val="nil"/>
          <w:right w:val="nil"/>
          <w:between w:val="nil"/>
        </w:pBdr>
        <w:rPr>
          <w:rFonts w:ascii="Times New Roman" w:eastAsia="Times New Roman" w:hAnsi="Times New Roman" w:cs="Times New Roman"/>
          <w:color w:val="000000"/>
          <w:sz w:val="28"/>
          <w:szCs w:val="28"/>
        </w:rPr>
      </w:pPr>
    </w:p>
    <w:p w14:paraId="41E87DB3"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1-nitrofuran has induced dipoles from the positive oxygen atom because of the sigma bond. </w:t>
      </w:r>
    </w:p>
    <w:p w14:paraId="0F2B1B44"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p w14:paraId="03C1C504" w14:textId="77777777" w:rsidR="003F35CE" w:rsidRDefault="009B7BA8">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noProof/>
          <w:color w:val="222222"/>
          <w:sz w:val="28"/>
          <w:szCs w:val="28"/>
          <w:highlight w:val="white"/>
        </w:rPr>
        <w:lastRenderedPageBreak/>
        <w:drawing>
          <wp:inline distT="114300" distB="114300" distL="114300" distR="114300" wp14:anchorId="6C8BE3AC" wp14:editId="4DAA3718">
            <wp:extent cx="5405438" cy="2782471"/>
            <wp:effectExtent l="0" t="0" r="0" b="0"/>
            <wp:docPr id="9"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2"/>
                    <a:srcRect/>
                    <a:stretch>
                      <a:fillRect/>
                    </a:stretch>
                  </pic:blipFill>
                  <pic:spPr>
                    <a:xfrm>
                      <a:off x="0" y="0"/>
                      <a:ext cx="5405438" cy="2782471"/>
                    </a:xfrm>
                    <a:prstGeom prst="rect">
                      <a:avLst/>
                    </a:prstGeom>
                    <a:ln/>
                  </pic:spPr>
                </pic:pic>
              </a:graphicData>
            </a:graphic>
          </wp:inline>
        </w:drawing>
      </w:r>
    </w:p>
    <w:sectPr w:rsidR="003F35CE">
      <w:footerReference w:type="default" r:id="rId23"/>
      <w:footerReference w:type="first" r:id="rId24"/>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958CC9" w14:textId="77777777" w:rsidR="00AC5301" w:rsidRDefault="00AC5301">
      <w:pPr>
        <w:spacing w:before="0" w:line="240" w:lineRule="auto"/>
        <w:rPr>
          <w:rFonts w:hint="eastAsia"/>
        </w:rPr>
      </w:pPr>
      <w:r>
        <w:separator/>
      </w:r>
    </w:p>
  </w:endnote>
  <w:endnote w:type="continuationSeparator" w:id="0">
    <w:p w14:paraId="58655CC4" w14:textId="77777777" w:rsidR="00AC5301" w:rsidRDefault="00AC5301">
      <w:pPr>
        <w:spacing w:before="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Droid Serif">
    <w:altName w:val="Calibri"/>
    <w:panose1 w:val="020B0604020202020204"/>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Oswald">
    <w:altName w:val="Arial Narrow"/>
    <w:panose1 w:val="020B0604020202020204"/>
    <w:charset w:val="00"/>
    <w:family w:val="auto"/>
    <w:pitch w:val="default"/>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14" w:name="_37o5xb65948r" w:colFirst="0" w:colLast="0"/>
  <w:bookmarkEnd w:id="14"/>
  <w:p w14:paraId="0E3D8F94" w14:textId="77777777" w:rsidR="003F35CE" w:rsidRDefault="009B7BA8">
    <w:pPr>
      <w:pStyle w:val="Heading4"/>
      <w:pBdr>
        <w:top w:val="nil"/>
        <w:left w:val="nil"/>
        <w:bottom w:val="nil"/>
        <w:right w:val="nil"/>
        <w:between w:val="nil"/>
      </w:pBdr>
      <w:rPr>
        <w:b/>
      </w:rPr>
    </w:pPr>
    <w:r>
      <w:fldChar w:fldCharType="begin"/>
    </w:r>
    <w:r>
      <w:instrText>PAGE</w:instrText>
    </w:r>
    <w:r>
      <w:fldChar w:fldCharType="separate"/>
    </w:r>
    <w:r w:rsidR="008C78DE">
      <w:rPr>
        <w:noProof/>
      </w:rP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832DF" w14:textId="77777777" w:rsidR="003F35CE" w:rsidRDefault="003F35CE">
    <w:pPr>
      <w:pStyle w:val="Heading4"/>
      <w:pBdr>
        <w:top w:val="nil"/>
        <w:left w:val="nil"/>
        <w:bottom w:val="nil"/>
        <w:right w:val="nil"/>
        <w:between w:val="nil"/>
      </w:pBdr>
    </w:pPr>
    <w:bookmarkStart w:id="15" w:name="_y0ojsicse0ov" w:colFirst="0" w:colLast="0"/>
    <w:bookmarkEnd w:id="1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0FF6C7" w14:textId="77777777" w:rsidR="00AC5301" w:rsidRDefault="00AC5301">
      <w:pPr>
        <w:spacing w:before="0" w:line="240" w:lineRule="auto"/>
        <w:rPr>
          <w:rFonts w:hint="eastAsia"/>
        </w:rPr>
      </w:pPr>
      <w:r>
        <w:separator/>
      </w:r>
    </w:p>
  </w:footnote>
  <w:footnote w:type="continuationSeparator" w:id="0">
    <w:p w14:paraId="7EF6D471" w14:textId="77777777" w:rsidR="00AC5301" w:rsidRDefault="00AC5301">
      <w:pPr>
        <w:spacing w:before="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2755F6"/>
    <w:multiLevelType w:val="multilevel"/>
    <w:tmpl w:val="036CC2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4FD18E7"/>
    <w:multiLevelType w:val="hybridMultilevel"/>
    <w:tmpl w:val="1F2AEE0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7B037719"/>
    <w:multiLevelType w:val="hybridMultilevel"/>
    <w:tmpl w:val="2DF209AC"/>
    <w:lvl w:ilvl="0" w:tplc="C024DE0C">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5CE"/>
    <w:rsid w:val="003F35CE"/>
    <w:rsid w:val="008C78DE"/>
    <w:rsid w:val="009B7BA8"/>
    <w:rsid w:val="00AC5301"/>
    <w:rsid w:val="00D142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48BE5C4"/>
  <w15:docId w15:val="{A796A8FD-0C86-BF4A-AC55-6C08CBAEC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Droid Serif" w:eastAsiaTheme="minorEastAsia" w:hAnsi="Droid Serif" w:cs="Droid Serif"/>
        <w:color w:val="666666"/>
        <w:sz w:val="22"/>
        <w:szCs w:val="22"/>
        <w:lang w:val="en" w:eastAsia="zh-CN" w:bidi="ar-SA"/>
      </w:rPr>
    </w:rPrDefault>
    <w:pPrDefault>
      <w:pPr>
        <w:widowControl w:val="0"/>
        <w:spacing w:before="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rFonts w:ascii="Oswald" w:eastAsia="Oswald" w:hAnsi="Oswald" w:cs="Oswald"/>
      <w:color w:val="B45F06"/>
      <w:sz w:val="28"/>
      <w:szCs w:val="28"/>
    </w:rPr>
  </w:style>
  <w:style w:type="paragraph" w:styleId="Heading2">
    <w:name w:val="heading 2"/>
    <w:basedOn w:val="Normal"/>
    <w:next w:val="Normal"/>
    <w:uiPriority w:val="9"/>
    <w:unhideWhenUsed/>
    <w:qFormat/>
    <w:pPr>
      <w:spacing w:line="240" w:lineRule="auto"/>
      <w:outlineLvl w:val="1"/>
    </w:pPr>
    <w:rPr>
      <w:rFonts w:ascii="Oswald" w:eastAsia="Oswald" w:hAnsi="Oswald" w:cs="Oswald"/>
      <w:color w:val="783F04"/>
    </w:rPr>
  </w:style>
  <w:style w:type="paragraph" w:styleId="Heading3">
    <w:name w:val="heading 3"/>
    <w:basedOn w:val="Normal"/>
    <w:next w:val="Normal"/>
    <w:uiPriority w:val="9"/>
    <w:unhideWhenUsed/>
    <w:qFormat/>
    <w:pPr>
      <w:spacing w:line="240" w:lineRule="auto"/>
      <w:jc w:val="center"/>
      <w:outlineLvl w:val="2"/>
    </w:pPr>
    <w:rPr>
      <w:b/>
      <w:color w:val="783F04"/>
      <w:sz w:val="36"/>
      <w:szCs w:val="36"/>
    </w:rPr>
  </w:style>
  <w:style w:type="paragraph" w:styleId="Heading4">
    <w:name w:val="heading 4"/>
    <w:basedOn w:val="Normal"/>
    <w:next w:val="Normal"/>
    <w:uiPriority w:val="9"/>
    <w:unhideWhenUsed/>
    <w:qFormat/>
    <w:pPr>
      <w:outlineLvl w:val="3"/>
    </w:pPr>
    <w:rPr>
      <w:rFonts w:ascii="Oswald" w:eastAsia="Oswald" w:hAnsi="Oswald" w:cs="Oswald"/>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spacing w:line="240" w:lineRule="auto"/>
      <w:jc w:val="center"/>
    </w:pPr>
    <w:rPr>
      <w:rFonts w:ascii="Oswald" w:eastAsia="Oswald" w:hAnsi="Oswald" w:cs="Oswald"/>
      <w:color w:val="B45F06"/>
      <w:sz w:val="84"/>
      <w:szCs w:val="84"/>
    </w:rPr>
  </w:style>
  <w:style w:type="paragraph" w:styleId="Subtitle">
    <w:name w:val="Subtitle"/>
    <w:basedOn w:val="Normal"/>
    <w:next w:val="Normal"/>
    <w:uiPriority w:val="11"/>
    <w:qFormat/>
    <w:pPr>
      <w:spacing w:before="120"/>
      <w:jc w:val="center"/>
    </w:pPr>
    <w:rPr>
      <w:i/>
      <w:sz w:val="26"/>
      <w:szCs w:val="26"/>
    </w:rPr>
  </w:style>
  <w:style w:type="paragraph" w:styleId="ListParagraph">
    <w:name w:val="List Paragraph"/>
    <w:basedOn w:val="Normal"/>
    <w:uiPriority w:val="34"/>
    <w:qFormat/>
    <w:rsid w:val="008C78D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2.jpg"/><Relationship Id="rId7" Type="http://schemas.openxmlformats.org/officeDocument/2006/relationships/hyperlink" Target="https://www.studocu.com/en-ca/document/2795567/practice/flashcard?term=organic%20compound" TargetMode="Externa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g"/><Relationship Id="rId20" Type="http://schemas.openxmlformats.org/officeDocument/2006/relationships/image" Target="media/image11.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footer" Target="footer1.xml"/><Relationship Id="rId10" Type="http://schemas.openxmlformats.org/officeDocument/2006/relationships/hyperlink" Target="https://www.studocu.com/en-ca/document/2795567/practice/flashcard?term=mixture" TargetMode="External"/><Relationship Id="rId19" Type="http://schemas.openxmlformats.org/officeDocument/2006/relationships/image" Target="media/image10.jpg"/><Relationship Id="rId4" Type="http://schemas.openxmlformats.org/officeDocument/2006/relationships/webSettings" Target="webSettings.xml"/><Relationship Id="rId9" Type="http://schemas.openxmlformats.org/officeDocument/2006/relationships/hyperlink" Target="https://www.studocu.com/en-ca/document/2795567/practice/flashcard?term=mixture" TargetMode="External"/><Relationship Id="rId14" Type="http://schemas.openxmlformats.org/officeDocument/2006/relationships/image" Target="media/image5.jpg"/><Relationship Id="rId22"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892</Words>
  <Characters>5091</Characters>
  <Application>Microsoft Office Word</Application>
  <DocSecurity>0</DocSecurity>
  <Lines>42</Lines>
  <Paragraphs>11</Paragraphs>
  <ScaleCrop>false</ScaleCrop>
  <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Yifan Shen</cp:lastModifiedBy>
  <cp:revision>3</cp:revision>
  <dcterms:created xsi:type="dcterms:W3CDTF">2019-04-09T21:34:00Z</dcterms:created>
  <dcterms:modified xsi:type="dcterms:W3CDTF">2020-06-24T02:01:00Z</dcterms:modified>
</cp:coreProperties>
</file>