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533B4A" w14:textId="49C530B3" w:rsidR="001E03F4" w:rsidRPr="00A60753" w:rsidRDefault="001E03F4" w:rsidP="00A60753">
      <w:pPr>
        <w:pStyle w:val="ListParagraph"/>
        <w:numPr>
          <w:ilvl w:val="0"/>
          <w:numId w:val="2"/>
        </w:numPr>
        <w:rPr>
          <w:rFonts w:ascii="Times New Roman" w:eastAsia="Times New Roman" w:hAnsi="Times New Roman" w:cs="Times New Roman"/>
        </w:rPr>
      </w:pPr>
      <w:r w:rsidRPr="00A60753">
        <w:rPr>
          <w:rFonts w:ascii="Arial" w:eastAsia="Times New Roman" w:hAnsi="Arial" w:cs="Arial"/>
          <w:color w:val="000000"/>
          <w:sz w:val="20"/>
          <w:szCs w:val="20"/>
          <w:shd w:val="clear" w:color="auto" w:fill="FFFFFF"/>
        </w:rPr>
        <w:t>In “Standards of </w:t>
      </w:r>
      <w:r w:rsidRPr="00A60753">
        <w:rPr>
          <w:rFonts w:ascii="Arial" w:eastAsia="Times New Roman" w:hAnsi="Arial" w:cs="Arial"/>
          <w:color w:val="000000"/>
          <w:sz w:val="20"/>
          <w:szCs w:val="20"/>
          <w:bdr w:val="none" w:sz="0" w:space="0" w:color="auto" w:frame="1"/>
        </w:rPr>
        <w:t>Competence” by Allen</w:t>
      </w:r>
      <w:r w:rsidRPr="00A60753">
        <w:rPr>
          <w:rFonts w:ascii="Arial" w:eastAsia="Times New Roman" w:hAnsi="Arial" w:cs="Arial"/>
          <w:color w:val="000000"/>
          <w:sz w:val="20"/>
          <w:szCs w:val="20"/>
          <w:shd w:val="clear" w:color="auto" w:fill="FFFFFF"/>
        </w:rPr>
        <w:t> E. Buchanan and Dan W. Brock, how is it that the authors conclude that a patient could be competent to consent to treatment but not competent to refuse treatment? Do you agree with their assessment? Defend your answer.</w:t>
      </w:r>
    </w:p>
    <w:p w14:paraId="67816AD9" w14:textId="1E051FEF" w:rsidR="007A4B38" w:rsidRDefault="007A4B38"/>
    <w:p w14:paraId="45A6D383" w14:textId="45BAA0E1" w:rsidR="003118F6" w:rsidRDefault="003118F6">
      <w:pPr>
        <w:rPr>
          <w:rFonts w:ascii="Times New Roman" w:hAnsi="Times New Roman" w:cs="Times New Roman"/>
        </w:rPr>
      </w:pPr>
      <w:r w:rsidRPr="0028599F">
        <w:rPr>
          <w:rFonts w:ascii="Times New Roman" w:hAnsi="Times New Roman" w:cs="Times New Roman"/>
        </w:rPr>
        <w:t xml:space="preserve">Just because a patient is competent to consent to a treatment does not mean that the patient is competent enough to refuse the treatment. For example, a patient who  has consented to a low risk lifesaving treatment requires minimal level of competence but refusal for the low risk treatment will require the highest level of competence. Patients who are competent to making rational decision may have certain limitations when it comes to refusing the treatment the consented to. These limitations that hinder the patient from making rational choices can include, severe pain, cognitive understanding, severe pain, medication, or mental competence etc. When a patient refuses treatment the physician must ask the patient questions to help them understand the reasoning behind the refusal of treatment and understand whether the patient’s choice of refusal reasonable. Some have viewed that this is an interference with a patient “deep down” choice. When assessing a patient’s choice for refusal the assessment should be objective. Determining an individual’s reasoning for refusal can be difficult in many different circumstances. For </w:t>
      </w:r>
      <w:r w:rsidR="0028599F" w:rsidRPr="0028599F">
        <w:rPr>
          <w:rFonts w:ascii="Times New Roman" w:hAnsi="Times New Roman" w:cs="Times New Roman"/>
        </w:rPr>
        <w:t>example,</w:t>
      </w:r>
      <w:r w:rsidRPr="0028599F">
        <w:rPr>
          <w:rFonts w:ascii="Times New Roman" w:hAnsi="Times New Roman" w:cs="Times New Roman"/>
        </w:rPr>
        <w:t xml:space="preserve"> when a patient who suffers from chronic severe depression refuses a treatment it is difficult to objectively see if the patients reasoning for refusal is reasonable with their actual aims and values. I agree with their assessment because I </w:t>
      </w:r>
      <w:r w:rsidR="0028599F" w:rsidRPr="0028599F">
        <w:rPr>
          <w:rFonts w:ascii="Times New Roman" w:hAnsi="Times New Roman" w:cs="Times New Roman"/>
        </w:rPr>
        <w:t>believe</w:t>
      </w:r>
      <w:r w:rsidRPr="0028599F">
        <w:rPr>
          <w:rFonts w:ascii="Times New Roman" w:hAnsi="Times New Roman" w:cs="Times New Roman"/>
        </w:rPr>
        <w:t xml:space="preserve"> that it is rational. A patient who needs an emergency surgery who consented earlier</w:t>
      </w:r>
      <w:r w:rsidR="0028599F" w:rsidRPr="0028599F">
        <w:rPr>
          <w:rFonts w:ascii="Times New Roman" w:hAnsi="Times New Roman" w:cs="Times New Roman"/>
        </w:rPr>
        <w:t xml:space="preserve"> cannot refuse treatment because they are in too much pain. For a patient to refuse treatment they must be able to give the physician clear, concise, and </w:t>
      </w:r>
      <w:r w:rsidR="00FB30DD">
        <w:rPr>
          <w:rFonts w:ascii="Times New Roman" w:hAnsi="Times New Roman" w:cs="Times New Roman"/>
        </w:rPr>
        <w:t xml:space="preserve">a </w:t>
      </w:r>
      <w:r w:rsidR="0028599F" w:rsidRPr="0028599F">
        <w:rPr>
          <w:rFonts w:ascii="Times New Roman" w:hAnsi="Times New Roman" w:cs="Times New Roman"/>
        </w:rPr>
        <w:t xml:space="preserve">reasonable reasoning for refusal. </w:t>
      </w:r>
    </w:p>
    <w:p w14:paraId="23BAAEF5" w14:textId="77777777" w:rsidR="00CF5C8D" w:rsidRPr="0028599F" w:rsidRDefault="00CF5C8D">
      <w:pPr>
        <w:rPr>
          <w:rFonts w:ascii="Times New Roman" w:hAnsi="Times New Roman" w:cs="Times New Roman"/>
        </w:rPr>
      </w:pPr>
    </w:p>
    <w:p w14:paraId="3941DAA0" w14:textId="4BD6B0F7" w:rsidR="003118F6" w:rsidRPr="00265686" w:rsidRDefault="00CF5C8D">
      <w:pPr>
        <w:rPr>
          <w:rFonts w:ascii="Times New Roman" w:hAnsi="Times New Roman" w:cs="Times New Roman"/>
        </w:rPr>
      </w:pPr>
      <w:r w:rsidRPr="00265686">
        <w:rPr>
          <w:rFonts w:ascii="Times New Roman" w:hAnsi="Times New Roman" w:cs="Times New Roman"/>
        </w:rPr>
        <w:t xml:space="preserve">Buchanan, A. E., &amp; Brock , D. W. (2009). Standards of Competence. In J. Fisher (Ed.), </w:t>
      </w:r>
      <w:r w:rsidRPr="00265686">
        <w:rPr>
          <w:rFonts w:ascii="Times New Roman" w:hAnsi="Times New Roman" w:cs="Times New Roman"/>
          <w:i/>
          <w:iCs/>
        </w:rPr>
        <w:t>Biomedical Ethics: A Canadian Focus</w:t>
      </w:r>
      <w:r w:rsidRPr="00265686">
        <w:rPr>
          <w:rFonts w:ascii="Times New Roman" w:hAnsi="Times New Roman" w:cs="Times New Roman"/>
        </w:rPr>
        <w:t xml:space="preserve"> (pp. 33–35).</w:t>
      </w:r>
    </w:p>
    <w:p w14:paraId="064FC3E8" w14:textId="77777777" w:rsidR="00CF5C8D" w:rsidRDefault="00CF5C8D"/>
    <w:p w14:paraId="3C2A0CBF" w14:textId="77777777" w:rsidR="001E03F4" w:rsidRPr="001E03F4" w:rsidRDefault="001E03F4" w:rsidP="001E03F4">
      <w:pPr>
        <w:rPr>
          <w:rFonts w:ascii="Times New Roman" w:eastAsia="Times New Roman" w:hAnsi="Times New Roman" w:cs="Times New Roman"/>
        </w:rPr>
      </w:pPr>
      <w:r w:rsidRPr="001E03F4">
        <w:rPr>
          <w:rFonts w:ascii="Arial" w:eastAsia="Times New Roman" w:hAnsi="Arial" w:cs="Arial"/>
          <w:color w:val="000000"/>
          <w:sz w:val="20"/>
          <w:szCs w:val="20"/>
          <w:shd w:val="clear" w:color="auto" w:fill="FFFFFF"/>
        </w:rPr>
        <w:t>What is clinical equipoise and why do some theorists assume clinical equipoise must be maintained for clinical trials to be ethical?</w:t>
      </w:r>
    </w:p>
    <w:p w14:paraId="00F63C9D" w14:textId="3437D8C0" w:rsidR="001E03F4" w:rsidRDefault="001E03F4"/>
    <w:p w14:paraId="5D82FDAA" w14:textId="161BCCAA" w:rsidR="001E03F4" w:rsidRPr="00A60753" w:rsidRDefault="0074424C" w:rsidP="00A60753">
      <w:pPr>
        <w:pStyle w:val="ListParagraph"/>
        <w:numPr>
          <w:ilvl w:val="0"/>
          <w:numId w:val="2"/>
        </w:numPr>
        <w:rPr>
          <w:rFonts w:ascii="Times New Roman" w:hAnsi="Times New Roman" w:cs="Times New Roman"/>
        </w:rPr>
      </w:pPr>
      <w:r w:rsidRPr="00A60753">
        <w:rPr>
          <w:rFonts w:ascii="Times New Roman" w:hAnsi="Times New Roman" w:cs="Times New Roman"/>
        </w:rPr>
        <w:t xml:space="preserve">Clinical equipoise is the assumption that there is not one “better” intervention present (for either the control or experimental group) during the design of a randomized controlled trial. A true state of equipoise </w:t>
      </w:r>
      <w:r w:rsidR="008F5FD8" w:rsidRPr="00A60753">
        <w:rPr>
          <w:rFonts w:ascii="Times New Roman" w:hAnsi="Times New Roman" w:cs="Times New Roman"/>
        </w:rPr>
        <w:t>exists</w:t>
      </w:r>
      <w:r w:rsidRPr="00A60753">
        <w:rPr>
          <w:rFonts w:ascii="Times New Roman" w:hAnsi="Times New Roman" w:cs="Times New Roman"/>
        </w:rPr>
        <w:t xml:space="preserve"> when one has no good basis for a choice between two or more care options. </w:t>
      </w:r>
      <w:r w:rsidR="008F5FD8" w:rsidRPr="00A60753">
        <w:rPr>
          <w:rFonts w:ascii="Times New Roman" w:hAnsi="Times New Roman" w:cs="Times New Roman"/>
        </w:rPr>
        <w:t xml:space="preserve">Clinical </w:t>
      </w:r>
      <w:proofErr w:type="gramStart"/>
      <w:r w:rsidR="008F5FD8" w:rsidRPr="00A60753">
        <w:rPr>
          <w:rFonts w:ascii="Times New Roman" w:hAnsi="Times New Roman" w:cs="Times New Roman"/>
        </w:rPr>
        <w:t>equipoise  and</w:t>
      </w:r>
      <w:proofErr w:type="gramEnd"/>
      <w:r w:rsidR="008F5FD8" w:rsidRPr="00A60753">
        <w:rPr>
          <w:rFonts w:ascii="Times New Roman" w:hAnsi="Times New Roman" w:cs="Times New Roman"/>
        </w:rPr>
        <w:t xml:space="preserve"> other forms of equipoise make sense as a normative requirement based on the assumption that investigators have a therapuetic obligation to the research participant in the clinical trial. When there is a clinical trial being run there is usually the trial medication given and a placebo medication given. For a trial to be ethical under clinical equipoise, if </w:t>
      </w:r>
      <w:r w:rsidR="00FB30DD" w:rsidRPr="00A60753">
        <w:rPr>
          <w:rFonts w:ascii="Times New Roman" w:hAnsi="Times New Roman" w:cs="Times New Roman"/>
        </w:rPr>
        <w:t xml:space="preserve">it is </w:t>
      </w:r>
      <w:r w:rsidR="008F5FD8" w:rsidRPr="00A60753">
        <w:rPr>
          <w:rFonts w:ascii="Times New Roman" w:hAnsi="Times New Roman" w:cs="Times New Roman"/>
        </w:rPr>
        <w:t xml:space="preserve">proven that the trial medication is proven to be effective </w:t>
      </w:r>
      <w:r w:rsidR="00FB30DD" w:rsidRPr="00A60753">
        <w:rPr>
          <w:rFonts w:ascii="Times New Roman" w:hAnsi="Times New Roman" w:cs="Times New Roman"/>
        </w:rPr>
        <w:t>then</w:t>
      </w:r>
      <w:r w:rsidR="008F5FD8" w:rsidRPr="00A60753">
        <w:rPr>
          <w:rFonts w:ascii="Times New Roman" w:hAnsi="Times New Roman" w:cs="Times New Roman"/>
        </w:rPr>
        <w:t xml:space="preserve"> there should not be a placebo version in the trial because this makes the trial unethical. A randomized trial is only considered ethical only in circumstances of clinical equipoise of there is </w:t>
      </w:r>
      <w:r w:rsidR="00FB30DD" w:rsidRPr="00A60753">
        <w:rPr>
          <w:rFonts w:ascii="Times New Roman" w:hAnsi="Times New Roman" w:cs="Times New Roman"/>
        </w:rPr>
        <w:t>an</w:t>
      </w:r>
      <w:r w:rsidR="008F5FD8" w:rsidRPr="00A60753">
        <w:rPr>
          <w:rFonts w:ascii="Times New Roman" w:hAnsi="Times New Roman" w:cs="Times New Roman"/>
        </w:rPr>
        <w:t xml:space="preserve"> </w:t>
      </w:r>
      <w:r w:rsidR="00FB30DD" w:rsidRPr="00A60753">
        <w:rPr>
          <w:rFonts w:ascii="Times New Roman" w:hAnsi="Times New Roman" w:cs="Times New Roman"/>
        </w:rPr>
        <w:t>honest</w:t>
      </w:r>
      <w:r w:rsidR="008F5FD8" w:rsidRPr="00A60753">
        <w:rPr>
          <w:rFonts w:ascii="Times New Roman" w:hAnsi="Times New Roman" w:cs="Times New Roman"/>
        </w:rPr>
        <w:t xml:space="preserve"> uncertainty within the medical community as to whether the treatment is effective or not. </w:t>
      </w:r>
    </w:p>
    <w:p w14:paraId="7E273A0A" w14:textId="41EA889F" w:rsidR="00265686" w:rsidRDefault="00265686">
      <w:pPr>
        <w:rPr>
          <w:rFonts w:ascii="Times New Roman" w:hAnsi="Times New Roman" w:cs="Times New Roman"/>
        </w:rPr>
      </w:pPr>
    </w:p>
    <w:p w14:paraId="5D880052" w14:textId="57FAFE05" w:rsidR="00265686" w:rsidRDefault="00265686">
      <w:pPr>
        <w:rPr>
          <w:rFonts w:ascii="Times New Roman" w:hAnsi="Times New Roman" w:cs="Times New Roman"/>
        </w:rPr>
      </w:pPr>
      <w:r w:rsidRPr="00265686">
        <w:rPr>
          <w:rFonts w:ascii="Times New Roman" w:hAnsi="Times New Roman" w:cs="Times New Roman"/>
        </w:rPr>
        <w:t xml:space="preserve">Miller, F. G., &amp; Brody, H. (2009). Critique of the Similarity Position and Clinical Equipoise. In J. Fisher (Ed.), </w:t>
      </w:r>
      <w:r w:rsidRPr="00265686">
        <w:rPr>
          <w:rFonts w:ascii="Times New Roman" w:hAnsi="Times New Roman" w:cs="Times New Roman"/>
          <w:i/>
          <w:iCs/>
        </w:rPr>
        <w:t>Biomedical Ethics: A Canadian Focus</w:t>
      </w:r>
      <w:r w:rsidRPr="00265686">
        <w:rPr>
          <w:rFonts w:ascii="Times New Roman" w:hAnsi="Times New Roman" w:cs="Times New Roman"/>
        </w:rPr>
        <w:t xml:space="preserve"> (pp. 514).</w:t>
      </w:r>
    </w:p>
    <w:p w14:paraId="7FA29EFE" w14:textId="11E55EEE" w:rsidR="006F79C9" w:rsidRDefault="006F79C9">
      <w:pPr>
        <w:rPr>
          <w:rFonts w:ascii="Times New Roman" w:hAnsi="Times New Roman" w:cs="Times New Roman"/>
        </w:rPr>
      </w:pPr>
    </w:p>
    <w:p w14:paraId="27779CF7" w14:textId="433D2DF6" w:rsidR="006F79C9" w:rsidRDefault="006F79C9">
      <w:pPr>
        <w:rPr>
          <w:rFonts w:ascii="Times New Roman" w:hAnsi="Times New Roman" w:cs="Times New Roman"/>
        </w:rPr>
      </w:pPr>
      <w:r>
        <w:rPr>
          <w:rFonts w:ascii="Times New Roman" w:hAnsi="Times New Roman" w:cs="Times New Roman"/>
        </w:rPr>
        <w:t xml:space="preserve">Cook, C., &amp; Sheets, C. (2011, February). Clinical equipoise and personal equipoise: two necessary ingredients for reducing bias in manual therapy trials. Retrieved from </w:t>
      </w:r>
    </w:p>
    <w:p w14:paraId="69F567A3" w14:textId="6F5C411E" w:rsidR="008F5FD8" w:rsidRPr="00A60753" w:rsidRDefault="006F79C9">
      <w:pPr>
        <w:rPr>
          <w:rFonts w:ascii="Times New Roman" w:hAnsi="Times New Roman" w:cs="Times New Roman"/>
        </w:rPr>
      </w:pPr>
      <w:r w:rsidRPr="006F79C9">
        <w:rPr>
          <w:rFonts w:ascii="Times New Roman" w:hAnsi="Times New Roman" w:cs="Times New Roman"/>
        </w:rPr>
        <w:lastRenderedPageBreak/>
        <w:t>https://www.ncbi.nlm.nih.gov/pmc/articles/PMC3172958/</w:t>
      </w:r>
    </w:p>
    <w:p w14:paraId="0034914E" w14:textId="77777777" w:rsidR="00A60753" w:rsidRPr="00A60753" w:rsidRDefault="00A60753" w:rsidP="00A60753">
      <w:pPr>
        <w:pStyle w:val="ListParagraph"/>
        <w:rPr>
          <w:rFonts w:ascii="Times New Roman" w:eastAsia="Times New Roman" w:hAnsi="Times New Roman" w:cs="Times New Roman"/>
        </w:rPr>
      </w:pPr>
    </w:p>
    <w:p w14:paraId="3B4BB35F" w14:textId="77777777" w:rsidR="00A60753" w:rsidRPr="00A60753" w:rsidRDefault="00A60753" w:rsidP="00A60753">
      <w:pPr>
        <w:pStyle w:val="ListParagraph"/>
        <w:rPr>
          <w:rFonts w:ascii="Times New Roman" w:eastAsia="Times New Roman" w:hAnsi="Times New Roman" w:cs="Times New Roman"/>
        </w:rPr>
      </w:pPr>
    </w:p>
    <w:p w14:paraId="5EB2EC48" w14:textId="7BB71FCB" w:rsidR="001E03F4" w:rsidRPr="00A60753" w:rsidRDefault="001E03F4" w:rsidP="00A60753">
      <w:pPr>
        <w:pStyle w:val="ListParagraph"/>
        <w:numPr>
          <w:ilvl w:val="0"/>
          <w:numId w:val="2"/>
        </w:numPr>
        <w:rPr>
          <w:rFonts w:ascii="Times New Roman" w:eastAsia="Times New Roman" w:hAnsi="Times New Roman" w:cs="Times New Roman"/>
        </w:rPr>
      </w:pPr>
      <w:r w:rsidRPr="00A60753">
        <w:rPr>
          <w:rFonts w:ascii="Arial" w:eastAsia="Times New Roman" w:hAnsi="Arial" w:cs="Arial"/>
          <w:color w:val="000000"/>
          <w:sz w:val="20"/>
          <w:szCs w:val="20"/>
          <w:shd w:val="clear" w:color="auto" w:fill="FFFFFF"/>
        </w:rPr>
        <w:t>Drawing on the content of Modules 3 and 4, identify and briefly explain two problems that arise because young children are not yet competent to consent to participate in clinical research trials.</w:t>
      </w:r>
    </w:p>
    <w:p w14:paraId="638E10E6" w14:textId="77777777" w:rsidR="001E03F4" w:rsidRDefault="001E03F4"/>
    <w:p w14:paraId="29BFC7A8" w14:textId="3D5B5295" w:rsidR="001E03F4" w:rsidRDefault="001E03F4"/>
    <w:p w14:paraId="737BE173" w14:textId="3FC9328D" w:rsidR="001E03F4" w:rsidRPr="006F79C9" w:rsidRDefault="006F79C9">
      <w:pPr>
        <w:rPr>
          <w:rFonts w:ascii="Times New Roman" w:hAnsi="Times New Roman" w:cs="Times New Roman"/>
        </w:rPr>
      </w:pPr>
      <w:r w:rsidRPr="006F79C9">
        <w:rPr>
          <w:rFonts w:ascii="Times New Roman" w:hAnsi="Times New Roman" w:cs="Times New Roman"/>
        </w:rPr>
        <w:t>Depending</w:t>
      </w:r>
      <w:r w:rsidR="008F5FD8" w:rsidRPr="006F79C9">
        <w:rPr>
          <w:rFonts w:ascii="Times New Roman" w:hAnsi="Times New Roman" w:cs="Times New Roman"/>
        </w:rPr>
        <w:t xml:space="preserve"> on age, children may or may not be able to make decisions. </w:t>
      </w:r>
      <w:r w:rsidRPr="006F79C9">
        <w:rPr>
          <w:rFonts w:ascii="Times New Roman" w:hAnsi="Times New Roman" w:cs="Times New Roman"/>
        </w:rPr>
        <w:t>Therefore,</w:t>
      </w:r>
      <w:r w:rsidR="008F5FD8" w:rsidRPr="006F79C9">
        <w:rPr>
          <w:rFonts w:ascii="Times New Roman" w:hAnsi="Times New Roman" w:cs="Times New Roman"/>
        </w:rPr>
        <w:t xml:space="preserve"> </w:t>
      </w:r>
      <w:r w:rsidRPr="006F79C9">
        <w:rPr>
          <w:rFonts w:ascii="Times New Roman" w:hAnsi="Times New Roman" w:cs="Times New Roman"/>
        </w:rPr>
        <w:t>beneficence</w:t>
      </w:r>
      <w:r w:rsidR="008F5FD8" w:rsidRPr="006F79C9">
        <w:rPr>
          <w:rFonts w:ascii="Times New Roman" w:hAnsi="Times New Roman" w:cs="Times New Roman"/>
        </w:rPr>
        <w:t xml:space="preserve"> and non-</w:t>
      </w:r>
      <w:r w:rsidRPr="006F79C9">
        <w:rPr>
          <w:rFonts w:ascii="Times New Roman" w:hAnsi="Times New Roman" w:cs="Times New Roman"/>
        </w:rPr>
        <w:t>maleficence</w:t>
      </w:r>
      <w:r w:rsidR="008F5FD8" w:rsidRPr="006F79C9">
        <w:rPr>
          <w:rFonts w:ascii="Times New Roman" w:hAnsi="Times New Roman" w:cs="Times New Roman"/>
        </w:rPr>
        <w:t xml:space="preserve"> r</w:t>
      </w:r>
      <w:r w:rsidR="002F13F5" w:rsidRPr="006F79C9">
        <w:rPr>
          <w:rFonts w:ascii="Times New Roman" w:hAnsi="Times New Roman" w:cs="Times New Roman"/>
        </w:rPr>
        <w:t xml:space="preserve">ather than respect for autonomy must be guiding </w:t>
      </w:r>
      <w:r w:rsidRPr="006F79C9">
        <w:rPr>
          <w:rFonts w:ascii="Times New Roman" w:hAnsi="Times New Roman" w:cs="Times New Roman"/>
        </w:rPr>
        <w:t>principles</w:t>
      </w:r>
      <w:r w:rsidR="002F13F5" w:rsidRPr="006F79C9">
        <w:rPr>
          <w:rFonts w:ascii="Times New Roman" w:hAnsi="Times New Roman" w:cs="Times New Roman"/>
        </w:rPr>
        <w:t xml:space="preserve"> in making decisions for the child. The approach should be child-</w:t>
      </w:r>
      <w:r w:rsidRPr="006F79C9">
        <w:rPr>
          <w:rFonts w:ascii="Times New Roman" w:hAnsi="Times New Roman" w:cs="Times New Roman"/>
        </w:rPr>
        <w:t>centred,</w:t>
      </w:r>
      <w:r w:rsidR="002F13F5" w:rsidRPr="006F79C9">
        <w:rPr>
          <w:rFonts w:ascii="Times New Roman" w:hAnsi="Times New Roman" w:cs="Times New Roman"/>
        </w:rPr>
        <w:t xml:space="preserve"> and age appropriate </w:t>
      </w:r>
      <w:r w:rsidRPr="006F79C9">
        <w:rPr>
          <w:rFonts w:ascii="Times New Roman" w:hAnsi="Times New Roman" w:cs="Times New Roman"/>
        </w:rPr>
        <w:t>languages</w:t>
      </w:r>
      <w:r w:rsidR="002F13F5" w:rsidRPr="006F79C9">
        <w:rPr>
          <w:rFonts w:ascii="Times New Roman" w:hAnsi="Times New Roman" w:cs="Times New Roman"/>
        </w:rPr>
        <w:t xml:space="preserve"> should be used when explaining the trial. Guidance decisions should be guided by the child’s best </w:t>
      </w:r>
      <w:r w:rsidRPr="006F79C9">
        <w:rPr>
          <w:rFonts w:ascii="Times New Roman" w:hAnsi="Times New Roman" w:cs="Times New Roman"/>
        </w:rPr>
        <w:t>interest</w:t>
      </w:r>
      <w:r w:rsidR="002F13F5" w:rsidRPr="006F79C9">
        <w:rPr>
          <w:rFonts w:ascii="Times New Roman" w:hAnsi="Times New Roman" w:cs="Times New Roman"/>
        </w:rPr>
        <w:t xml:space="preserve">. Two problems that arise because children are not yet </w:t>
      </w:r>
      <w:r w:rsidRPr="006F79C9">
        <w:rPr>
          <w:rFonts w:ascii="Times New Roman" w:hAnsi="Times New Roman" w:cs="Times New Roman"/>
        </w:rPr>
        <w:t>competent</w:t>
      </w:r>
      <w:r w:rsidR="002F13F5" w:rsidRPr="006F79C9">
        <w:rPr>
          <w:rFonts w:ascii="Times New Roman" w:hAnsi="Times New Roman" w:cs="Times New Roman"/>
        </w:rPr>
        <w:t xml:space="preserve"> to consent is the safety of the child</w:t>
      </w:r>
      <w:r w:rsidR="00CF5C8D">
        <w:rPr>
          <w:rFonts w:ascii="Times New Roman" w:hAnsi="Times New Roman" w:cs="Times New Roman"/>
        </w:rPr>
        <w:t xml:space="preserve"> and the parent consenting for a child with a neurological deficit</w:t>
      </w:r>
      <w:r w:rsidR="002F13F5" w:rsidRPr="006F79C9">
        <w:rPr>
          <w:rFonts w:ascii="Times New Roman" w:hAnsi="Times New Roman" w:cs="Times New Roman"/>
        </w:rPr>
        <w:t>. One problem is the saftey of the child</w:t>
      </w:r>
      <w:r w:rsidRPr="006F79C9">
        <w:rPr>
          <w:rFonts w:ascii="Times New Roman" w:hAnsi="Times New Roman" w:cs="Times New Roman"/>
        </w:rPr>
        <w:t xml:space="preserve">. Some trials are non-therapuetic which means that the outcome of the trial is unknown and could potentially put the child’s life at risk. An example is in the video “Drug Testing on Children” a patient had a heart condition and was enrolled in a clinical trial that inserted a pacemaker. The patient continued this trial for four out of five years before the patient’s condition worsened. The patient was refused and discouraged from seeking other forms of treatment by the clinical investigator and the patient ended up having a cardiac arrest a few days after being refused to seek treatment elsewhere. Another issue is obtaining the consent for a child who is not old enough or has a neurological deficit. In most cases it is the parent that consents to the clinical trials depending on the child’s age and it is not always known whether the parent has the best interest for the child. This is a huge issue especially when it comes to the child’s saftey is the trial is a high-risk trial. </w:t>
      </w:r>
    </w:p>
    <w:p w14:paraId="08D2E63A" w14:textId="5C135B90" w:rsidR="002F13F5" w:rsidRDefault="002F13F5"/>
    <w:p w14:paraId="6DAC86AA" w14:textId="0A36D620" w:rsidR="006F79C9" w:rsidRDefault="006F79C9">
      <w:r>
        <w:t>Religion &amp; Ethics NewsWeekly. (2002, January 18). Retrieved from</w:t>
      </w:r>
    </w:p>
    <w:p w14:paraId="74C13CE0" w14:textId="7CC88A78" w:rsidR="006F79C9" w:rsidRDefault="005028EB">
      <w:r w:rsidRPr="005028EB">
        <w:t>https://www.pbs.org/video/religion-and-ethics-newsweekly-drug-testing-children/</w:t>
      </w:r>
    </w:p>
    <w:p w14:paraId="5C629CAA" w14:textId="4E2112EE" w:rsidR="002F13F5" w:rsidRDefault="002F13F5"/>
    <w:p w14:paraId="693C7D33" w14:textId="77777777" w:rsidR="0074424C" w:rsidRDefault="0074424C"/>
    <w:sectPr w:rsidR="0074424C" w:rsidSect="00C079C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F084DA" w14:textId="77777777" w:rsidR="000E2D68" w:rsidRDefault="000E2D68" w:rsidP="00A60753">
      <w:r>
        <w:separator/>
      </w:r>
    </w:p>
  </w:endnote>
  <w:endnote w:type="continuationSeparator" w:id="0">
    <w:p w14:paraId="6CDE2B43" w14:textId="77777777" w:rsidR="000E2D68" w:rsidRDefault="000E2D68" w:rsidP="00A60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31BBAE" w14:textId="77777777" w:rsidR="000E2D68" w:rsidRDefault="000E2D68" w:rsidP="00A60753">
      <w:r>
        <w:separator/>
      </w:r>
    </w:p>
  </w:footnote>
  <w:footnote w:type="continuationSeparator" w:id="0">
    <w:p w14:paraId="52373607" w14:textId="77777777" w:rsidR="000E2D68" w:rsidRDefault="000E2D68" w:rsidP="00A60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53D1D" w14:textId="2BE6F1FC" w:rsidR="00A60753" w:rsidRDefault="00A60753">
    <w:pPr>
      <w:pStyle w:val="Header"/>
    </w:pPr>
    <w:r w:rsidRPr="00A60753">
      <w:t>PHIL-2390H Quiz # 2</w:t>
    </w:r>
    <w:r>
      <w:t xml:space="preserve"> </w:t>
    </w:r>
    <w:r>
      <w:tab/>
    </w:r>
    <w:r>
      <w:br/>
      <w:t xml:space="preserve">May 2020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E92D8F"/>
    <w:multiLevelType w:val="hybridMultilevel"/>
    <w:tmpl w:val="51F81CF4"/>
    <w:lvl w:ilvl="0" w:tplc="1F961C42">
      <w:start w:val="1"/>
      <w:numFmt w:val="decimal"/>
      <w:lvlText w:val="%1)"/>
      <w:lvlJc w:val="left"/>
      <w:pPr>
        <w:ind w:left="720" w:hanging="360"/>
      </w:pPr>
      <w:rPr>
        <w:rFonts w:ascii="Arial" w:hAnsi="Arial" w:cs="Arial" w:hint="default"/>
        <w:color w:val="000000"/>
        <w:sz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4D05947"/>
    <w:multiLevelType w:val="hybridMultilevel"/>
    <w:tmpl w:val="386E5DC8"/>
    <w:lvl w:ilvl="0" w:tplc="F318A414">
      <w:start w:val="114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F4"/>
    <w:rsid w:val="000E2D68"/>
    <w:rsid w:val="001E03F4"/>
    <w:rsid w:val="00265686"/>
    <w:rsid w:val="0028599F"/>
    <w:rsid w:val="002F13F5"/>
    <w:rsid w:val="003118F6"/>
    <w:rsid w:val="003A14CE"/>
    <w:rsid w:val="005028EB"/>
    <w:rsid w:val="00685CEC"/>
    <w:rsid w:val="006F79C9"/>
    <w:rsid w:val="0074424C"/>
    <w:rsid w:val="007A4B38"/>
    <w:rsid w:val="008F5FD8"/>
    <w:rsid w:val="00A60753"/>
    <w:rsid w:val="00C079C4"/>
    <w:rsid w:val="00CF5C8D"/>
    <w:rsid w:val="00FB30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CC788"/>
  <w15:chartTrackingRefBased/>
  <w15:docId w15:val="{E0887099-46E9-864D-A45B-24052301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E03F4"/>
  </w:style>
  <w:style w:type="paragraph" w:styleId="ListParagraph">
    <w:name w:val="List Paragraph"/>
    <w:basedOn w:val="Normal"/>
    <w:uiPriority w:val="34"/>
    <w:qFormat/>
    <w:rsid w:val="002F13F5"/>
    <w:pPr>
      <w:ind w:left="720"/>
      <w:contextualSpacing/>
    </w:pPr>
  </w:style>
  <w:style w:type="character" w:styleId="Hyperlink">
    <w:name w:val="Hyperlink"/>
    <w:basedOn w:val="DefaultParagraphFont"/>
    <w:uiPriority w:val="99"/>
    <w:unhideWhenUsed/>
    <w:rsid w:val="00A60753"/>
    <w:rPr>
      <w:color w:val="0563C1" w:themeColor="hyperlink"/>
      <w:u w:val="single"/>
    </w:rPr>
  </w:style>
  <w:style w:type="character" w:styleId="UnresolvedMention">
    <w:name w:val="Unresolved Mention"/>
    <w:basedOn w:val="DefaultParagraphFont"/>
    <w:uiPriority w:val="99"/>
    <w:semiHidden/>
    <w:unhideWhenUsed/>
    <w:rsid w:val="00A60753"/>
    <w:rPr>
      <w:color w:val="605E5C"/>
      <w:shd w:val="clear" w:color="auto" w:fill="E1DFDD"/>
    </w:rPr>
  </w:style>
  <w:style w:type="paragraph" w:styleId="Header">
    <w:name w:val="header"/>
    <w:basedOn w:val="Normal"/>
    <w:link w:val="HeaderChar"/>
    <w:uiPriority w:val="99"/>
    <w:unhideWhenUsed/>
    <w:rsid w:val="00A60753"/>
    <w:pPr>
      <w:tabs>
        <w:tab w:val="center" w:pos="4680"/>
        <w:tab w:val="right" w:pos="9360"/>
      </w:tabs>
    </w:pPr>
  </w:style>
  <w:style w:type="character" w:customStyle="1" w:styleId="HeaderChar">
    <w:name w:val="Header Char"/>
    <w:basedOn w:val="DefaultParagraphFont"/>
    <w:link w:val="Header"/>
    <w:uiPriority w:val="99"/>
    <w:rsid w:val="00A60753"/>
  </w:style>
  <w:style w:type="paragraph" w:styleId="Footer">
    <w:name w:val="footer"/>
    <w:basedOn w:val="Normal"/>
    <w:link w:val="FooterChar"/>
    <w:uiPriority w:val="99"/>
    <w:unhideWhenUsed/>
    <w:rsid w:val="00A60753"/>
    <w:pPr>
      <w:tabs>
        <w:tab w:val="center" w:pos="4680"/>
        <w:tab w:val="right" w:pos="9360"/>
      </w:tabs>
    </w:pPr>
  </w:style>
  <w:style w:type="character" w:customStyle="1" w:styleId="FooterChar">
    <w:name w:val="Footer Char"/>
    <w:basedOn w:val="DefaultParagraphFont"/>
    <w:link w:val="Footer"/>
    <w:uiPriority w:val="99"/>
    <w:rsid w:val="00A60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977194">
      <w:bodyDiv w:val="1"/>
      <w:marLeft w:val="0"/>
      <w:marRight w:val="0"/>
      <w:marTop w:val="0"/>
      <w:marBottom w:val="0"/>
      <w:divBdr>
        <w:top w:val="none" w:sz="0" w:space="0" w:color="auto"/>
        <w:left w:val="none" w:sz="0" w:space="0" w:color="auto"/>
        <w:bottom w:val="none" w:sz="0" w:space="0" w:color="auto"/>
        <w:right w:val="none" w:sz="0" w:space="0" w:color="auto"/>
      </w:divBdr>
    </w:div>
    <w:div w:id="620068782">
      <w:bodyDiv w:val="1"/>
      <w:marLeft w:val="0"/>
      <w:marRight w:val="0"/>
      <w:marTop w:val="0"/>
      <w:marBottom w:val="0"/>
      <w:divBdr>
        <w:top w:val="none" w:sz="0" w:space="0" w:color="auto"/>
        <w:left w:val="none" w:sz="0" w:space="0" w:color="auto"/>
        <w:bottom w:val="none" w:sz="0" w:space="0" w:color="auto"/>
        <w:right w:val="none" w:sz="0" w:space="0" w:color="auto"/>
      </w:divBdr>
    </w:div>
    <w:div w:id="1453942359">
      <w:bodyDiv w:val="1"/>
      <w:marLeft w:val="0"/>
      <w:marRight w:val="0"/>
      <w:marTop w:val="0"/>
      <w:marBottom w:val="0"/>
      <w:divBdr>
        <w:top w:val="none" w:sz="0" w:space="0" w:color="auto"/>
        <w:left w:val="none" w:sz="0" w:space="0" w:color="auto"/>
        <w:bottom w:val="none" w:sz="0" w:space="0" w:color="auto"/>
        <w:right w:val="none" w:sz="0" w:space="0" w:color="auto"/>
      </w:divBdr>
    </w:div>
    <w:div w:id="1583680858">
      <w:bodyDiv w:val="1"/>
      <w:marLeft w:val="0"/>
      <w:marRight w:val="0"/>
      <w:marTop w:val="0"/>
      <w:marBottom w:val="0"/>
      <w:divBdr>
        <w:top w:val="none" w:sz="0" w:space="0" w:color="auto"/>
        <w:left w:val="none" w:sz="0" w:space="0" w:color="auto"/>
        <w:bottom w:val="none" w:sz="0" w:space="0" w:color="auto"/>
        <w:right w:val="none" w:sz="0" w:space="0" w:color="auto"/>
      </w:divBdr>
    </w:div>
    <w:div w:id="179316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2</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Filsan Farah</dc:creator>
  <cp:keywords/>
  <dc:description/>
  <cp:lastModifiedBy>Owner</cp:lastModifiedBy>
  <cp:revision>3</cp:revision>
  <dcterms:created xsi:type="dcterms:W3CDTF">2020-05-22T18:44:00Z</dcterms:created>
  <dcterms:modified xsi:type="dcterms:W3CDTF">2020-06-20T11:20:00Z</dcterms:modified>
</cp:coreProperties>
</file>