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40E5" w:rsidRDefault="00BF40E5" w:rsidP="00107E7B">
      <w:pPr>
        <w:spacing w:line="240" w:lineRule="auto"/>
      </w:pPr>
      <w:r w:rsidRPr="003A0BBF">
        <w:rPr>
          <w:b/>
        </w:rPr>
        <w:t xml:space="preserve">Def </w:t>
      </w:r>
      <w:proofErr w:type="spellStart"/>
      <w:r w:rsidRPr="003A0BBF">
        <w:rPr>
          <w:b/>
        </w:rPr>
        <w:t>Liab</w:t>
      </w:r>
      <w:proofErr w:type="spellEnd"/>
      <w:r>
        <w:t xml:space="preserve">: Obligation of an enterprise; arising from past </w:t>
      </w:r>
      <w:proofErr w:type="spellStart"/>
      <w:r>
        <w:t>transac</w:t>
      </w:r>
      <w:proofErr w:type="spellEnd"/>
      <w:r>
        <w:t xml:space="preserve"> or events; the settlement of which</w:t>
      </w:r>
      <w:r w:rsidRPr="00BF40E5">
        <w:rPr>
          <w:color w:val="FF0000"/>
          <w:u w:val="single"/>
        </w:rPr>
        <w:t xml:space="preserve"> may</w:t>
      </w:r>
      <w:r w:rsidRPr="00BF40E5">
        <w:rPr>
          <w:color w:val="FF0000"/>
        </w:rPr>
        <w:t xml:space="preserve"> </w:t>
      </w:r>
      <w:r>
        <w:t xml:space="preserve">result the use of our assets, provision of service or other yielding of economic </w:t>
      </w:r>
      <w:proofErr w:type="spellStart"/>
      <w:r>
        <w:t>benf</w:t>
      </w:r>
      <w:proofErr w:type="spellEnd"/>
      <w:r>
        <w:t xml:space="preserve"> in the future.</w:t>
      </w:r>
    </w:p>
    <w:p w:rsidR="00BF40E5" w:rsidRDefault="00BF40E5" w:rsidP="00107E7B">
      <w:pPr>
        <w:spacing w:line="240" w:lineRule="auto"/>
      </w:pPr>
      <w:r w:rsidRPr="003A0BBF">
        <w:rPr>
          <w:b/>
        </w:rPr>
        <w:t xml:space="preserve">Def Financial </w:t>
      </w:r>
      <w:proofErr w:type="spellStart"/>
      <w:r>
        <w:t>liab</w:t>
      </w:r>
      <w:proofErr w:type="spellEnd"/>
      <w:r>
        <w:t xml:space="preserve">: </w:t>
      </w:r>
      <w:r w:rsidR="003A0BBF">
        <w:t>it’s a contractual obligation that either</w:t>
      </w:r>
    </w:p>
    <w:p w:rsidR="003A0BBF" w:rsidRDefault="003A0BBF" w:rsidP="00107E7B">
      <w:pPr>
        <w:pStyle w:val="Paragraphedeliste"/>
        <w:numPr>
          <w:ilvl w:val="0"/>
          <w:numId w:val="1"/>
        </w:numPr>
        <w:spacing w:line="240" w:lineRule="auto"/>
      </w:pPr>
      <w:r>
        <w:t xml:space="preserve">Deliver cash or other financial asset to another party </w:t>
      </w:r>
    </w:p>
    <w:p w:rsidR="003A0BBF" w:rsidRDefault="003A0BBF" w:rsidP="00107E7B">
      <w:pPr>
        <w:pStyle w:val="Paragraphedeliste"/>
        <w:numPr>
          <w:ilvl w:val="0"/>
          <w:numId w:val="1"/>
        </w:numPr>
        <w:spacing w:line="240" w:lineRule="auto"/>
      </w:pPr>
      <w:r>
        <w:t xml:space="preserve">To exchange financial instruments with another party under condition that may be unfavorable to us </w:t>
      </w:r>
    </w:p>
    <w:p w:rsidR="003A0BBF" w:rsidRDefault="003A0BBF" w:rsidP="00107E7B">
      <w:pPr>
        <w:spacing w:line="240" w:lineRule="auto"/>
        <w:rPr>
          <w:b/>
        </w:rPr>
      </w:pPr>
      <w:r w:rsidRPr="003A0BBF">
        <w:rPr>
          <w:b/>
        </w:rPr>
        <w:t xml:space="preserve">Measurement of Financial </w:t>
      </w:r>
      <w:proofErr w:type="spellStart"/>
      <w:r w:rsidRPr="003A0BBF">
        <w:rPr>
          <w:b/>
        </w:rPr>
        <w:t>liab</w:t>
      </w:r>
      <w:proofErr w:type="spellEnd"/>
      <w:r w:rsidRPr="003A0BBF">
        <w:rPr>
          <w:b/>
        </w:rPr>
        <w:t xml:space="preserve"> and non-financial </w:t>
      </w:r>
      <w:proofErr w:type="spellStart"/>
      <w:r w:rsidRPr="003A0BBF">
        <w:rPr>
          <w:b/>
        </w:rPr>
        <w:t>liab</w:t>
      </w:r>
      <w:proofErr w:type="spellEnd"/>
    </w:p>
    <w:p w:rsidR="00032B0A" w:rsidRPr="003A0BBF" w:rsidRDefault="00E82517" w:rsidP="00107E7B">
      <w:pPr>
        <w:numPr>
          <w:ilvl w:val="0"/>
          <w:numId w:val="2"/>
        </w:numPr>
        <w:spacing w:line="240" w:lineRule="auto"/>
      </w:pPr>
      <w:r w:rsidRPr="003A0BBF">
        <w:t>Financial liabilities (FL)</w:t>
      </w:r>
    </w:p>
    <w:p w:rsidR="003A0BBF" w:rsidRDefault="00E82517" w:rsidP="00107E7B">
      <w:pPr>
        <w:numPr>
          <w:ilvl w:val="1"/>
          <w:numId w:val="2"/>
        </w:numPr>
        <w:spacing w:line="240" w:lineRule="auto"/>
      </w:pPr>
      <w:r w:rsidRPr="003A0BBF">
        <w:t>Initially measured at fair value (= PV)</w:t>
      </w:r>
    </w:p>
    <w:p w:rsidR="00032B0A" w:rsidRPr="003A0BBF" w:rsidRDefault="00E82517" w:rsidP="00107E7B">
      <w:pPr>
        <w:numPr>
          <w:ilvl w:val="1"/>
          <w:numId w:val="2"/>
        </w:numPr>
        <w:spacing w:line="240" w:lineRule="auto"/>
      </w:pPr>
      <w:r w:rsidRPr="003A0BBF">
        <w:t>Subsequent measurement generally* at amortized cost [except (</w:t>
      </w:r>
      <w:proofErr w:type="spellStart"/>
      <w:r w:rsidRPr="003A0BBF">
        <w:t>i</w:t>
      </w:r>
      <w:proofErr w:type="spellEnd"/>
      <w:r w:rsidRPr="003A0BBF">
        <w:t>) those held for trading, such as derivative-liabilities, where fair value is used, or (ii) where the irrevocable FV/NI option was applied to the liability upon issuance**].</w:t>
      </w:r>
    </w:p>
    <w:p w:rsidR="00032B0A" w:rsidRPr="003A0BBF" w:rsidRDefault="00E82517" w:rsidP="00107E7B">
      <w:pPr>
        <w:numPr>
          <w:ilvl w:val="0"/>
          <w:numId w:val="2"/>
        </w:numPr>
        <w:spacing w:line="240" w:lineRule="auto"/>
      </w:pPr>
      <w:r w:rsidRPr="003A0BBF">
        <w:t>Non-financial liabilities</w:t>
      </w:r>
    </w:p>
    <w:p w:rsidR="00FE4AFA" w:rsidRDefault="00E82517" w:rsidP="00107E7B">
      <w:pPr>
        <w:numPr>
          <w:ilvl w:val="1"/>
          <w:numId w:val="2"/>
        </w:numPr>
        <w:spacing w:line="240" w:lineRule="auto"/>
      </w:pPr>
      <w:r w:rsidRPr="003A0BBF">
        <w:t>ASPE: no specific measurement standards (measurement varies based on nature of liability)</w:t>
      </w:r>
    </w:p>
    <w:p w:rsidR="003A0BBF" w:rsidRDefault="003A0BBF" w:rsidP="00107E7B">
      <w:pPr>
        <w:numPr>
          <w:ilvl w:val="1"/>
          <w:numId w:val="2"/>
        </w:numPr>
        <w:spacing w:line="240" w:lineRule="auto"/>
      </w:pPr>
      <w:r w:rsidRPr="003A0BBF">
        <w:t xml:space="preserve">IFRS: measured at best </w:t>
      </w:r>
      <w:r w:rsidRPr="00FE4AFA">
        <w:rPr>
          <w:bCs/>
        </w:rPr>
        <w:t>estimate</w:t>
      </w:r>
      <w:r w:rsidRPr="003A0BBF">
        <w:t xml:space="preserve"> of payment that would be required to settle the obligation at balance sheet date</w:t>
      </w:r>
    </w:p>
    <w:p w:rsidR="00FE4AFA" w:rsidRDefault="00FE4AFA" w:rsidP="00107E7B">
      <w:pPr>
        <w:spacing w:line="240" w:lineRule="auto"/>
        <w:rPr>
          <w:b/>
        </w:rPr>
      </w:pPr>
      <w:r w:rsidRPr="00FE4AFA">
        <w:rPr>
          <w:b/>
        </w:rPr>
        <w:t xml:space="preserve">Current </w:t>
      </w:r>
      <w:proofErr w:type="spellStart"/>
      <w:r w:rsidRPr="00FE4AFA">
        <w:rPr>
          <w:b/>
        </w:rPr>
        <w:t>Liab</w:t>
      </w:r>
      <w:proofErr w:type="spellEnd"/>
      <w:r w:rsidRPr="00FE4AFA">
        <w:rPr>
          <w:b/>
        </w:rPr>
        <w:t xml:space="preserve"> </w:t>
      </w:r>
    </w:p>
    <w:p w:rsidR="00032B0A" w:rsidRPr="00FE4AFA" w:rsidRDefault="00E82517" w:rsidP="00107E7B">
      <w:pPr>
        <w:numPr>
          <w:ilvl w:val="1"/>
          <w:numId w:val="3"/>
        </w:numPr>
        <w:spacing w:line="240" w:lineRule="auto"/>
      </w:pPr>
      <w:r w:rsidRPr="00FE4AFA">
        <w:t>Expected to be settled within normal operating cycle</w:t>
      </w:r>
    </w:p>
    <w:p w:rsidR="00032B0A" w:rsidRPr="00FE4AFA" w:rsidRDefault="00E82517" w:rsidP="00107E7B">
      <w:pPr>
        <w:numPr>
          <w:ilvl w:val="1"/>
          <w:numId w:val="3"/>
        </w:numPr>
        <w:spacing w:line="240" w:lineRule="auto"/>
      </w:pPr>
      <w:r w:rsidRPr="00FE4AFA">
        <w:rPr>
          <w:lang w:val="en-CA"/>
        </w:rPr>
        <w:t xml:space="preserve">Financial liabilities classified as </w:t>
      </w:r>
      <w:r w:rsidRPr="00FE4AFA">
        <w:rPr>
          <w:i/>
          <w:iCs/>
          <w:lang w:val="en-CA"/>
        </w:rPr>
        <w:t xml:space="preserve">held for trading </w:t>
      </w:r>
      <w:r w:rsidRPr="00FE4AFA">
        <w:rPr>
          <w:lang w:val="en-CA"/>
        </w:rPr>
        <w:t>in accordance with IFRS 9 Financial Instruments</w:t>
      </w:r>
    </w:p>
    <w:p w:rsidR="00032B0A" w:rsidRPr="00FE4AFA" w:rsidRDefault="00E82517" w:rsidP="00107E7B">
      <w:pPr>
        <w:numPr>
          <w:ilvl w:val="1"/>
          <w:numId w:val="3"/>
        </w:numPr>
        <w:spacing w:line="240" w:lineRule="auto"/>
      </w:pPr>
      <w:r w:rsidRPr="00FE4AFA">
        <w:t>Due within 12 months from the end of the reporting period</w:t>
      </w:r>
    </w:p>
    <w:p w:rsidR="00714311" w:rsidRDefault="00E82517" w:rsidP="00107E7B">
      <w:pPr>
        <w:numPr>
          <w:ilvl w:val="1"/>
          <w:numId w:val="3"/>
        </w:numPr>
        <w:spacing w:line="240" w:lineRule="auto"/>
      </w:pPr>
      <w:r w:rsidRPr="00FE4AFA">
        <w:t>Both of the following do not exist at the date of the statement of financial position: (</w:t>
      </w:r>
      <w:proofErr w:type="spellStart"/>
      <w:r w:rsidRPr="00FE4AFA">
        <w:t>i</w:t>
      </w:r>
      <w:proofErr w:type="spellEnd"/>
      <w:r w:rsidRPr="00FE4AFA">
        <w:t>) an unconditional right to defer settlement for at least 12 months and (ii) an intent to defer settlement for at least 12 months after the date of the statement of financial position (see slides 23 &amp; 24).</w:t>
      </w:r>
    </w:p>
    <w:p w:rsidR="00714311" w:rsidRDefault="00714311" w:rsidP="00107E7B">
      <w:pPr>
        <w:spacing w:line="240" w:lineRule="auto"/>
        <w:rPr>
          <w:b/>
          <w:bCs/>
        </w:rPr>
      </w:pPr>
      <w:r w:rsidRPr="00714311">
        <w:rPr>
          <w:b/>
          <w:bCs/>
        </w:rPr>
        <w:t xml:space="preserve">Current maturities of long term debt </w:t>
      </w:r>
    </w:p>
    <w:p w:rsidR="00714311" w:rsidRDefault="00714311" w:rsidP="00107E7B">
      <w:pPr>
        <w:numPr>
          <w:ilvl w:val="0"/>
          <w:numId w:val="4"/>
        </w:numPr>
        <w:spacing w:line="240" w:lineRule="auto"/>
      </w:pPr>
      <w:r w:rsidRPr="00714311">
        <w:t>T</w:t>
      </w:r>
      <w:r w:rsidRPr="00714311">
        <w:t>he portion of long-term debt maturing within 12 months from the date of the statement of financial position is reported as a current liability</w:t>
      </w:r>
    </w:p>
    <w:p w:rsidR="00714311" w:rsidRPr="00714311" w:rsidRDefault="00714311" w:rsidP="00107E7B">
      <w:pPr>
        <w:numPr>
          <w:ilvl w:val="0"/>
          <w:numId w:val="4"/>
        </w:numPr>
        <w:spacing w:line="240" w:lineRule="auto"/>
      </w:pPr>
      <w:r w:rsidRPr="00714311">
        <w:t>Portions of long-term debts should not be reported as current liabilities if, by contract, they are retired by assets not classified as current assets</w:t>
      </w:r>
    </w:p>
    <w:p w:rsidR="00714311" w:rsidRPr="00714311" w:rsidRDefault="00714311" w:rsidP="00107E7B">
      <w:pPr>
        <w:numPr>
          <w:ilvl w:val="0"/>
          <w:numId w:val="4"/>
        </w:numPr>
        <w:spacing w:line="240" w:lineRule="auto"/>
      </w:pPr>
      <w:r w:rsidRPr="00714311">
        <w:t xml:space="preserve">A long-term liability with a measurable </w:t>
      </w:r>
      <w:proofErr w:type="spellStart"/>
      <w:r w:rsidRPr="00714311">
        <w:t>convenant</w:t>
      </w:r>
      <w:proofErr w:type="spellEnd"/>
      <w:r w:rsidRPr="00714311">
        <w:t xml:space="preserve"> violation that causes the liability to be due/payable on demand is reported as a current liability (IAS 1.74)</w:t>
      </w:r>
    </w:p>
    <w:p w:rsidR="00FE4AFA" w:rsidRDefault="00AB66D8" w:rsidP="00107E7B">
      <w:pPr>
        <w:spacing w:line="240" w:lineRule="auto"/>
        <w:rPr>
          <w:b/>
          <w:bCs/>
        </w:rPr>
      </w:pPr>
      <w:r>
        <w:rPr>
          <w:b/>
          <w:bCs/>
        </w:rPr>
        <w:t xml:space="preserve">Short Term Debt Expected to </w:t>
      </w:r>
      <w:proofErr w:type="spellStart"/>
      <w:r>
        <w:rPr>
          <w:b/>
          <w:bCs/>
        </w:rPr>
        <w:t>b</w:t>
      </w:r>
      <w:proofErr w:type="spellEnd"/>
      <w:r>
        <w:rPr>
          <w:b/>
          <w:bCs/>
        </w:rPr>
        <w:t xml:space="preserve"> refinanced </w:t>
      </w:r>
      <w:r w:rsidR="00107E7B">
        <w:rPr>
          <w:b/>
          <w:bCs/>
        </w:rPr>
        <w:t xml:space="preserve"> E13-8</w:t>
      </w:r>
    </w:p>
    <w:p w:rsidR="00AB66D8" w:rsidRPr="00AB66D8" w:rsidRDefault="00AB66D8" w:rsidP="00107E7B">
      <w:pPr>
        <w:numPr>
          <w:ilvl w:val="0"/>
          <w:numId w:val="5"/>
        </w:numPr>
        <w:spacing w:line="240" w:lineRule="auto"/>
      </w:pPr>
      <w:r w:rsidRPr="00AB66D8">
        <w:t xml:space="preserve">IFRS has more stringent rules than ASPE </w:t>
      </w:r>
    </w:p>
    <w:p w:rsidR="00AB66D8" w:rsidRPr="00AB66D8" w:rsidRDefault="00AB66D8" w:rsidP="00107E7B">
      <w:pPr>
        <w:numPr>
          <w:ilvl w:val="0"/>
          <w:numId w:val="5"/>
        </w:numPr>
        <w:spacing w:line="240" w:lineRule="auto"/>
      </w:pPr>
      <w:r w:rsidRPr="00AB66D8">
        <w:lastRenderedPageBreak/>
        <w:t>Under IFRS (see slide 11’s #4), debt due within 12 months of the balance sheet date is classified as current at the balance sheet date, unless at the balance sheet date the company has the intent and a right (under existing contract, and solely in its discretion: i.e. an unconditional right) to refinance with long-term debt (IAS 1.72)</w:t>
      </w:r>
    </w:p>
    <w:p w:rsidR="00AB66D8" w:rsidRPr="00AB66D8" w:rsidRDefault="00AB66D8" w:rsidP="00107E7B">
      <w:pPr>
        <w:numPr>
          <w:ilvl w:val="0"/>
          <w:numId w:val="5"/>
        </w:numPr>
        <w:spacing w:line="240" w:lineRule="auto"/>
      </w:pPr>
      <w:r w:rsidRPr="00AB66D8">
        <w:t>Under ASPE 1510, currently maturing debt can be classified as long-term at the balance sheet date if there is irrefutable evidence at time of issuing the financial statements that the debt</w:t>
      </w:r>
    </w:p>
    <w:p w:rsidR="00AB66D8" w:rsidRPr="00AB66D8" w:rsidRDefault="00AB66D8" w:rsidP="00107E7B">
      <w:pPr>
        <w:numPr>
          <w:ilvl w:val="1"/>
          <w:numId w:val="5"/>
        </w:numPr>
        <w:spacing w:line="240" w:lineRule="auto"/>
      </w:pPr>
      <w:r w:rsidRPr="00AB66D8">
        <w:t>(</w:t>
      </w:r>
      <w:proofErr w:type="spellStart"/>
      <w:r w:rsidRPr="00AB66D8">
        <w:t>i</w:t>
      </w:r>
      <w:proofErr w:type="spellEnd"/>
      <w:r w:rsidRPr="00AB66D8">
        <w:t xml:space="preserve">) has been, </w:t>
      </w:r>
      <w:r w:rsidRPr="00AB66D8">
        <w:rPr>
          <w:u w:val="single"/>
        </w:rPr>
        <w:t>or</w:t>
      </w:r>
      <w:r w:rsidRPr="00AB66D8">
        <w:t xml:space="preserve"> (ii) will be </w:t>
      </w:r>
    </w:p>
    <w:p w:rsidR="00AB66D8" w:rsidRPr="00AB66D8" w:rsidRDefault="00AB66D8" w:rsidP="00107E7B">
      <w:pPr>
        <w:numPr>
          <w:ilvl w:val="2"/>
          <w:numId w:val="5"/>
        </w:numPr>
        <w:spacing w:line="240" w:lineRule="auto"/>
        <w:rPr>
          <w:lang w:val="fr-CA"/>
        </w:rPr>
      </w:pPr>
      <w:r w:rsidRPr="00AB66D8">
        <w:t xml:space="preserve">(a) replaced by, or </w:t>
      </w:r>
      <w:r w:rsidRPr="00AB66D8">
        <w:tab/>
      </w:r>
    </w:p>
    <w:p w:rsidR="00AB66D8" w:rsidRPr="00AB66D8" w:rsidRDefault="00AB66D8" w:rsidP="00107E7B">
      <w:pPr>
        <w:numPr>
          <w:ilvl w:val="2"/>
          <w:numId w:val="5"/>
        </w:numPr>
        <w:spacing w:line="240" w:lineRule="auto"/>
      </w:pPr>
      <w:r w:rsidRPr="00AB66D8">
        <w:t>(b) converted to, long-term debt or the company’s own share capital</w:t>
      </w:r>
    </w:p>
    <w:p w:rsidR="00AB66D8" w:rsidRDefault="00107E7B" w:rsidP="00107E7B">
      <w:pPr>
        <w:spacing w:line="240" w:lineRule="auto"/>
        <w:ind w:left="1440"/>
        <w:rPr>
          <w:b/>
          <w:bCs/>
        </w:rPr>
      </w:pPr>
      <w:r>
        <w:rPr>
          <w:b/>
          <w:bCs/>
        </w:rPr>
        <w:t>Customer advance and deposit  E13-4</w:t>
      </w:r>
    </w:p>
    <w:p w:rsidR="00107E7B" w:rsidRPr="00107E7B" w:rsidRDefault="00107E7B" w:rsidP="00107E7B">
      <w:pPr>
        <w:pStyle w:val="Paragraphedeliste"/>
        <w:numPr>
          <w:ilvl w:val="2"/>
          <w:numId w:val="2"/>
        </w:numPr>
      </w:pPr>
      <w:r w:rsidRPr="00107E7B">
        <w:t>Customers may pay deposits that guarantee the payment of expected future obligations (FL) or the performance of a future service (Non FL)</w:t>
      </w:r>
    </w:p>
    <w:p w:rsidR="00107E7B" w:rsidRPr="00107E7B" w:rsidRDefault="00107E7B" w:rsidP="00107E7B">
      <w:pPr>
        <w:pStyle w:val="Paragraphedeliste"/>
        <w:numPr>
          <w:ilvl w:val="2"/>
          <w:numId w:val="2"/>
        </w:numPr>
      </w:pPr>
      <w:r w:rsidRPr="00107E7B">
        <w:t>They are classified as either current or non-current liabilities depending on the specific conditions attached to the deposit</w:t>
      </w:r>
    </w:p>
    <w:p w:rsidR="00107E7B" w:rsidRPr="00107E7B" w:rsidRDefault="00107E7B" w:rsidP="00107E7B">
      <w:pPr>
        <w:spacing w:line="240" w:lineRule="auto"/>
        <w:ind w:left="1800"/>
        <w:rPr>
          <w:b/>
          <w:bCs/>
        </w:rPr>
      </w:pPr>
      <w:r>
        <w:rPr>
          <w:b/>
          <w:bCs/>
        </w:rPr>
        <w:t xml:space="preserve">Employee related </w:t>
      </w:r>
      <w:proofErr w:type="spellStart"/>
      <w:r>
        <w:rPr>
          <w:b/>
          <w:bCs/>
        </w:rPr>
        <w:t>Liab</w:t>
      </w:r>
      <w:proofErr w:type="spellEnd"/>
      <w:r>
        <w:rPr>
          <w:b/>
          <w:bCs/>
        </w:rPr>
        <w:t xml:space="preserve"> </w:t>
      </w:r>
      <w:bookmarkStart w:id="0" w:name="_GoBack"/>
      <w:bookmarkEnd w:id="0"/>
    </w:p>
    <w:sectPr w:rsidR="00107E7B" w:rsidRPr="00107E7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2794" w:rsidRDefault="00832794" w:rsidP="003A0BBF">
      <w:pPr>
        <w:spacing w:after="0" w:line="240" w:lineRule="auto"/>
      </w:pPr>
      <w:r>
        <w:separator/>
      </w:r>
    </w:p>
  </w:endnote>
  <w:endnote w:type="continuationSeparator" w:id="0">
    <w:p w:rsidR="00832794" w:rsidRDefault="00832794" w:rsidP="003A0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2794" w:rsidRDefault="00832794" w:rsidP="003A0BBF">
      <w:pPr>
        <w:spacing w:after="0" w:line="240" w:lineRule="auto"/>
      </w:pPr>
      <w:r>
        <w:separator/>
      </w:r>
    </w:p>
  </w:footnote>
  <w:footnote w:type="continuationSeparator" w:id="0">
    <w:p w:rsidR="00832794" w:rsidRDefault="00832794" w:rsidP="003A0B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0BBF" w:rsidRPr="003A0BBF" w:rsidRDefault="003A0BBF" w:rsidP="003A0BBF">
    <w:pPr>
      <w:pStyle w:val="En-tte"/>
      <w:pBdr>
        <w:bottom w:val="single" w:sz="4" w:space="1" w:color="auto"/>
      </w:pBdr>
      <w:jc w:val="center"/>
      <w:rPr>
        <w:b/>
        <w:sz w:val="36"/>
        <w:szCs w:val="36"/>
      </w:rPr>
    </w:pPr>
    <w:r w:rsidRPr="003A0BBF">
      <w:rPr>
        <w:b/>
        <w:sz w:val="36"/>
        <w:szCs w:val="36"/>
      </w:rPr>
      <w:t>Chapter 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417F4"/>
    <w:multiLevelType w:val="hybridMultilevel"/>
    <w:tmpl w:val="4E08FE54"/>
    <w:lvl w:ilvl="0" w:tplc="62246B2A">
      <w:start w:val="1"/>
      <w:numFmt w:val="bullet"/>
      <w:lvlText w:val="•"/>
      <w:lvlJc w:val="left"/>
      <w:pPr>
        <w:tabs>
          <w:tab w:val="num" w:pos="720"/>
        </w:tabs>
        <w:ind w:left="720" w:hanging="360"/>
      </w:pPr>
      <w:rPr>
        <w:rFonts w:ascii="Arial" w:hAnsi="Arial" w:hint="default"/>
      </w:rPr>
    </w:lvl>
    <w:lvl w:ilvl="1" w:tplc="863E7BF4">
      <w:numFmt w:val="bullet"/>
      <w:lvlText w:val="–"/>
      <w:lvlJc w:val="left"/>
      <w:pPr>
        <w:tabs>
          <w:tab w:val="num" w:pos="1440"/>
        </w:tabs>
        <w:ind w:left="1440" w:hanging="360"/>
      </w:pPr>
      <w:rPr>
        <w:rFonts w:ascii="Arial" w:hAnsi="Arial" w:hint="default"/>
      </w:rPr>
    </w:lvl>
    <w:lvl w:ilvl="2" w:tplc="AAA4CEE0">
      <w:start w:val="13"/>
      <w:numFmt w:val="bullet"/>
      <w:lvlText w:val="-"/>
      <w:lvlJc w:val="left"/>
      <w:pPr>
        <w:ind w:left="2160" w:hanging="360"/>
      </w:pPr>
      <w:rPr>
        <w:rFonts w:ascii="Calibri" w:eastAsiaTheme="minorHAnsi" w:hAnsi="Calibri" w:cs="Calibri" w:hint="default"/>
      </w:rPr>
    </w:lvl>
    <w:lvl w:ilvl="3" w:tplc="11727ED6" w:tentative="1">
      <w:start w:val="1"/>
      <w:numFmt w:val="bullet"/>
      <w:lvlText w:val="•"/>
      <w:lvlJc w:val="left"/>
      <w:pPr>
        <w:tabs>
          <w:tab w:val="num" w:pos="2880"/>
        </w:tabs>
        <w:ind w:left="2880" w:hanging="360"/>
      </w:pPr>
      <w:rPr>
        <w:rFonts w:ascii="Arial" w:hAnsi="Arial" w:hint="default"/>
      </w:rPr>
    </w:lvl>
    <w:lvl w:ilvl="4" w:tplc="7454452C" w:tentative="1">
      <w:start w:val="1"/>
      <w:numFmt w:val="bullet"/>
      <w:lvlText w:val="•"/>
      <w:lvlJc w:val="left"/>
      <w:pPr>
        <w:tabs>
          <w:tab w:val="num" w:pos="3600"/>
        </w:tabs>
        <w:ind w:left="3600" w:hanging="360"/>
      </w:pPr>
      <w:rPr>
        <w:rFonts w:ascii="Arial" w:hAnsi="Arial" w:hint="default"/>
      </w:rPr>
    </w:lvl>
    <w:lvl w:ilvl="5" w:tplc="FA400D02" w:tentative="1">
      <w:start w:val="1"/>
      <w:numFmt w:val="bullet"/>
      <w:lvlText w:val="•"/>
      <w:lvlJc w:val="left"/>
      <w:pPr>
        <w:tabs>
          <w:tab w:val="num" w:pos="4320"/>
        </w:tabs>
        <w:ind w:left="4320" w:hanging="360"/>
      </w:pPr>
      <w:rPr>
        <w:rFonts w:ascii="Arial" w:hAnsi="Arial" w:hint="default"/>
      </w:rPr>
    </w:lvl>
    <w:lvl w:ilvl="6" w:tplc="7DD4988C" w:tentative="1">
      <w:start w:val="1"/>
      <w:numFmt w:val="bullet"/>
      <w:lvlText w:val="•"/>
      <w:lvlJc w:val="left"/>
      <w:pPr>
        <w:tabs>
          <w:tab w:val="num" w:pos="5040"/>
        </w:tabs>
        <w:ind w:left="5040" w:hanging="360"/>
      </w:pPr>
      <w:rPr>
        <w:rFonts w:ascii="Arial" w:hAnsi="Arial" w:hint="default"/>
      </w:rPr>
    </w:lvl>
    <w:lvl w:ilvl="7" w:tplc="A0929D58" w:tentative="1">
      <w:start w:val="1"/>
      <w:numFmt w:val="bullet"/>
      <w:lvlText w:val="•"/>
      <w:lvlJc w:val="left"/>
      <w:pPr>
        <w:tabs>
          <w:tab w:val="num" w:pos="5760"/>
        </w:tabs>
        <w:ind w:left="5760" w:hanging="360"/>
      </w:pPr>
      <w:rPr>
        <w:rFonts w:ascii="Arial" w:hAnsi="Arial" w:hint="default"/>
      </w:rPr>
    </w:lvl>
    <w:lvl w:ilvl="8" w:tplc="B656A3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0991E08"/>
    <w:multiLevelType w:val="hybridMultilevel"/>
    <w:tmpl w:val="7FCC4CBE"/>
    <w:lvl w:ilvl="0" w:tplc="9BC2EBD6">
      <w:start w:val="1"/>
      <w:numFmt w:val="decimal"/>
      <w:lvlText w:val="%1."/>
      <w:lvlJc w:val="left"/>
      <w:pPr>
        <w:tabs>
          <w:tab w:val="num" w:pos="720"/>
        </w:tabs>
        <w:ind w:left="720" w:hanging="360"/>
      </w:pPr>
    </w:lvl>
    <w:lvl w:ilvl="1" w:tplc="179885BC">
      <w:start w:val="1"/>
      <w:numFmt w:val="decimal"/>
      <w:lvlText w:val="%2."/>
      <w:lvlJc w:val="left"/>
      <w:pPr>
        <w:tabs>
          <w:tab w:val="num" w:pos="1440"/>
        </w:tabs>
        <w:ind w:left="1440" w:hanging="360"/>
      </w:pPr>
    </w:lvl>
    <w:lvl w:ilvl="2" w:tplc="DBD4FC9C" w:tentative="1">
      <w:start w:val="1"/>
      <w:numFmt w:val="decimal"/>
      <w:lvlText w:val="%3."/>
      <w:lvlJc w:val="left"/>
      <w:pPr>
        <w:tabs>
          <w:tab w:val="num" w:pos="2160"/>
        </w:tabs>
        <w:ind w:left="2160" w:hanging="360"/>
      </w:pPr>
    </w:lvl>
    <w:lvl w:ilvl="3" w:tplc="A050A5D6" w:tentative="1">
      <w:start w:val="1"/>
      <w:numFmt w:val="decimal"/>
      <w:lvlText w:val="%4."/>
      <w:lvlJc w:val="left"/>
      <w:pPr>
        <w:tabs>
          <w:tab w:val="num" w:pos="2880"/>
        </w:tabs>
        <w:ind w:left="2880" w:hanging="360"/>
      </w:pPr>
    </w:lvl>
    <w:lvl w:ilvl="4" w:tplc="8460E798" w:tentative="1">
      <w:start w:val="1"/>
      <w:numFmt w:val="decimal"/>
      <w:lvlText w:val="%5."/>
      <w:lvlJc w:val="left"/>
      <w:pPr>
        <w:tabs>
          <w:tab w:val="num" w:pos="3600"/>
        </w:tabs>
        <w:ind w:left="3600" w:hanging="360"/>
      </w:pPr>
    </w:lvl>
    <w:lvl w:ilvl="5" w:tplc="3714585E" w:tentative="1">
      <w:start w:val="1"/>
      <w:numFmt w:val="decimal"/>
      <w:lvlText w:val="%6."/>
      <w:lvlJc w:val="left"/>
      <w:pPr>
        <w:tabs>
          <w:tab w:val="num" w:pos="4320"/>
        </w:tabs>
        <w:ind w:left="4320" w:hanging="360"/>
      </w:pPr>
    </w:lvl>
    <w:lvl w:ilvl="6" w:tplc="97168F36" w:tentative="1">
      <w:start w:val="1"/>
      <w:numFmt w:val="decimal"/>
      <w:lvlText w:val="%7."/>
      <w:lvlJc w:val="left"/>
      <w:pPr>
        <w:tabs>
          <w:tab w:val="num" w:pos="5040"/>
        </w:tabs>
        <w:ind w:left="5040" w:hanging="360"/>
      </w:pPr>
    </w:lvl>
    <w:lvl w:ilvl="7" w:tplc="AABEA830" w:tentative="1">
      <w:start w:val="1"/>
      <w:numFmt w:val="decimal"/>
      <w:lvlText w:val="%8."/>
      <w:lvlJc w:val="left"/>
      <w:pPr>
        <w:tabs>
          <w:tab w:val="num" w:pos="5760"/>
        </w:tabs>
        <w:ind w:left="5760" w:hanging="360"/>
      </w:pPr>
    </w:lvl>
    <w:lvl w:ilvl="8" w:tplc="D0B66184" w:tentative="1">
      <w:start w:val="1"/>
      <w:numFmt w:val="decimal"/>
      <w:lvlText w:val="%9."/>
      <w:lvlJc w:val="left"/>
      <w:pPr>
        <w:tabs>
          <w:tab w:val="num" w:pos="6480"/>
        </w:tabs>
        <w:ind w:left="6480" w:hanging="360"/>
      </w:pPr>
    </w:lvl>
  </w:abstractNum>
  <w:abstractNum w:abstractNumId="2" w15:restartNumberingAfterBreak="0">
    <w:nsid w:val="3A103FB4"/>
    <w:multiLevelType w:val="hybridMultilevel"/>
    <w:tmpl w:val="1B2CB36E"/>
    <w:lvl w:ilvl="0" w:tplc="01627D56">
      <w:start w:val="1"/>
      <w:numFmt w:val="bullet"/>
      <w:lvlText w:val="•"/>
      <w:lvlJc w:val="left"/>
      <w:pPr>
        <w:tabs>
          <w:tab w:val="num" w:pos="720"/>
        </w:tabs>
        <w:ind w:left="720" w:hanging="360"/>
      </w:pPr>
      <w:rPr>
        <w:rFonts w:ascii="Arial" w:hAnsi="Arial" w:hint="default"/>
      </w:rPr>
    </w:lvl>
    <w:lvl w:ilvl="1" w:tplc="CF74241A">
      <w:numFmt w:val="bullet"/>
      <w:lvlText w:val="–"/>
      <w:lvlJc w:val="left"/>
      <w:pPr>
        <w:tabs>
          <w:tab w:val="num" w:pos="1440"/>
        </w:tabs>
        <w:ind w:left="1440" w:hanging="360"/>
      </w:pPr>
      <w:rPr>
        <w:rFonts w:ascii="Arial" w:hAnsi="Arial" w:hint="default"/>
      </w:rPr>
    </w:lvl>
    <w:lvl w:ilvl="2" w:tplc="82C65718">
      <w:numFmt w:val="bullet"/>
      <w:lvlText w:val="•"/>
      <w:lvlJc w:val="left"/>
      <w:pPr>
        <w:tabs>
          <w:tab w:val="num" w:pos="2160"/>
        </w:tabs>
        <w:ind w:left="2160" w:hanging="360"/>
      </w:pPr>
      <w:rPr>
        <w:rFonts w:ascii="Arial" w:hAnsi="Arial" w:hint="default"/>
      </w:rPr>
    </w:lvl>
    <w:lvl w:ilvl="3" w:tplc="870E8E66" w:tentative="1">
      <w:start w:val="1"/>
      <w:numFmt w:val="bullet"/>
      <w:lvlText w:val="•"/>
      <w:lvlJc w:val="left"/>
      <w:pPr>
        <w:tabs>
          <w:tab w:val="num" w:pos="2880"/>
        </w:tabs>
        <w:ind w:left="2880" w:hanging="360"/>
      </w:pPr>
      <w:rPr>
        <w:rFonts w:ascii="Arial" w:hAnsi="Arial" w:hint="default"/>
      </w:rPr>
    </w:lvl>
    <w:lvl w:ilvl="4" w:tplc="462A23CE" w:tentative="1">
      <w:start w:val="1"/>
      <w:numFmt w:val="bullet"/>
      <w:lvlText w:val="•"/>
      <w:lvlJc w:val="left"/>
      <w:pPr>
        <w:tabs>
          <w:tab w:val="num" w:pos="3600"/>
        </w:tabs>
        <w:ind w:left="3600" w:hanging="360"/>
      </w:pPr>
      <w:rPr>
        <w:rFonts w:ascii="Arial" w:hAnsi="Arial" w:hint="default"/>
      </w:rPr>
    </w:lvl>
    <w:lvl w:ilvl="5" w:tplc="102CAF10" w:tentative="1">
      <w:start w:val="1"/>
      <w:numFmt w:val="bullet"/>
      <w:lvlText w:val="•"/>
      <w:lvlJc w:val="left"/>
      <w:pPr>
        <w:tabs>
          <w:tab w:val="num" w:pos="4320"/>
        </w:tabs>
        <w:ind w:left="4320" w:hanging="360"/>
      </w:pPr>
      <w:rPr>
        <w:rFonts w:ascii="Arial" w:hAnsi="Arial" w:hint="default"/>
      </w:rPr>
    </w:lvl>
    <w:lvl w:ilvl="6" w:tplc="696E33C8" w:tentative="1">
      <w:start w:val="1"/>
      <w:numFmt w:val="bullet"/>
      <w:lvlText w:val="•"/>
      <w:lvlJc w:val="left"/>
      <w:pPr>
        <w:tabs>
          <w:tab w:val="num" w:pos="5040"/>
        </w:tabs>
        <w:ind w:left="5040" w:hanging="360"/>
      </w:pPr>
      <w:rPr>
        <w:rFonts w:ascii="Arial" w:hAnsi="Arial" w:hint="default"/>
      </w:rPr>
    </w:lvl>
    <w:lvl w:ilvl="7" w:tplc="FE6AB438" w:tentative="1">
      <w:start w:val="1"/>
      <w:numFmt w:val="bullet"/>
      <w:lvlText w:val="•"/>
      <w:lvlJc w:val="left"/>
      <w:pPr>
        <w:tabs>
          <w:tab w:val="num" w:pos="5760"/>
        </w:tabs>
        <w:ind w:left="5760" w:hanging="360"/>
      </w:pPr>
      <w:rPr>
        <w:rFonts w:ascii="Arial" w:hAnsi="Arial" w:hint="default"/>
      </w:rPr>
    </w:lvl>
    <w:lvl w:ilvl="8" w:tplc="3C3E876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0CC24DA"/>
    <w:multiLevelType w:val="hybridMultilevel"/>
    <w:tmpl w:val="0040D858"/>
    <w:lvl w:ilvl="0" w:tplc="656410F2">
      <w:start w:val="1"/>
      <w:numFmt w:val="bullet"/>
      <w:lvlText w:val="•"/>
      <w:lvlJc w:val="left"/>
      <w:pPr>
        <w:tabs>
          <w:tab w:val="num" w:pos="720"/>
        </w:tabs>
        <w:ind w:left="720" w:hanging="360"/>
      </w:pPr>
      <w:rPr>
        <w:rFonts w:ascii="Arial" w:hAnsi="Arial" w:hint="default"/>
      </w:rPr>
    </w:lvl>
    <w:lvl w:ilvl="1" w:tplc="87CAC5BA" w:tentative="1">
      <w:start w:val="1"/>
      <w:numFmt w:val="bullet"/>
      <w:lvlText w:val="•"/>
      <w:lvlJc w:val="left"/>
      <w:pPr>
        <w:tabs>
          <w:tab w:val="num" w:pos="1440"/>
        </w:tabs>
        <w:ind w:left="1440" w:hanging="360"/>
      </w:pPr>
      <w:rPr>
        <w:rFonts w:ascii="Arial" w:hAnsi="Arial" w:hint="default"/>
      </w:rPr>
    </w:lvl>
    <w:lvl w:ilvl="2" w:tplc="22F6B158" w:tentative="1">
      <w:start w:val="1"/>
      <w:numFmt w:val="bullet"/>
      <w:lvlText w:val="•"/>
      <w:lvlJc w:val="left"/>
      <w:pPr>
        <w:tabs>
          <w:tab w:val="num" w:pos="2160"/>
        </w:tabs>
        <w:ind w:left="2160" w:hanging="360"/>
      </w:pPr>
      <w:rPr>
        <w:rFonts w:ascii="Arial" w:hAnsi="Arial" w:hint="default"/>
      </w:rPr>
    </w:lvl>
    <w:lvl w:ilvl="3" w:tplc="F462F8A6" w:tentative="1">
      <w:start w:val="1"/>
      <w:numFmt w:val="bullet"/>
      <w:lvlText w:val="•"/>
      <w:lvlJc w:val="left"/>
      <w:pPr>
        <w:tabs>
          <w:tab w:val="num" w:pos="2880"/>
        </w:tabs>
        <w:ind w:left="2880" w:hanging="360"/>
      </w:pPr>
      <w:rPr>
        <w:rFonts w:ascii="Arial" w:hAnsi="Arial" w:hint="default"/>
      </w:rPr>
    </w:lvl>
    <w:lvl w:ilvl="4" w:tplc="884093E6" w:tentative="1">
      <w:start w:val="1"/>
      <w:numFmt w:val="bullet"/>
      <w:lvlText w:val="•"/>
      <w:lvlJc w:val="left"/>
      <w:pPr>
        <w:tabs>
          <w:tab w:val="num" w:pos="3600"/>
        </w:tabs>
        <w:ind w:left="3600" w:hanging="360"/>
      </w:pPr>
      <w:rPr>
        <w:rFonts w:ascii="Arial" w:hAnsi="Arial" w:hint="default"/>
      </w:rPr>
    </w:lvl>
    <w:lvl w:ilvl="5" w:tplc="8ACC5A34" w:tentative="1">
      <w:start w:val="1"/>
      <w:numFmt w:val="bullet"/>
      <w:lvlText w:val="•"/>
      <w:lvlJc w:val="left"/>
      <w:pPr>
        <w:tabs>
          <w:tab w:val="num" w:pos="4320"/>
        </w:tabs>
        <w:ind w:left="4320" w:hanging="360"/>
      </w:pPr>
      <w:rPr>
        <w:rFonts w:ascii="Arial" w:hAnsi="Arial" w:hint="default"/>
      </w:rPr>
    </w:lvl>
    <w:lvl w:ilvl="6" w:tplc="EA044342" w:tentative="1">
      <w:start w:val="1"/>
      <w:numFmt w:val="bullet"/>
      <w:lvlText w:val="•"/>
      <w:lvlJc w:val="left"/>
      <w:pPr>
        <w:tabs>
          <w:tab w:val="num" w:pos="5040"/>
        </w:tabs>
        <w:ind w:left="5040" w:hanging="360"/>
      </w:pPr>
      <w:rPr>
        <w:rFonts w:ascii="Arial" w:hAnsi="Arial" w:hint="default"/>
      </w:rPr>
    </w:lvl>
    <w:lvl w:ilvl="7" w:tplc="AA3A0498" w:tentative="1">
      <w:start w:val="1"/>
      <w:numFmt w:val="bullet"/>
      <w:lvlText w:val="•"/>
      <w:lvlJc w:val="left"/>
      <w:pPr>
        <w:tabs>
          <w:tab w:val="num" w:pos="5760"/>
        </w:tabs>
        <w:ind w:left="5760" w:hanging="360"/>
      </w:pPr>
      <w:rPr>
        <w:rFonts w:ascii="Arial" w:hAnsi="Arial" w:hint="default"/>
      </w:rPr>
    </w:lvl>
    <w:lvl w:ilvl="8" w:tplc="900A74F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353659E"/>
    <w:multiLevelType w:val="hybridMultilevel"/>
    <w:tmpl w:val="675471F4"/>
    <w:lvl w:ilvl="0" w:tplc="F0D232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AEB69E2"/>
    <w:multiLevelType w:val="hybridMultilevel"/>
    <w:tmpl w:val="BEFA27E6"/>
    <w:lvl w:ilvl="0" w:tplc="24202602">
      <w:start w:val="1"/>
      <w:numFmt w:val="bullet"/>
      <w:lvlText w:val="•"/>
      <w:lvlJc w:val="left"/>
      <w:pPr>
        <w:tabs>
          <w:tab w:val="num" w:pos="720"/>
        </w:tabs>
        <w:ind w:left="720" w:hanging="360"/>
      </w:pPr>
      <w:rPr>
        <w:rFonts w:ascii="Arial" w:hAnsi="Arial" w:hint="default"/>
      </w:rPr>
    </w:lvl>
    <w:lvl w:ilvl="1" w:tplc="94786826" w:tentative="1">
      <w:start w:val="1"/>
      <w:numFmt w:val="bullet"/>
      <w:lvlText w:val="•"/>
      <w:lvlJc w:val="left"/>
      <w:pPr>
        <w:tabs>
          <w:tab w:val="num" w:pos="1440"/>
        </w:tabs>
        <w:ind w:left="1440" w:hanging="360"/>
      </w:pPr>
      <w:rPr>
        <w:rFonts w:ascii="Arial" w:hAnsi="Arial" w:hint="default"/>
      </w:rPr>
    </w:lvl>
    <w:lvl w:ilvl="2" w:tplc="F2B23878" w:tentative="1">
      <w:start w:val="1"/>
      <w:numFmt w:val="bullet"/>
      <w:lvlText w:val="•"/>
      <w:lvlJc w:val="left"/>
      <w:pPr>
        <w:tabs>
          <w:tab w:val="num" w:pos="2160"/>
        </w:tabs>
        <w:ind w:left="2160" w:hanging="360"/>
      </w:pPr>
      <w:rPr>
        <w:rFonts w:ascii="Arial" w:hAnsi="Arial" w:hint="default"/>
      </w:rPr>
    </w:lvl>
    <w:lvl w:ilvl="3" w:tplc="CF324F0E" w:tentative="1">
      <w:start w:val="1"/>
      <w:numFmt w:val="bullet"/>
      <w:lvlText w:val="•"/>
      <w:lvlJc w:val="left"/>
      <w:pPr>
        <w:tabs>
          <w:tab w:val="num" w:pos="2880"/>
        </w:tabs>
        <w:ind w:left="2880" w:hanging="360"/>
      </w:pPr>
      <w:rPr>
        <w:rFonts w:ascii="Arial" w:hAnsi="Arial" w:hint="default"/>
      </w:rPr>
    </w:lvl>
    <w:lvl w:ilvl="4" w:tplc="41608048" w:tentative="1">
      <w:start w:val="1"/>
      <w:numFmt w:val="bullet"/>
      <w:lvlText w:val="•"/>
      <w:lvlJc w:val="left"/>
      <w:pPr>
        <w:tabs>
          <w:tab w:val="num" w:pos="3600"/>
        </w:tabs>
        <w:ind w:left="3600" w:hanging="360"/>
      </w:pPr>
      <w:rPr>
        <w:rFonts w:ascii="Arial" w:hAnsi="Arial" w:hint="default"/>
      </w:rPr>
    </w:lvl>
    <w:lvl w:ilvl="5" w:tplc="C0C8691A" w:tentative="1">
      <w:start w:val="1"/>
      <w:numFmt w:val="bullet"/>
      <w:lvlText w:val="•"/>
      <w:lvlJc w:val="left"/>
      <w:pPr>
        <w:tabs>
          <w:tab w:val="num" w:pos="4320"/>
        </w:tabs>
        <w:ind w:left="4320" w:hanging="360"/>
      </w:pPr>
      <w:rPr>
        <w:rFonts w:ascii="Arial" w:hAnsi="Arial" w:hint="default"/>
      </w:rPr>
    </w:lvl>
    <w:lvl w:ilvl="6" w:tplc="A948C89C" w:tentative="1">
      <w:start w:val="1"/>
      <w:numFmt w:val="bullet"/>
      <w:lvlText w:val="•"/>
      <w:lvlJc w:val="left"/>
      <w:pPr>
        <w:tabs>
          <w:tab w:val="num" w:pos="5040"/>
        </w:tabs>
        <w:ind w:left="5040" w:hanging="360"/>
      </w:pPr>
      <w:rPr>
        <w:rFonts w:ascii="Arial" w:hAnsi="Arial" w:hint="default"/>
      </w:rPr>
    </w:lvl>
    <w:lvl w:ilvl="7" w:tplc="86784A86" w:tentative="1">
      <w:start w:val="1"/>
      <w:numFmt w:val="bullet"/>
      <w:lvlText w:val="•"/>
      <w:lvlJc w:val="left"/>
      <w:pPr>
        <w:tabs>
          <w:tab w:val="num" w:pos="5760"/>
        </w:tabs>
        <w:ind w:left="5760" w:hanging="360"/>
      </w:pPr>
      <w:rPr>
        <w:rFonts w:ascii="Arial" w:hAnsi="Arial" w:hint="default"/>
      </w:rPr>
    </w:lvl>
    <w:lvl w:ilvl="8" w:tplc="665E8E9A"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0E5"/>
    <w:rsid w:val="00032B0A"/>
    <w:rsid w:val="00107E7B"/>
    <w:rsid w:val="003A0BBF"/>
    <w:rsid w:val="004F5E8E"/>
    <w:rsid w:val="00714311"/>
    <w:rsid w:val="00832794"/>
    <w:rsid w:val="00835092"/>
    <w:rsid w:val="00A363DC"/>
    <w:rsid w:val="00AB66D8"/>
    <w:rsid w:val="00BF40E5"/>
    <w:rsid w:val="00E82517"/>
    <w:rsid w:val="00FE4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B9901"/>
  <w15:chartTrackingRefBased/>
  <w15:docId w15:val="{503EB89E-EB97-40CB-B4FA-C20CB24D8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A0BBF"/>
    <w:pPr>
      <w:ind w:left="720"/>
      <w:contextualSpacing/>
    </w:pPr>
  </w:style>
  <w:style w:type="paragraph" w:styleId="En-tte">
    <w:name w:val="header"/>
    <w:basedOn w:val="Normal"/>
    <w:link w:val="En-tteCar"/>
    <w:uiPriority w:val="99"/>
    <w:unhideWhenUsed/>
    <w:rsid w:val="003A0BBF"/>
    <w:pPr>
      <w:tabs>
        <w:tab w:val="center" w:pos="4680"/>
        <w:tab w:val="right" w:pos="9360"/>
      </w:tabs>
      <w:spacing w:after="0" w:line="240" w:lineRule="auto"/>
    </w:pPr>
  </w:style>
  <w:style w:type="character" w:customStyle="1" w:styleId="En-tteCar">
    <w:name w:val="En-tête Car"/>
    <w:basedOn w:val="Policepardfaut"/>
    <w:link w:val="En-tte"/>
    <w:uiPriority w:val="99"/>
    <w:rsid w:val="003A0BBF"/>
  </w:style>
  <w:style w:type="paragraph" w:styleId="Pieddepage">
    <w:name w:val="footer"/>
    <w:basedOn w:val="Normal"/>
    <w:link w:val="PieddepageCar"/>
    <w:uiPriority w:val="99"/>
    <w:unhideWhenUsed/>
    <w:rsid w:val="003A0B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3A0B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810724">
      <w:bodyDiv w:val="1"/>
      <w:marLeft w:val="0"/>
      <w:marRight w:val="0"/>
      <w:marTop w:val="0"/>
      <w:marBottom w:val="0"/>
      <w:divBdr>
        <w:top w:val="none" w:sz="0" w:space="0" w:color="auto"/>
        <w:left w:val="none" w:sz="0" w:space="0" w:color="auto"/>
        <w:bottom w:val="none" w:sz="0" w:space="0" w:color="auto"/>
        <w:right w:val="none" w:sz="0" w:space="0" w:color="auto"/>
      </w:divBdr>
      <w:divsChild>
        <w:div w:id="254897424">
          <w:marLeft w:val="835"/>
          <w:marRight w:val="0"/>
          <w:marTop w:val="140"/>
          <w:marBottom w:val="0"/>
          <w:divBdr>
            <w:top w:val="none" w:sz="0" w:space="0" w:color="auto"/>
            <w:left w:val="none" w:sz="0" w:space="0" w:color="auto"/>
            <w:bottom w:val="none" w:sz="0" w:space="0" w:color="auto"/>
            <w:right w:val="none" w:sz="0" w:space="0" w:color="auto"/>
          </w:divBdr>
        </w:div>
        <w:div w:id="1637418402">
          <w:marLeft w:val="1469"/>
          <w:marRight w:val="0"/>
          <w:marTop w:val="130"/>
          <w:marBottom w:val="0"/>
          <w:divBdr>
            <w:top w:val="none" w:sz="0" w:space="0" w:color="auto"/>
            <w:left w:val="none" w:sz="0" w:space="0" w:color="auto"/>
            <w:bottom w:val="none" w:sz="0" w:space="0" w:color="auto"/>
            <w:right w:val="none" w:sz="0" w:space="0" w:color="auto"/>
          </w:divBdr>
        </w:div>
        <w:div w:id="752553370">
          <w:marLeft w:val="1469"/>
          <w:marRight w:val="0"/>
          <w:marTop w:val="130"/>
          <w:marBottom w:val="0"/>
          <w:divBdr>
            <w:top w:val="none" w:sz="0" w:space="0" w:color="auto"/>
            <w:left w:val="none" w:sz="0" w:space="0" w:color="auto"/>
            <w:bottom w:val="none" w:sz="0" w:space="0" w:color="auto"/>
            <w:right w:val="none" w:sz="0" w:space="0" w:color="auto"/>
          </w:divBdr>
        </w:div>
        <w:div w:id="688529856">
          <w:marLeft w:val="835"/>
          <w:marRight w:val="0"/>
          <w:marTop w:val="140"/>
          <w:marBottom w:val="0"/>
          <w:divBdr>
            <w:top w:val="none" w:sz="0" w:space="0" w:color="auto"/>
            <w:left w:val="none" w:sz="0" w:space="0" w:color="auto"/>
            <w:bottom w:val="none" w:sz="0" w:space="0" w:color="auto"/>
            <w:right w:val="none" w:sz="0" w:space="0" w:color="auto"/>
          </w:divBdr>
        </w:div>
        <w:div w:id="1990747477">
          <w:marLeft w:val="1469"/>
          <w:marRight w:val="0"/>
          <w:marTop w:val="130"/>
          <w:marBottom w:val="0"/>
          <w:divBdr>
            <w:top w:val="none" w:sz="0" w:space="0" w:color="auto"/>
            <w:left w:val="none" w:sz="0" w:space="0" w:color="auto"/>
            <w:bottom w:val="none" w:sz="0" w:space="0" w:color="auto"/>
            <w:right w:val="none" w:sz="0" w:space="0" w:color="auto"/>
          </w:divBdr>
        </w:div>
      </w:divsChild>
    </w:div>
    <w:div w:id="1186602320">
      <w:bodyDiv w:val="1"/>
      <w:marLeft w:val="0"/>
      <w:marRight w:val="0"/>
      <w:marTop w:val="0"/>
      <w:marBottom w:val="0"/>
      <w:divBdr>
        <w:top w:val="none" w:sz="0" w:space="0" w:color="auto"/>
        <w:left w:val="none" w:sz="0" w:space="0" w:color="auto"/>
        <w:bottom w:val="none" w:sz="0" w:space="0" w:color="auto"/>
        <w:right w:val="none" w:sz="0" w:space="0" w:color="auto"/>
      </w:divBdr>
      <w:divsChild>
        <w:div w:id="875776971">
          <w:marLeft w:val="835"/>
          <w:marRight w:val="0"/>
          <w:marTop w:val="125"/>
          <w:marBottom w:val="0"/>
          <w:divBdr>
            <w:top w:val="none" w:sz="0" w:space="0" w:color="auto"/>
            <w:left w:val="none" w:sz="0" w:space="0" w:color="auto"/>
            <w:bottom w:val="none" w:sz="0" w:space="0" w:color="auto"/>
            <w:right w:val="none" w:sz="0" w:space="0" w:color="auto"/>
          </w:divBdr>
        </w:div>
        <w:div w:id="242839190">
          <w:marLeft w:val="835"/>
          <w:marRight w:val="0"/>
          <w:marTop w:val="125"/>
          <w:marBottom w:val="0"/>
          <w:divBdr>
            <w:top w:val="none" w:sz="0" w:space="0" w:color="auto"/>
            <w:left w:val="none" w:sz="0" w:space="0" w:color="auto"/>
            <w:bottom w:val="none" w:sz="0" w:space="0" w:color="auto"/>
            <w:right w:val="none" w:sz="0" w:space="0" w:color="auto"/>
          </w:divBdr>
        </w:div>
        <w:div w:id="2109881994">
          <w:marLeft w:val="835"/>
          <w:marRight w:val="0"/>
          <w:marTop w:val="125"/>
          <w:marBottom w:val="0"/>
          <w:divBdr>
            <w:top w:val="none" w:sz="0" w:space="0" w:color="auto"/>
            <w:left w:val="none" w:sz="0" w:space="0" w:color="auto"/>
            <w:bottom w:val="none" w:sz="0" w:space="0" w:color="auto"/>
            <w:right w:val="none" w:sz="0" w:space="0" w:color="auto"/>
          </w:divBdr>
        </w:div>
      </w:divsChild>
    </w:div>
    <w:div w:id="1298336465">
      <w:bodyDiv w:val="1"/>
      <w:marLeft w:val="0"/>
      <w:marRight w:val="0"/>
      <w:marTop w:val="0"/>
      <w:marBottom w:val="0"/>
      <w:divBdr>
        <w:top w:val="none" w:sz="0" w:space="0" w:color="auto"/>
        <w:left w:val="none" w:sz="0" w:space="0" w:color="auto"/>
        <w:bottom w:val="none" w:sz="0" w:space="0" w:color="auto"/>
        <w:right w:val="none" w:sz="0" w:space="0" w:color="auto"/>
      </w:divBdr>
      <w:divsChild>
        <w:div w:id="1030062015">
          <w:marLeft w:val="1526"/>
          <w:marRight w:val="0"/>
          <w:marTop w:val="240"/>
          <w:marBottom w:val="0"/>
          <w:divBdr>
            <w:top w:val="none" w:sz="0" w:space="0" w:color="auto"/>
            <w:left w:val="none" w:sz="0" w:space="0" w:color="auto"/>
            <w:bottom w:val="none" w:sz="0" w:space="0" w:color="auto"/>
            <w:right w:val="none" w:sz="0" w:space="0" w:color="auto"/>
          </w:divBdr>
        </w:div>
        <w:div w:id="954798335">
          <w:marLeft w:val="1526"/>
          <w:marRight w:val="0"/>
          <w:marTop w:val="240"/>
          <w:marBottom w:val="0"/>
          <w:divBdr>
            <w:top w:val="none" w:sz="0" w:space="0" w:color="auto"/>
            <w:left w:val="none" w:sz="0" w:space="0" w:color="auto"/>
            <w:bottom w:val="none" w:sz="0" w:space="0" w:color="auto"/>
            <w:right w:val="none" w:sz="0" w:space="0" w:color="auto"/>
          </w:divBdr>
        </w:div>
        <w:div w:id="487282225">
          <w:marLeft w:val="1526"/>
          <w:marRight w:val="0"/>
          <w:marTop w:val="240"/>
          <w:marBottom w:val="0"/>
          <w:divBdr>
            <w:top w:val="none" w:sz="0" w:space="0" w:color="auto"/>
            <w:left w:val="none" w:sz="0" w:space="0" w:color="auto"/>
            <w:bottom w:val="none" w:sz="0" w:space="0" w:color="auto"/>
            <w:right w:val="none" w:sz="0" w:space="0" w:color="auto"/>
          </w:divBdr>
        </w:div>
        <w:div w:id="1931885798">
          <w:marLeft w:val="1526"/>
          <w:marRight w:val="0"/>
          <w:marTop w:val="240"/>
          <w:marBottom w:val="0"/>
          <w:divBdr>
            <w:top w:val="none" w:sz="0" w:space="0" w:color="auto"/>
            <w:left w:val="none" w:sz="0" w:space="0" w:color="auto"/>
            <w:bottom w:val="none" w:sz="0" w:space="0" w:color="auto"/>
            <w:right w:val="none" w:sz="0" w:space="0" w:color="auto"/>
          </w:divBdr>
        </w:div>
      </w:divsChild>
    </w:div>
    <w:div w:id="1573544603">
      <w:bodyDiv w:val="1"/>
      <w:marLeft w:val="0"/>
      <w:marRight w:val="0"/>
      <w:marTop w:val="0"/>
      <w:marBottom w:val="0"/>
      <w:divBdr>
        <w:top w:val="none" w:sz="0" w:space="0" w:color="auto"/>
        <w:left w:val="none" w:sz="0" w:space="0" w:color="auto"/>
        <w:bottom w:val="none" w:sz="0" w:space="0" w:color="auto"/>
        <w:right w:val="none" w:sz="0" w:space="0" w:color="auto"/>
      </w:divBdr>
      <w:divsChild>
        <w:div w:id="720206536">
          <w:marLeft w:val="547"/>
          <w:marRight w:val="0"/>
          <w:marTop w:val="154"/>
          <w:marBottom w:val="0"/>
          <w:divBdr>
            <w:top w:val="none" w:sz="0" w:space="0" w:color="auto"/>
            <w:left w:val="none" w:sz="0" w:space="0" w:color="auto"/>
            <w:bottom w:val="none" w:sz="0" w:space="0" w:color="auto"/>
            <w:right w:val="none" w:sz="0" w:space="0" w:color="auto"/>
          </w:divBdr>
        </w:div>
        <w:div w:id="1753505974">
          <w:marLeft w:val="547"/>
          <w:marRight w:val="0"/>
          <w:marTop w:val="154"/>
          <w:marBottom w:val="0"/>
          <w:divBdr>
            <w:top w:val="none" w:sz="0" w:space="0" w:color="auto"/>
            <w:left w:val="none" w:sz="0" w:space="0" w:color="auto"/>
            <w:bottom w:val="none" w:sz="0" w:space="0" w:color="auto"/>
            <w:right w:val="none" w:sz="0" w:space="0" w:color="auto"/>
          </w:divBdr>
        </w:div>
      </w:divsChild>
    </w:div>
    <w:div w:id="1938516021">
      <w:bodyDiv w:val="1"/>
      <w:marLeft w:val="0"/>
      <w:marRight w:val="0"/>
      <w:marTop w:val="0"/>
      <w:marBottom w:val="0"/>
      <w:divBdr>
        <w:top w:val="none" w:sz="0" w:space="0" w:color="auto"/>
        <w:left w:val="none" w:sz="0" w:space="0" w:color="auto"/>
        <w:bottom w:val="none" w:sz="0" w:space="0" w:color="auto"/>
        <w:right w:val="none" w:sz="0" w:space="0" w:color="auto"/>
      </w:divBdr>
      <w:divsChild>
        <w:div w:id="1815290677">
          <w:marLeft w:val="720"/>
          <w:marRight w:val="0"/>
          <w:marTop w:val="140"/>
          <w:marBottom w:val="0"/>
          <w:divBdr>
            <w:top w:val="none" w:sz="0" w:space="0" w:color="auto"/>
            <w:left w:val="none" w:sz="0" w:space="0" w:color="auto"/>
            <w:bottom w:val="none" w:sz="0" w:space="0" w:color="auto"/>
            <w:right w:val="none" w:sz="0" w:space="0" w:color="auto"/>
          </w:divBdr>
        </w:div>
        <w:div w:id="1177692188">
          <w:marLeft w:val="720"/>
          <w:marRight w:val="0"/>
          <w:marTop w:val="140"/>
          <w:marBottom w:val="0"/>
          <w:divBdr>
            <w:top w:val="none" w:sz="0" w:space="0" w:color="auto"/>
            <w:left w:val="none" w:sz="0" w:space="0" w:color="auto"/>
            <w:bottom w:val="none" w:sz="0" w:space="0" w:color="auto"/>
            <w:right w:val="none" w:sz="0" w:space="0" w:color="auto"/>
          </w:divBdr>
        </w:div>
        <w:div w:id="1587225013">
          <w:marLeft w:val="720"/>
          <w:marRight w:val="0"/>
          <w:marTop w:val="140"/>
          <w:marBottom w:val="0"/>
          <w:divBdr>
            <w:top w:val="none" w:sz="0" w:space="0" w:color="auto"/>
            <w:left w:val="none" w:sz="0" w:space="0" w:color="auto"/>
            <w:bottom w:val="none" w:sz="0" w:space="0" w:color="auto"/>
            <w:right w:val="none" w:sz="0" w:space="0" w:color="auto"/>
          </w:divBdr>
        </w:div>
        <w:div w:id="1291474563">
          <w:marLeft w:val="1354"/>
          <w:marRight w:val="0"/>
          <w:marTop w:val="130"/>
          <w:marBottom w:val="0"/>
          <w:divBdr>
            <w:top w:val="none" w:sz="0" w:space="0" w:color="auto"/>
            <w:left w:val="none" w:sz="0" w:space="0" w:color="auto"/>
            <w:bottom w:val="none" w:sz="0" w:space="0" w:color="auto"/>
            <w:right w:val="none" w:sz="0" w:space="0" w:color="auto"/>
          </w:divBdr>
        </w:div>
        <w:div w:id="1885023599">
          <w:marLeft w:val="1987"/>
          <w:marRight w:val="0"/>
          <w:marTop w:val="120"/>
          <w:marBottom w:val="0"/>
          <w:divBdr>
            <w:top w:val="none" w:sz="0" w:space="0" w:color="auto"/>
            <w:left w:val="none" w:sz="0" w:space="0" w:color="auto"/>
            <w:bottom w:val="none" w:sz="0" w:space="0" w:color="auto"/>
            <w:right w:val="none" w:sz="0" w:space="0" w:color="auto"/>
          </w:divBdr>
        </w:div>
        <w:div w:id="318769322">
          <w:marLeft w:val="1987"/>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474</Words>
  <Characters>2607</Characters>
  <Application>Microsoft Office Word</Application>
  <DocSecurity>0</DocSecurity>
  <Lines>21</Lines>
  <Paragraphs>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Bouabré</dc:creator>
  <cp:keywords/>
  <dc:description/>
  <cp:lastModifiedBy>Fatima Bouabré</cp:lastModifiedBy>
  <cp:revision>2</cp:revision>
  <dcterms:created xsi:type="dcterms:W3CDTF">2020-01-30T16:37:00Z</dcterms:created>
  <dcterms:modified xsi:type="dcterms:W3CDTF">2020-01-30T16:37:00Z</dcterms:modified>
</cp:coreProperties>
</file>