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91947F" w14:textId="77777777" w:rsidR="00B84EE6" w:rsidRDefault="00B84EE6">
      <w:pPr>
        <w:rPr>
          <w:lang w:val="en-CA"/>
        </w:rPr>
      </w:pPr>
    </w:p>
    <w:p w14:paraId="5EFA926B" w14:textId="77777777" w:rsidR="00FE281B" w:rsidRPr="00284D53" w:rsidRDefault="00FE281B">
      <w:pPr>
        <w:rPr>
          <w:b/>
          <w:lang w:val="en-CA"/>
        </w:rPr>
      </w:pPr>
      <w:r w:rsidRPr="00284D53">
        <w:rPr>
          <w:b/>
          <w:lang w:val="en-CA"/>
        </w:rPr>
        <w:t>Treasury Management _ Europe</w:t>
      </w:r>
    </w:p>
    <w:p w14:paraId="4DCFFB3F" w14:textId="77777777" w:rsidR="00FE281B" w:rsidRDefault="00FE281B">
      <w:pPr>
        <w:rPr>
          <w:lang w:val="en-CA"/>
        </w:rPr>
      </w:pPr>
    </w:p>
    <w:p w14:paraId="3EE67AB3" w14:textId="77777777" w:rsidR="00FE281B" w:rsidRPr="00284D53" w:rsidRDefault="00FE281B">
      <w:pPr>
        <w:rPr>
          <w:b/>
          <w:color w:val="000000" w:themeColor="text1"/>
          <w:lang w:val="en-CA"/>
        </w:rPr>
      </w:pPr>
      <w:r w:rsidRPr="00284D53">
        <w:rPr>
          <w:b/>
          <w:color w:val="000000" w:themeColor="text1"/>
          <w:lang w:val="en-CA"/>
        </w:rPr>
        <w:t>SEPA Overview</w:t>
      </w:r>
    </w:p>
    <w:p w14:paraId="2AFE0490" w14:textId="77777777" w:rsidR="00FE281B" w:rsidRDefault="00FE281B" w:rsidP="00FE281B">
      <w:pPr>
        <w:pStyle w:val="ListParagraph"/>
        <w:numPr>
          <w:ilvl w:val="0"/>
          <w:numId w:val="1"/>
        </w:numPr>
        <w:rPr>
          <w:lang w:val="en-CA"/>
        </w:rPr>
      </w:pPr>
      <w:r>
        <w:rPr>
          <w:lang w:val="en-CA"/>
        </w:rPr>
        <w:t>The single Euro Payments Area (or “</w:t>
      </w:r>
      <w:r w:rsidRPr="00284D53">
        <w:rPr>
          <w:u w:val="single"/>
          <w:lang w:val="en-CA"/>
        </w:rPr>
        <w:t>SEPA</w:t>
      </w:r>
      <w:r>
        <w:rPr>
          <w:lang w:val="en-CA"/>
        </w:rPr>
        <w:t>” for short) is where more than 520 million citizens, over 20 million businesses and European public authorities can make and receive payments in euro under the same basic conditions, rights and obligations, regardless of their location</w:t>
      </w:r>
    </w:p>
    <w:p w14:paraId="6E01D27D" w14:textId="77777777" w:rsidR="00FE281B" w:rsidRDefault="00FE281B" w:rsidP="00FE281B">
      <w:pPr>
        <w:pStyle w:val="ListParagraph"/>
        <w:numPr>
          <w:ilvl w:val="0"/>
          <w:numId w:val="1"/>
        </w:numPr>
        <w:rPr>
          <w:lang w:val="en-CA"/>
        </w:rPr>
      </w:pPr>
      <w:r>
        <w:rPr>
          <w:lang w:val="en-CA"/>
        </w:rPr>
        <w:t>Cross-border or domestic – the accounts of both the payer and payee must be in SEPA country</w:t>
      </w:r>
    </w:p>
    <w:p w14:paraId="56F4FEDE" w14:textId="77777777" w:rsidR="00FE281B" w:rsidRDefault="00FE281B" w:rsidP="00FE281B">
      <w:pPr>
        <w:pStyle w:val="ListParagraph"/>
        <w:numPr>
          <w:ilvl w:val="0"/>
          <w:numId w:val="1"/>
        </w:numPr>
        <w:rPr>
          <w:lang w:val="en-CA"/>
        </w:rPr>
      </w:pPr>
      <w:r>
        <w:rPr>
          <w:lang w:val="en-CA"/>
        </w:rPr>
        <w:t>The introduction of the euro has helped to make cash payments anywhere in the euro area as at home</w:t>
      </w:r>
    </w:p>
    <w:p w14:paraId="0FE2756D" w14:textId="77777777" w:rsidR="00FE281B" w:rsidRDefault="00FE281B" w:rsidP="00FE281B">
      <w:pPr>
        <w:pStyle w:val="ListParagraph"/>
        <w:numPr>
          <w:ilvl w:val="0"/>
          <w:numId w:val="1"/>
        </w:numPr>
        <w:rPr>
          <w:lang w:val="en-CA"/>
        </w:rPr>
      </w:pPr>
      <w:r>
        <w:rPr>
          <w:lang w:val="en-CA"/>
        </w:rPr>
        <w:t>Covers 36 countries</w:t>
      </w:r>
    </w:p>
    <w:p w14:paraId="7DBF83DA" w14:textId="77777777" w:rsidR="00FE281B" w:rsidRDefault="00FE281B" w:rsidP="00FE281B">
      <w:pPr>
        <w:pStyle w:val="ListParagraph"/>
        <w:numPr>
          <w:ilvl w:val="0"/>
          <w:numId w:val="1"/>
        </w:numPr>
        <w:rPr>
          <w:lang w:val="en-CA"/>
        </w:rPr>
      </w:pPr>
      <w:r>
        <w:rPr>
          <w:lang w:val="en-CA"/>
        </w:rPr>
        <w:t>Has replaces all domestic low value payment systems since August 2014</w:t>
      </w:r>
    </w:p>
    <w:p w14:paraId="3732374F" w14:textId="77777777" w:rsidR="00FE281B" w:rsidRDefault="00FE281B" w:rsidP="00FE281B">
      <w:pPr>
        <w:rPr>
          <w:lang w:val="en-CA"/>
        </w:rPr>
      </w:pPr>
    </w:p>
    <w:p w14:paraId="1C80A7F2" w14:textId="77777777" w:rsidR="00FE281B" w:rsidRPr="00284D53" w:rsidRDefault="00FE281B" w:rsidP="00FE281B">
      <w:pPr>
        <w:rPr>
          <w:b/>
          <w:lang w:val="en-CA"/>
        </w:rPr>
      </w:pPr>
      <w:r w:rsidRPr="00284D53">
        <w:rPr>
          <w:b/>
          <w:lang w:val="en-CA"/>
        </w:rPr>
        <w:t>The introduction of SEPA gives these advantages:</w:t>
      </w:r>
    </w:p>
    <w:p w14:paraId="0EB7A504" w14:textId="77777777" w:rsidR="00FE281B" w:rsidRDefault="00FE281B" w:rsidP="00FE281B">
      <w:pPr>
        <w:pStyle w:val="ListParagraph"/>
        <w:numPr>
          <w:ilvl w:val="0"/>
          <w:numId w:val="2"/>
        </w:numPr>
        <w:rPr>
          <w:lang w:val="en-CA"/>
        </w:rPr>
      </w:pPr>
      <w:r>
        <w:rPr>
          <w:lang w:val="en-CA"/>
        </w:rPr>
        <w:t>Use your debit card anywhere in the euro area</w:t>
      </w:r>
    </w:p>
    <w:p w14:paraId="36424379" w14:textId="77777777" w:rsidR="00FE281B" w:rsidRDefault="00FE281B" w:rsidP="00FE281B">
      <w:pPr>
        <w:pStyle w:val="ListParagraph"/>
        <w:numPr>
          <w:ilvl w:val="0"/>
          <w:numId w:val="2"/>
        </w:numPr>
        <w:rPr>
          <w:lang w:val="en-CA"/>
        </w:rPr>
      </w:pPr>
      <w:r>
        <w:rPr>
          <w:lang w:val="en-CA"/>
        </w:rPr>
        <w:t>Better cross-border bank transfers</w:t>
      </w:r>
    </w:p>
    <w:p w14:paraId="27235B91" w14:textId="77777777" w:rsidR="00FE281B" w:rsidRDefault="00FE281B" w:rsidP="00FE281B">
      <w:pPr>
        <w:pStyle w:val="ListParagraph"/>
        <w:numPr>
          <w:ilvl w:val="0"/>
          <w:numId w:val="2"/>
        </w:numPr>
        <w:rPr>
          <w:lang w:val="en-CA"/>
        </w:rPr>
      </w:pPr>
      <w:r>
        <w:rPr>
          <w:lang w:val="en-CA"/>
        </w:rPr>
        <w:t>Direct debits from anywhere in the euro area</w:t>
      </w:r>
    </w:p>
    <w:p w14:paraId="127C7EA7" w14:textId="77777777" w:rsidR="00FE281B" w:rsidRDefault="00FE281B" w:rsidP="00FE281B">
      <w:pPr>
        <w:pStyle w:val="ListParagraph"/>
        <w:numPr>
          <w:ilvl w:val="0"/>
          <w:numId w:val="2"/>
        </w:numPr>
        <w:rPr>
          <w:lang w:val="en-CA"/>
        </w:rPr>
      </w:pPr>
      <w:r>
        <w:rPr>
          <w:lang w:val="en-CA"/>
        </w:rPr>
        <w:t>Only one bank account needed for the whole euro area</w:t>
      </w:r>
    </w:p>
    <w:p w14:paraId="4D139041" w14:textId="77777777" w:rsidR="00FE281B" w:rsidRDefault="00FE281B" w:rsidP="00FE281B">
      <w:pPr>
        <w:pStyle w:val="ListParagraph"/>
        <w:numPr>
          <w:ilvl w:val="0"/>
          <w:numId w:val="2"/>
        </w:numPr>
        <w:rPr>
          <w:lang w:val="en-CA"/>
        </w:rPr>
      </w:pPr>
      <w:r>
        <w:rPr>
          <w:lang w:val="en-CA"/>
        </w:rPr>
        <w:t>Lower prices for basic payment services in high-cost countries</w:t>
      </w:r>
    </w:p>
    <w:p w14:paraId="0291E150" w14:textId="77777777" w:rsidR="00FE281B" w:rsidRDefault="00FE281B" w:rsidP="00FE281B">
      <w:pPr>
        <w:pStyle w:val="ListParagraph"/>
        <w:numPr>
          <w:ilvl w:val="0"/>
          <w:numId w:val="2"/>
        </w:numPr>
        <w:rPr>
          <w:lang w:val="en-CA"/>
        </w:rPr>
      </w:pPr>
      <w:r>
        <w:rPr>
          <w:lang w:val="en-CA"/>
        </w:rPr>
        <w:t>Transparent pricing and no hidden charges</w:t>
      </w:r>
    </w:p>
    <w:p w14:paraId="317D696B" w14:textId="77777777" w:rsidR="00FE281B" w:rsidRDefault="00FE281B" w:rsidP="00FE281B">
      <w:pPr>
        <w:rPr>
          <w:lang w:val="en-CA"/>
        </w:rPr>
      </w:pPr>
    </w:p>
    <w:p w14:paraId="3341FFEC" w14:textId="77777777" w:rsidR="00FE281B" w:rsidRPr="00284D53" w:rsidRDefault="00FE281B" w:rsidP="00FE281B">
      <w:pPr>
        <w:rPr>
          <w:b/>
          <w:lang w:val="en-CA"/>
        </w:rPr>
      </w:pPr>
      <w:r w:rsidRPr="00284D53">
        <w:rPr>
          <w:b/>
          <w:lang w:val="en-CA"/>
        </w:rPr>
        <w:t>In addition, for corporation:</w:t>
      </w:r>
    </w:p>
    <w:p w14:paraId="0603C73F" w14:textId="77777777" w:rsidR="00FE281B" w:rsidRDefault="00FE281B" w:rsidP="00FE281B">
      <w:pPr>
        <w:pStyle w:val="ListParagraph"/>
        <w:numPr>
          <w:ilvl w:val="0"/>
          <w:numId w:val="2"/>
        </w:numPr>
        <w:rPr>
          <w:lang w:val="en-CA"/>
        </w:rPr>
      </w:pPr>
      <w:r>
        <w:rPr>
          <w:lang w:val="en-CA"/>
        </w:rPr>
        <w:t>Direct debits from anywhere in the euro area</w:t>
      </w:r>
    </w:p>
    <w:p w14:paraId="59FF6C70" w14:textId="77777777" w:rsidR="00FE281B" w:rsidRDefault="00FE281B" w:rsidP="00FE281B">
      <w:pPr>
        <w:pStyle w:val="ListParagraph"/>
        <w:numPr>
          <w:ilvl w:val="0"/>
          <w:numId w:val="2"/>
        </w:numPr>
        <w:rPr>
          <w:lang w:val="en-CA"/>
        </w:rPr>
      </w:pPr>
      <w:r>
        <w:rPr>
          <w:lang w:val="en-CA"/>
        </w:rPr>
        <w:t>Handle all euro payments from a single bank account</w:t>
      </w:r>
    </w:p>
    <w:p w14:paraId="36EFF980" w14:textId="77777777" w:rsidR="00FE281B" w:rsidRDefault="00FE281B" w:rsidP="00FE281B">
      <w:pPr>
        <w:pStyle w:val="ListParagraph"/>
        <w:numPr>
          <w:ilvl w:val="0"/>
          <w:numId w:val="2"/>
        </w:numPr>
        <w:rPr>
          <w:lang w:val="en-CA"/>
        </w:rPr>
      </w:pPr>
      <w:r>
        <w:rPr>
          <w:lang w:val="en-CA"/>
        </w:rPr>
        <w:t>Only one terminal for payment cards</w:t>
      </w:r>
    </w:p>
    <w:p w14:paraId="2F438429" w14:textId="77777777" w:rsidR="00FE281B" w:rsidRDefault="00FE281B" w:rsidP="00FE281B">
      <w:pPr>
        <w:rPr>
          <w:lang w:val="en-CA"/>
        </w:rPr>
      </w:pPr>
    </w:p>
    <w:p w14:paraId="4C31D882" w14:textId="77777777" w:rsidR="00FE281B" w:rsidRPr="00284D53" w:rsidRDefault="00FE281B" w:rsidP="00FE281B">
      <w:pPr>
        <w:rPr>
          <w:b/>
          <w:lang w:val="en-CA"/>
        </w:rPr>
      </w:pPr>
      <w:r w:rsidRPr="00284D53">
        <w:rPr>
          <w:b/>
          <w:lang w:val="en-CA"/>
        </w:rPr>
        <w:t>SEPA overview,</w:t>
      </w:r>
    </w:p>
    <w:p w14:paraId="2F4BD53C" w14:textId="77777777" w:rsidR="00FE281B" w:rsidRDefault="00FE281B" w:rsidP="00FE281B">
      <w:pPr>
        <w:pStyle w:val="ListParagraph"/>
        <w:numPr>
          <w:ilvl w:val="0"/>
          <w:numId w:val="2"/>
        </w:numPr>
        <w:rPr>
          <w:lang w:val="en-CA"/>
        </w:rPr>
      </w:pPr>
      <w:r>
        <w:rPr>
          <w:lang w:val="en-CA"/>
        </w:rPr>
        <w:t>The payments are in EUR but, at each bank’s option, the funding or receiving account does not have to be in EUR</w:t>
      </w:r>
    </w:p>
    <w:p w14:paraId="0B4028C1" w14:textId="77777777" w:rsidR="00FE281B" w:rsidRDefault="00FE281B" w:rsidP="00FE281B">
      <w:pPr>
        <w:pStyle w:val="ListParagraph"/>
        <w:numPr>
          <w:ilvl w:val="1"/>
          <w:numId w:val="2"/>
        </w:numPr>
        <w:rPr>
          <w:lang w:val="en-CA"/>
        </w:rPr>
      </w:pPr>
      <w:r>
        <w:rPr>
          <w:lang w:val="en-CA"/>
        </w:rPr>
        <w:t>Either the originating or the receiving bank can or will handle any required foreign exchange</w:t>
      </w:r>
    </w:p>
    <w:p w14:paraId="3768324E" w14:textId="77777777" w:rsidR="00FE281B" w:rsidRDefault="00FE281B" w:rsidP="00FE281B">
      <w:pPr>
        <w:pStyle w:val="ListParagraph"/>
        <w:numPr>
          <w:ilvl w:val="0"/>
          <w:numId w:val="2"/>
        </w:numPr>
        <w:rPr>
          <w:lang w:val="en-CA"/>
        </w:rPr>
      </w:pPr>
      <w:r>
        <w:rPr>
          <w:lang w:val="en-CA"/>
        </w:rPr>
        <w:t xml:space="preserve">In non-EMU countries such as the UK, Switzerland, Czech Republic, </w:t>
      </w:r>
      <w:proofErr w:type="gramStart"/>
      <w:r>
        <w:rPr>
          <w:lang w:val="en-CA"/>
        </w:rPr>
        <w:t>etc..</w:t>
      </w:r>
      <w:proofErr w:type="gramEnd"/>
      <w:r>
        <w:rPr>
          <w:lang w:val="en-CA"/>
        </w:rPr>
        <w:t xml:space="preserve"> registered banks are required to receive SEPA payments (credits or debits) but are not required to offer the origination of SEPA payments</w:t>
      </w:r>
    </w:p>
    <w:p w14:paraId="335EAB09" w14:textId="77777777" w:rsidR="00FE281B" w:rsidRDefault="00FE281B" w:rsidP="00FE281B">
      <w:pPr>
        <w:rPr>
          <w:lang w:val="en-CA"/>
        </w:rPr>
      </w:pPr>
    </w:p>
    <w:p w14:paraId="51D443CC" w14:textId="77777777" w:rsidR="00FE281B" w:rsidRPr="00284D53" w:rsidRDefault="00FE281B" w:rsidP="00FE281B">
      <w:pPr>
        <w:rPr>
          <w:b/>
          <w:lang w:val="en-CA"/>
        </w:rPr>
      </w:pPr>
      <w:r w:rsidRPr="00284D53">
        <w:rPr>
          <w:b/>
          <w:lang w:val="en-CA"/>
        </w:rPr>
        <w:t>SEPA – Features</w:t>
      </w:r>
    </w:p>
    <w:p w14:paraId="5739C68B" w14:textId="77777777" w:rsidR="00FE281B" w:rsidRDefault="00FE281B" w:rsidP="00FE281B">
      <w:pPr>
        <w:pStyle w:val="ListParagraph"/>
        <w:numPr>
          <w:ilvl w:val="0"/>
          <w:numId w:val="2"/>
        </w:numPr>
        <w:rPr>
          <w:lang w:val="en-CA"/>
        </w:rPr>
      </w:pPr>
      <w:r>
        <w:rPr>
          <w:lang w:val="en-CA"/>
        </w:rPr>
        <w:t xml:space="preserve">Bulk or single payments </w:t>
      </w:r>
    </w:p>
    <w:p w14:paraId="5E82AFBD" w14:textId="77777777" w:rsidR="00FE281B" w:rsidRDefault="00FE281B" w:rsidP="00FE281B">
      <w:pPr>
        <w:pStyle w:val="ListParagraph"/>
        <w:numPr>
          <w:ilvl w:val="0"/>
          <w:numId w:val="2"/>
        </w:numPr>
        <w:rPr>
          <w:lang w:val="en-CA"/>
        </w:rPr>
      </w:pPr>
      <w:r>
        <w:rPr>
          <w:lang w:val="en-CA"/>
        </w:rPr>
        <w:t>Payment instructions (formats) are in XML</w:t>
      </w:r>
    </w:p>
    <w:p w14:paraId="569CDF6B" w14:textId="77777777" w:rsidR="00FE281B" w:rsidRDefault="00FE281B" w:rsidP="00FE281B">
      <w:pPr>
        <w:pStyle w:val="ListParagraph"/>
        <w:numPr>
          <w:ilvl w:val="0"/>
          <w:numId w:val="2"/>
        </w:numPr>
        <w:rPr>
          <w:lang w:val="en-CA"/>
        </w:rPr>
      </w:pPr>
      <w:r>
        <w:rPr>
          <w:lang w:val="en-CA"/>
        </w:rPr>
        <w:t xml:space="preserve">Handled like ACH transactions </w:t>
      </w:r>
    </w:p>
    <w:p w14:paraId="5B33EC14" w14:textId="77777777" w:rsidR="00FE281B" w:rsidRDefault="00FE281B" w:rsidP="00FE281B">
      <w:pPr>
        <w:pStyle w:val="ListParagraph"/>
        <w:numPr>
          <w:ilvl w:val="1"/>
          <w:numId w:val="2"/>
        </w:numPr>
        <w:rPr>
          <w:lang w:val="en-CA"/>
        </w:rPr>
      </w:pPr>
      <w:r>
        <w:rPr>
          <w:lang w:val="en-CA"/>
        </w:rPr>
        <w:t>Transactions are stored and then forwarded</w:t>
      </w:r>
    </w:p>
    <w:p w14:paraId="71F49DCB" w14:textId="77777777" w:rsidR="00FE281B" w:rsidRDefault="00FE281B" w:rsidP="00FE281B">
      <w:pPr>
        <w:pStyle w:val="ListParagraph"/>
        <w:numPr>
          <w:ilvl w:val="0"/>
          <w:numId w:val="2"/>
        </w:numPr>
        <w:rPr>
          <w:lang w:val="en-CA"/>
        </w:rPr>
      </w:pPr>
      <w:r>
        <w:rPr>
          <w:lang w:val="en-CA"/>
        </w:rPr>
        <w:t xml:space="preserve">Each side </w:t>
      </w:r>
      <w:r w:rsidR="00692442">
        <w:rPr>
          <w:lang w:val="en-CA"/>
        </w:rPr>
        <w:t>pays their</w:t>
      </w:r>
      <w:r>
        <w:rPr>
          <w:lang w:val="en-CA"/>
        </w:rPr>
        <w:t xml:space="preserve"> own fees (fees are not </w:t>
      </w:r>
      <w:r w:rsidR="00692442">
        <w:rPr>
          <w:lang w:val="en-CA"/>
        </w:rPr>
        <w:t>deducted</w:t>
      </w:r>
      <w:r>
        <w:rPr>
          <w:lang w:val="en-CA"/>
        </w:rPr>
        <w:t xml:space="preserve"> from the payment amount)</w:t>
      </w:r>
    </w:p>
    <w:p w14:paraId="50566F7A" w14:textId="77777777" w:rsidR="00FE281B" w:rsidRDefault="00FE281B" w:rsidP="00FE281B">
      <w:pPr>
        <w:pStyle w:val="ListParagraph"/>
        <w:numPr>
          <w:ilvl w:val="1"/>
          <w:numId w:val="2"/>
        </w:numPr>
        <w:rPr>
          <w:lang w:val="en-CA"/>
        </w:rPr>
      </w:pPr>
      <w:r>
        <w:rPr>
          <w:lang w:val="en-CA"/>
        </w:rPr>
        <w:lastRenderedPageBreak/>
        <w:t>If agreed between the receiving bank and the beneficiar</w:t>
      </w:r>
      <w:r w:rsidR="00692442">
        <w:rPr>
          <w:lang w:val="en-CA"/>
        </w:rPr>
        <w:t>y, the fees payable by the bene</w:t>
      </w:r>
      <w:r>
        <w:rPr>
          <w:lang w:val="en-CA"/>
        </w:rPr>
        <w:t>ficiary may be deducted from the SEPA credit transfer</w:t>
      </w:r>
    </w:p>
    <w:p w14:paraId="1EFF898B" w14:textId="77777777" w:rsidR="00692442" w:rsidRDefault="00FE281B" w:rsidP="00692442">
      <w:pPr>
        <w:pStyle w:val="ListParagraph"/>
        <w:numPr>
          <w:ilvl w:val="0"/>
          <w:numId w:val="2"/>
        </w:numPr>
        <w:rPr>
          <w:lang w:val="en-CA"/>
        </w:rPr>
      </w:pPr>
      <w:r>
        <w:rPr>
          <w:lang w:val="en-CA"/>
        </w:rPr>
        <w:t>Unlimited transaction amounts</w:t>
      </w:r>
    </w:p>
    <w:p w14:paraId="4C4C5464" w14:textId="77777777" w:rsidR="00692442" w:rsidRDefault="00692442" w:rsidP="00692442">
      <w:pPr>
        <w:pStyle w:val="ListParagraph"/>
        <w:numPr>
          <w:ilvl w:val="0"/>
          <w:numId w:val="2"/>
        </w:numPr>
        <w:rPr>
          <w:lang w:val="en-CA"/>
        </w:rPr>
      </w:pPr>
      <w:r>
        <w:rPr>
          <w:lang w:val="en-CA"/>
        </w:rPr>
        <w:t>The originating bank must credit the beneficiary bank</w:t>
      </w:r>
    </w:p>
    <w:p w14:paraId="274E5154" w14:textId="77777777" w:rsidR="00692442" w:rsidRDefault="00692442" w:rsidP="00692442">
      <w:pPr>
        <w:pStyle w:val="ListParagraph"/>
        <w:numPr>
          <w:ilvl w:val="0"/>
          <w:numId w:val="2"/>
        </w:numPr>
        <w:rPr>
          <w:lang w:val="en-CA"/>
        </w:rPr>
      </w:pPr>
      <w:r>
        <w:rPr>
          <w:lang w:val="en-CA"/>
        </w:rPr>
        <w:t>The beneficiary bank must credit payment to the beneficiary’s account on the day it receives credit from the payer’s bank. (NO FLOAT)</w:t>
      </w:r>
    </w:p>
    <w:p w14:paraId="0292C48F" w14:textId="77777777" w:rsidR="00692442" w:rsidRDefault="00692442" w:rsidP="00692442">
      <w:pPr>
        <w:pStyle w:val="ListParagraph"/>
        <w:numPr>
          <w:ilvl w:val="0"/>
          <w:numId w:val="2"/>
        </w:numPr>
        <w:rPr>
          <w:lang w:val="en-CA"/>
        </w:rPr>
      </w:pPr>
      <w:r>
        <w:rPr>
          <w:lang w:val="en-CA"/>
        </w:rPr>
        <w:t>140 characters of structured or unstructured remittance data (the beneficiary bank may opt to provide the remittance data on paper or electronically)</w:t>
      </w:r>
    </w:p>
    <w:p w14:paraId="538B4889" w14:textId="77777777" w:rsidR="00B53F47" w:rsidRDefault="00B53F47" w:rsidP="00692442">
      <w:pPr>
        <w:pStyle w:val="ListParagraph"/>
        <w:numPr>
          <w:ilvl w:val="0"/>
          <w:numId w:val="2"/>
        </w:numPr>
        <w:rPr>
          <w:lang w:val="en-CA"/>
        </w:rPr>
      </w:pPr>
      <w:r>
        <w:rPr>
          <w:lang w:val="en-CA"/>
        </w:rPr>
        <w:t xml:space="preserve">Originators and originator banks may recall payments provided: </w:t>
      </w:r>
    </w:p>
    <w:p w14:paraId="216A9E85" w14:textId="77777777" w:rsidR="00B53F47" w:rsidRDefault="00B53F47" w:rsidP="00B53F47">
      <w:pPr>
        <w:pStyle w:val="ListParagraph"/>
        <w:numPr>
          <w:ilvl w:val="1"/>
          <w:numId w:val="2"/>
        </w:numPr>
        <w:rPr>
          <w:lang w:val="en-CA"/>
        </w:rPr>
      </w:pPr>
      <w:r>
        <w:rPr>
          <w:lang w:val="en-CA"/>
        </w:rPr>
        <w:t xml:space="preserve">They are duplicate payments </w:t>
      </w:r>
    </w:p>
    <w:p w14:paraId="12500A45" w14:textId="77777777" w:rsidR="00B53F47" w:rsidRDefault="00B53F47" w:rsidP="00B53F47">
      <w:pPr>
        <w:pStyle w:val="ListParagraph"/>
        <w:numPr>
          <w:ilvl w:val="1"/>
          <w:numId w:val="2"/>
        </w:numPr>
        <w:rPr>
          <w:lang w:val="en-CA"/>
        </w:rPr>
      </w:pPr>
      <w:r>
        <w:rPr>
          <w:lang w:val="en-CA"/>
        </w:rPr>
        <w:t xml:space="preserve">Are a result of a technical </w:t>
      </w:r>
      <w:proofErr w:type="gramStart"/>
      <w:r>
        <w:rPr>
          <w:lang w:val="en-CA"/>
        </w:rPr>
        <w:t>problem</w:t>
      </w:r>
      <w:proofErr w:type="gramEnd"/>
    </w:p>
    <w:p w14:paraId="23A6A427" w14:textId="77777777" w:rsidR="00B53F47" w:rsidRDefault="00B53F47" w:rsidP="00B53F47">
      <w:pPr>
        <w:pStyle w:val="ListParagraph"/>
        <w:numPr>
          <w:ilvl w:val="1"/>
          <w:numId w:val="2"/>
        </w:numPr>
        <w:rPr>
          <w:lang w:val="en-CA"/>
        </w:rPr>
      </w:pPr>
      <w:r>
        <w:rPr>
          <w:lang w:val="en-CA"/>
        </w:rPr>
        <w:t>Are fra</w:t>
      </w:r>
      <w:r w:rsidR="00284D53">
        <w:rPr>
          <w:lang w:val="en-CA"/>
        </w:rPr>
        <w:t>udulent</w:t>
      </w:r>
    </w:p>
    <w:p w14:paraId="4AF430A7" w14:textId="77777777" w:rsidR="00284D53" w:rsidRDefault="00284D53" w:rsidP="00B53F47">
      <w:pPr>
        <w:pStyle w:val="ListParagraph"/>
        <w:numPr>
          <w:ilvl w:val="1"/>
          <w:numId w:val="2"/>
        </w:numPr>
        <w:rPr>
          <w:lang w:val="en-CA"/>
        </w:rPr>
      </w:pPr>
      <w:r>
        <w:rPr>
          <w:lang w:val="en-CA"/>
        </w:rPr>
        <w:t>Had been sent to the clearing house less than 10 banking business days ago and not processed yet</w:t>
      </w:r>
    </w:p>
    <w:p w14:paraId="14FB5142" w14:textId="77777777" w:rsidR="00284D53" w:rsidRDefault="00284D53" w:rsidP="00284D53">
      <w:pPr>
        <w:pStyle w:val="ListParagraph"/>
        <w:numPr>
          <w:ilvl w:val="0"/>
          <w:numId w:val="2"/>
        </w:numPr>
        <w:rPr>
          <w:lang w:val="en-CA"/>
        </w:rPr>
      </w:pPr>
      <w:r>
        <w:rPr>
          <w:lang w:val="en-CA"/>
        </w:rPr>
        <w:t>If funds have already been credited to the beneficiary, the beneficiary’s bank can send bank recalled payments or unauthorised SEPA payments for up to 13 months provided:</w:t>
      </w:r>
    </w:p>
    <w:p w14:paraId="08691B9C" w14:textId="77777777" w:rsidR="00284D53" w:rsidRDefault="00284D53" w:rsidP="00284D53">
      <w:pPr>
        <w:pStyle w:val="ListParagraph"/>
        <w:numPr>
          <w:ilvl w:val="1"/>
          <w:numId w:val="2"/>
        </w:numPr>
        <w:rPr>
          <w:lang w:val="en-CA"/>
        </w:rPr>
      </w:pPr>
      <w:r>
        <w:rPr>
          <w:lang w:val="en-CA"/>
        </w:rPr>
        <w:t>Local laws allow</w:t>
      </w:r>
    </w:p>
    <w:p w14:paraId="4354DFDA" w14:textId="77777777" w:rsidR="00284D53" w:rsidRDefault="00284D53" w:rsidP="00284D53">
      <w:pPr>
        <w:pStyle w:val="ListParagraph"/>
        <w:numPr>
          <w:ilvl w:val="1"/>
          <w:numId w:val="2"/>
        </w:numPr>
        <w:rPr>
          <w:lang w:val="en-CA"/>
        </w:rPr>
      </w:pPr>
      <w:r>
        <w:rPr>
          <w:lang w:val="en-CA"/>
        </w:rPr>
        <w:t xml:space="preserve">There are sufficient funds available </w:t>
      </w:r>
    </w:p>
    <w:p w14:paraId="2A1C802B" w14:textId="77777777" w:rsidR="00284D53" w:rsidRDefault="00284D53" w:rsidP="00284D53">
      <w:pPr>
        <w:pStyle w:val="ListParagraph"/>
        <w:numPr>
          <w:ilvl w:val="1"/>
          <w:numId w:val="2"/>
        </w:numPr>
        <w:rPr>
          <w:lang w:val="en-CA"/>
        </w:rPr>
      </w:pPr>
      <w:r>
        <w:rPr>
          <w:lang w:val="en-CA"/>
        </w:rPr>
        <w:t>The beneficiary consents, if such a consent is necessary locally</w:t>
      </w:r>
    </w:p>
    <w:p w14:paraId="226DC086" w14:textId="77777777" w:rsidR="00284D53" w:rsidRDefault="00284D53" w:rsidP="00284D53">
      <w:pPr>
        <w:rPr>
          <w:lang w:val="en-CA"/>
        </w:rPr>
      </w:pPr>
    </w:p>
    <w:p w14:paraId="677F926B" w14:textId="77777777" w:rsidR="00284D53" w:rsidRPr="00284D53" w:rsidRDefault="00284D53" w:rsidP="00284D53">
      <w:pPr>
        <w:rPr>
          <w:b/>
          <w:lang w:val="en-CA"/>
        </w:rPr>
      </w:pPr>
      <w:r w:rsidRPr="00284D53">
        <w:rPr>
          <w:b/>
          <w:lang w:val="en-CA"/>
        </w:rPr>
        <w:t>Benefits of SEPA</w:t>
      </w:r>
    </w:p>
    <w:p w14:paraId="2421067D" w14:textId="77777777" w:rsidR="00284D53" w:rsidRDefault="00284D53" w:rsidP="00284D53">
      <w:pPr>
        <w:pStyle w:val="ListParagraph"/>
        <w:numPr>
          <w:ilvl w:val="0"/>
          <w:numId w:val="2"/>
        </w:numPr>
        <w:rPr>
          <w:lang w:val="en-CA"/>
        </w:rPr>
      </w:pPr>
      <w:r>
        <w:rPr>
          <w:lang w:val="en-CA"/>
        </w:rPr>
        <w:t>Collecting regular payments such as subscriptions</w:t>
      </w:r>
    </w:p>
    <w:p w14:paraId="2202A74E" w14:textId="77777777" w:rsidR="00284D53" w:rsidRDefault="00284D53" w:rsidP="00284D53">
      <w:pPr>
        <w:pStyle w:val="ListParagraph"/>
        <w:numPr>
          <w:ilvl w:val="1"/>
          <w:numId w:val="2"/>
        </w:numPr>
        <w:rPr>
          <w:lang w:val="en-CA"/>
        </w:rPr>
      </w:pPr>
      <w:r>
        <w:rPr>
          <w:lang w:val="en-CA"/>
        </w:rPr>
        <w:t>For companies collecting regular payments such as membership or subscription organizations SEPA direct has three important advantages:</w:t>
      </w:r>
    </w:p>
    <w:p w14:paraId="5AD91029" w14:textId="77777777" w:rsidR="00284D53" w:rsidRDefault="00284D53" w:rsidP="00284D53">
      <w:pPr>
        <w:pStyle w:val="ListParagraph"/>
        <w:numPr>
          <w:ilvl w:val="2"/>
          <w:numId w:val="2"/>
        </w:numPr>
        <w:rPr>
          <w:lang w:val="en-CA"/>
        </w:rPr>
      </w:pPr>
      <w:r>
        <w:rPr>
          <w:lang w:val="en-CA"/>
        </w:rPr>
        <w:t>Control – Using SEPA direct debit enables merchants to ensure that customers will pay their bills on time every month</w:t>
      </w:r>
    </w:p>
    <w:p w14:paraId="544DD0E8" w14:textId="77777777" w:rsidR="00284D53" w:rsidRDefault="00284D53" w:rsidP="00284D53">
      <w:pPr>
        <w:pStyle w:val="ListParagraph"/>
        <w:numPr>
          <w:ilvl w:val="2"/>
          <w:numId w:val="2"/>
        </w:numPr>
        <w:rPr>
          <w:lang w:val="en-CA"/>
        </w:rPr>
      </w:pPr>
      <w:r>
        <w:rPr>
          <w:lang w:val="en-CA"/>
        </w:rPr>
        <w:t>Retention rates – Using SEPA direct debit eliminates failed payments due to card expiry or cancellation. It also increases customer loyalty by offering a convenient “set it and forget it” payment method</w:t>
      </w:r>
    </w:p>
    <w:p w14:paraId="48543038" w14:textId="77777777" w:rsidR="00284D53" w:rsidRDefault="00284D53" w:rsidP="00284D53">
      <w:pPr>
        <w:pStyle w:val="ListParagraph"/>
        <w:numPr>
          <w:ilvl w:val="2"/>
          <w:numId w:val="2"/>
        </w:numPr>
        <w:rPr>
          <w:lang w:val="en-CA"/>
        </w:rPr>
      </w:pPr>
      <w:r>
        <w:rPr>
          <w:lang w:val="en-CA"/>
        </w:rPr>
        <w:t>Reduced admin – Using SEPA direct debit reduces the admin time involved in chasing and imputing updates to card details</w:t>
      </w:r>
    </w:p>
    <w:p w14:paraId="60CAA950" w14:textId="77777777" w:rsidR="00284D53" w:rsidRDefault="00284D53" w:rsidP="00284D53">
      <w:pPr>
        <w:rPr>
          <w:lang w:val="en-CA"/>
        </w:rPr>
      </w:pPr>
    </w:p>
    <w:p w14:paraId="59CE3B27" w14:textId="77777777" w:rsidR="00284D53" w:rsidRPr="00284D53" w:rsidRDefault="00284D53" w:rsidP="00284D53">
      <w:pPr>
        <w:rPr>
          <w:b/>
          <w:lang w:val="en-CA"/>
        </w:rPr>
      </w:pPr>
      <w:bookmarkStart w:id="0" w:name="_GoBack"/>
      <w:r w:rsidRPr="00284D53">
        <w:rPr>
          <w:b/>
          <w:lang w:val="en-CA"/>
        </w:rPr>
        <w:t>SEPA – Other payment types</w:t>
      </w:r>
    </w:p>
    <w:bookmarkEnd w:id="0"/>
    <w:p w14:paraId="57C01FE2" w14:textId="77777777" w:rsidR="00284D53" w:rsidRDefault="00284D53" w:rsidP="00284D53">
      <w:pPr>
        <w:pStyle w:val="ListParagraph"/>
        <w:numPr>
          <w:ilvl w:val="0"/>
          <w:numId w:val="2"/>
        </w:numPr>
        <w:rPr>
          <w:lang w:val="en-CA"/>
        </w:rPr>
      </w:pPr>
      <w:r>
        <w:rPr>
          <w:lang w:val="en-CA"/>
        </w:rPr>
        <w:t>SEPA cards: card payments (credit or debit)</w:t>
      </w:r>
    </w:p>
    <w:p w14:paraId="0093FD58" w14:textId="77777777" w:rsidR="00284D53" w:rsidRDefault="00284D53" w:rsidP="00284D53">
      <w:pPr>
        <w:pStyle w:val="ListParagraph"/>
        <w:numPr>
          <w:ilvl w:val="1"/>
          <w:numId w:val="2"/>
        </w:numPr>
        <w:rPr>
          <w:lang w:val="en-CA"/>
        </w:rPr>
      </w:pPr>
      <w:r>
        <w:rPr>
          <w:lang w:val="en-CA"/>
        </w:rPr>
        <w:t>Enabled consumers to use the same cards they use in their own country for purchases everywhere in Europe (Payments in EURO)</w:t>
      </w:r>
    </w:p>
    <w:p w14:paraId="486ABD16" w14:textId="77777777" w:rsidR="00284D53" w:rsidRDefault="00284D53" w:rsidP="00284D53">
      <w:pPr>
        <w:pStyle w:val="ListParagraph"/>
        <w:numPr>
          <w:ilvl w:val="0"/>
          <w:numId w:val="2"/>
        </w:numPr>
        <w:rPr>
          <w:lang w:val="en-CA"/>
        </w:rPr>
      </w:pPr>
      <w:r>
        <w:rPr>
          <w:lang w:val="en-CA"/>
        </w:rPr>
        <w:t>SEPA mobile: mobile payments</w:t>
      </w:r>
    </w:p>
    <w:p w14:paraId="41E4BD99" w14:textId="77777777" w:rsidR="00284D53" w:rsidRDefault="00284D53" w:rsidP="00284D53">
      <w:pPr>
        <w:pStyle w:val="ListParagraph"/>
        <w:numPr>
          <w:ilvl w:val="1"/>
          <w:numId w:val="2"/>
        </w:numPr>
        <w:rPr>
          <w:lang w:val="en-CA"/>
        </w:rPr>
      </w:pPr>
      <w:r>
        <w:rPr>
          <w:lang w:val="en-CA"/>
        </w:rPr>
        <w:t>Under development</w:t>
      </w:r>
    </w:p>
    <w:p w14:paraId="7F4A7C42" w14:textId="77777777" w:rsidR="00284D53" w:rsidRDefault="00284D53" w:rsidP="00284D53">
      <w:pPr>
        <w:pStyle w:val="ListParagraph"/>
        <w:numPr>
          <w:ilvl w:val="0"/>
          <w:numId w:val="2"/>
        </w:numPr>
        <w:rPr>
          <w:lang w:val="en-CA"/>
        </w:rPr>
      </w:pPr>
      <w:r>
        <w:rPr>
          <w:lang w:val="en-CA"/>
        </w:rPr>
        <w:t>SEPA cash:</w:t>
      </w:r>
    </w:p>
    <w:p w14:paraId="678DDC78" w14:textId="77777777" w:rsidR="00284D53" w:rsidRDefault="00284D53" w:rsidP="00284D53">
      <w:pPr>
        <w:pStyle w:val="ListParagraph"/>
        <w:numPr>
          <w:ilvl w:val="1"/>
          <w:numId w:val="2"/>
        </w:numPr>
        <w:rPr>
          <w:lang w:val="en-CA"/>
        </w:rPr>
      </w:pPr>
      <w:r>
        <w:rPr>
          <w:lang w:val="en-CA"/>
        </w:rPr>
        <w:t>Improve cross-national handling of EUR cash</w:t>
      </w:r>
    </w:p>
    <w:p w14:paraId="484FE865" w14:textId="77777777" w:rsidR="00284D53" w:rsidRPr="00284D53" w:rsidRDefault="00284D53" w:rsidP="00284D53">
      <w:pPr>
        <w:pStyle w:val="ListParagraph"/>
        <w:numPr>
          <w:ilvl w:val="1"/>
          <w:numId w:val="2"/>
        </w:numPr>
        <w:rPr>
          <w:lang w:val="en-CA"/>
        </w:rPr>
      </w:pPr>
      <w:r>
        <w:rPr>
          <w:lang w:val="en-CA"/>
        </w:rPr>
        <w:t xml:space="preserve">Under development </w:t>
      </w:r>
    </w:p>
    <w:sectPr w:rsidR="00284D53" w:rsidRPr="00284D53" w:rsidSect="000C0D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D04AE6"/>
    <w:multiLevelType w:val="hybridMultilevel"/>
    <w:tmpl w:val="22A0A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4E3797"/>
    <w:multiLevelType w:val="hybridMultilevel"/>
    <w:tmpl w:val="909EA690"/>
    <w:lvl w:ilvl="0" w:tplc="31AC065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81B"/>
    <w:rsid w:val="000C0D20"/>
    <w:rsid w:val="00284D53"/>
    <w:rsid w:val="00692442"/>
    <w:rsid w:val="00B53F47"/>
    <w:rsid w:val="00B84EE6"/>
    <w:rsid w:val="00FE2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560E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28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562</Words>
  <Characters>3207</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jawiche</dc:creator>
  <cp:keywords/>
  <dc:description/>
  <cp:lastModifiedBy>crystal jawiche</cp:lastModifiedBy>
  <cp:revision>1</cp:revision>
  <dcterms:created xsi:type="dcterms:W3CDTF">2020-01-14T19:02:00Z</dcterms:created>
  <dcterms:modified xsi:type="dcterms:W3CDTF">2020-01-14T19:29:00Z</dcterms:modified>
</cp:coreProperties>
</file>