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443C" w:rsidRDefault="00405CB4">
      <w:pPr>
        <w:jc w:val="center"/>
      </w:pPr>
      <w:bookmarkStart w:id="0" w:name="_gjdgxs" w:colFirst="0" w:colLast="0"/>
      <w:bookmarkEnd w:id="0"/>
      <w:proofErr w:type="spellStart"/>
      <w:r>
        <w:t>Karlan</w:t>
      </w:r>
      <w:proofErr w:type="spellEnd"/>
      <w:r>
        <w:t xml:space="preserve"> Macroeconomics Translation MCQ Ch. 8</w:t>
      </w:r>
    </w:p>
    <w:p w:rsidR="00F4443C" w:rsidRPr="00405CB4" w:rsidRDefault="00405CB4">
      <w:pPr>
        <w:numPr>
          <w:ilvl w:val="0"/>
          <w:numId w:val="3"/>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Un panier d’épicerie: </w:t>
      </w: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405CB4">
      <w:pPr>
        <w:numPr>
          <w:ilvl w:val="0"/>
          <w:numId w:val="2"/>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se compose de pas plus de 4 biens </w:t>
      </w:r>
    </w:p>
    <w:p w:rsidR="00F4443C" w:rsidRPr="00405CB4" w:rsidRDefault="00405CB4">
      <w:pPr>
        <w:numPr>
          <w:ilvl w:val="0"/>
          <w:numId w:val="2"/>
        </w:numPr>
        <w:spacing w:after="0" w:line="240" w:lineRule="auto"/>
        <w:contextualSpacing/>
        <w:rPr>
          <w:rFonts w:ascii="Times New Roman" w:eastAsia="Times New Roman" w:hAnsi="Times New Roman" w:cs="Times New Roman"/>
          <w:sz w:val="24"/>
          <w:szCs w:val="24"/>
          <w:highlight w:val="yellow"/>
          <w:lang w:val="fr-CA"/>
        </w:rPr>
      </w:pPr>
      <w:r w:rsidRPr="00405CB4">
        <w:rPr>
          <w:rFonts w:ascii="Times New Roman" w:eastAsia="Times New Roman" w:hAnsi="Times New Roman" w:cs="Times New Roman"/>
          <w:sz w:val="24"/>
          <w:szCs w:val="24"/>
          <w:highlight w:val="yellow"/>
          <w:lang w:val="fr-CA"/>
        </w:rPr>
        <w:t xml:space="preserve">comprend des biens et des services précis, en quantités fixes, qui correspondent plus ou moins aux dépenses d’un consommateur type. </w:t>
      </w:r>
    </w:p>
    <w:p w:rsidR="00F4443C" w:rsidRPr="00405CB4" w:rsidRDefault="00405CB4">
      <w:pPr>
        <w:numPr>
          <w:ilvl w:val="0"/>
          <w:numId w:val="2"/>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comprend l'hébergement, la nourriture, les vêtements, le transport, et le pétrole. </w:t>
      </w:r>
    </w:p>
    <w:p w:rsidR="00F4443C" w:rsidRPr="00405CB4" w:rsidRDefault="00405CB4">
      <w:pPr>
        <w:numPr>
          <w:ilvl w:val="0"/>
          <w:numId w:val="2"/>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ne comprend que les biens de première nécessité.</w:t>
      </w: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405CB4">
      <w:pPr>
        <w:spacing w:after="0" w:line="240" w:lineRule="auto"/>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2. Supposons que l'année de référence de l’IPC est 2010, et l’IPC calculé pour 2012 était 102. Quelle est l'interprétation correcte de ce chiffre? </w:t>
      </w: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405CB4">
      <w:pPr>
        <w:numPr>
          <w:ilvl w:val="0"/>
          <w:numId w:val="12"/>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Les prix moyens dans l'économie ont augmenté par 102 pourcent depuis 2010. </w:t>
      </w:r>
    </w:p>
    <w:p w:rsidR="00F4443C" w:rsidRPr="00405CB4" w:rsidRDefault="00405CB4">
      <w:pPr>
        <w:numPr>
          <w:ilvl w:val="0"/>
          <w:numId w:val="12"/>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Les prix moyens dans l'économie ont augmenté par 4 pourcent depuis 2010. </w:t>
      </w:r>
    </w:p>
    <w:p w:rsidR="00F4443C" w:rsidRPr="00405CB4" w:rsidRDefault="00405CB4">
      <w:pPr>
        <w:numPr>
          <w:ilvl w:val="0"/>
          <w:numId w:val="12"/>
        </w:numPr>
        <w:spacing w:after="0" w:line="240" w:lineRule="auto"/>
        <w:contextualSpacing/>
        <w:rPr>
          <w:rFonts w:ascii="Times New Roman" w:eastAsia="Times New Roman" w:hAnsi="Times New Roman" w:cs="Times New Roman"/>
          <w:sz w:val="24"/>
          <w:szCs w:val="24"/>
          <w:highlight w:val="yellow"/>
          <w:lang w:val="fr-CA"/>
        </w:rPr>
      </w:pPr>
      <w:r w:rsidRPr="00405CB4">
        <w:rPr>
          <w:rFonts w:ascii="Times New Roman" w:eastAsia="Times New Roman" w:hAnsi="Times New Roman" w:cs="Times New Roman"/>
          <w:sz w:val="24"/>
          <w:szCs w:val="24"/>
          <w:highlight w:val="yellow"/>
          <w:lang w:val="fr-CA"/>
        </w:rPr>
        <w:t xml:space="preserve">Le coût de la vie d’un consommateur type est de 2 pourcent plus élevé qu’en 2010. </w:t>
      </w:r>
    </w:p>
    <w:p w:rsidR="00F4443C" w:rsidRPr="00405CB4" w:rsidRDefault="00405CB4">
      <w:pPr>
        <w:numPr>
          <w:ilvl w:val="0"/>
          <w:numId w:val="12"/>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La moyenne des biens des consommateurs a augmenté en moyenne de 2 pourcent de 2010 à 2012. </w:t>
      </w: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405CB4">
      <w:pPr>
        <w:spacing w:after="0" w:line="240" w:lineRule="auto"/>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3. L’innovation: </w:t>
      </w:r>
    </w:p>
    <w:p w:rsidR="00F4443C" w:rsidRPr="00405CB4" w:rsidRDefault="00405CB4">
      <w:pPr>
        <w:numPr>
          <w:ilvl w:val="0"/>
          <w:numId w:val="14"/>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présente un problème à ceux qui calculent l’IPC car ils utilisent une panoplie de paniers. </w:t>
      </w:r>
    </w:p>
    <w:p w:rsidR="00F4443C" w:rsidRPr="00405CB4" w:rsidRDefault="00405CB4">
      <w:pPr>
        <w:numPr>
          <w:ilvl w:val="0"/>
          <w:numId w:val="14"/>
        </w:numPr>
        <w:spacing w:after="0" w:line="240" w:lineRule="auto"/>
        <w:contextualSpacing/>
        <w:rPr>
          <w:rFonts w:ascii="Times New Roman" w:eastAsia="Times New Roman" w:hAnsi="Times New Roman" w:cs="Times New Roman"/>
          <w:sz w:val="24"/>
          <w:szCs w:val="24"/>
          <w:highlight w:val="yellow"/>
          <w:lang w:val="fr-CA"/>
        </w:rPr>
      </w:pPr>
      <w:r w:rsidRPr="00405CB4">
        <w:rPr>
          <w:rFonts w:ascii="Times New Roman" w:eastAsia="Times New Roman" w:hAnsi="Times New Roman" w:cs="Times New Roman"/>
          <w:sz w:val="24"/>
          <w:szCs w:val="24"/>
          <w:highlight w:val="yellow"/>
          <w:lang w:val="fr-CA"/>
        </w:rPr>
        <w:t xml:space="preserve">fait que le panier d'épicerie ne reflète pas avec précision la popularisation de ces biens.  </w:t>
      </w:r>
    </w:p>
    <w:p w:rsidR="00F4443C" w:rsidRPr="00405CB4" w:rsidRDefault="00405CB4">
      <w:pPr>
        <w:numPr>
          <w:ilvl w:val="0"/>
          <w:numId w:val="14"/>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peut engendrer une sous-évaluation de l’IPC. </w:t>
      </w:r>
    </w:p>
    <w:p w:rsidR="00F4443C" w:rsidRPr="00405CB4" w:rsidRDefault="00405CB4">
      <w:pPr>
        <w:numPr>
          <w:ilvl w:val="0"/>
          <w:numId w:val="14"/>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est compté dans l’IPC. </w:t>
      </w: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405CB4">
      <w:pPr>
        <w:spacing w:after="0" w:line="240" w:lineRule="auto"/>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4. L’inflation fondamentale:</w:t>
      </w:r>
    </w:p>
    <w:p w:rsidR="00F4443C" w:rsidRPr="00405CB4" w:rsidRDefault="00405CB4">
      <w:pPr>
        <w:numPr>
          <w:ilvl w:val="0"/>
          <w:numId w:val="4"/>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mesure les variations des prix de l’ensemble du panier d'épicerie du consommateur urbain moyen. </w:t>
      </w:r>
    </w:p>
    <w:p w:rsidR="00F4443C" w:rsidRPr="00405CB4" w:rsidRDefault="00405CB4">
      <w:pPr>
        <w:numPr>
          <w:ilvl w:val="0"/>
          <w:numId w:val="4"/>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est l’inflation mesurée en utilisant l’indice des prix à la production. </w:t>
      </w:r>
    </w:p>
    <w:p w:rsidR="00F4443C" w:rsidRPr="00405CB4" w:rsidRDefault="00405CB4">
      <w:pPr>
        <w:numPr>
          <w:ilvl w:val="0"/>
          <w:numId w:val="4"/>
        </w:numPr>
        <w:spacing w:after="0" w:line="240" w:lineRule="auto"/>
        <w:contextualSpacing/>
        <w:rPr>
          <w:rFonts w:ascii="Times New Roman" w:eastAsia="Times New Roman" w:hAnsi="Times New Roman" w:cs="Times New Roman"/>
          <w:sz w:val="24"/>
          <w:szCs w:val="24"/>
          <w:highlight w:val="yellow"/>
          <w:lang w:val="fr-CA"/>
        </w:rPr>
      </w:pPr>
      <w:proofErr w:type="gramStart"/>
      <w:r w:rsidRPr="00405CB4">
        <w:rPr>
          <w:rFonts w:ascii="Times New Roman" w:eastAsia="Times New Roman" w:hAnsi="Times New Roman" w:cs="Times New Roman"/>
          <w:sz w:val="24"/>
          <w:szCs w:val="24"/>
          <w:highlight w:val="yellow"/>
          <w:lang w:val="fr-CA"/>
        </w:rPr>
        <w:t>mesure</w:t>
      </w:r>
      <w:proofErr w:type="gramEnd"/>
      <w:r w:rsidRPr="00405CB4">
        <w:rPr>
          <w:rFonts w:ascii="Times New Roman" w:eastAsia="Times New Roman" w:hAnsi="Times New Roman" w:cs="Times New Roman"/>
          <w:sz w:val="24"/>
          <w:szCs w:val="24"/>
          <w:highlight w:val="yellow"/>
          <w:lang w:val="fr-CA"/>
        </w:rPr>
        <w:t xml:space="preserve"> les variations des prix de le panier d'épicerie du consommateur urbain moyen avec les coûts de nourriture et d'énergie retirés. </w:t>
      </w:r>
    </w:p>
    <w:p w:rsidR="00F4443C" w:rsidRPr="00405CB4" w:rsidRDefault="00405CB4">
      <w:pPr>
        <w:numPr>
          <w:ilvl w:val="0"/>
          <w:numId w:val="4"/>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est l’inflation mesurée en utilisant l’indice des prix de vente.</w:t>
      </w: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405CB4">
      <w:pPr>
        <w:spacing w:after="0" w:line="240" w:lineRule="auto"/>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5. Tandis que l’IPC suit la variation des prix pour les consommateurs, l’IPP: </w:t>
      </w:r>
    </w:p>
    <w:p w:rsidR="00F4443C" w:rsidRPr="00405CB4" w:rsidRDefault="00405CB4">
      <w:pPr>
        <w:numPr>
          <w:ilvl w:val="0"/>
          <w:numId w:val="5"/>
        </w:numPr>
        <w:spacing w:after="0" w:line="240" w:lineRule="auto"/>
        <w:contextualSpacing/>
        <w:rPr>
          <w:rFonts w:ascii="Times New Roman" w:eastAsia="Times New Roman" w:hAnsi="Times New Roman" w:cs="Times New Roman"/>
          <w:sz w:val="24"/>
          <w:szCs w:val="24"/>
          <w:highlight w:val="yellow"/>
          <w:lang w:val="fr-CA"/>
        </w:rPr>
      </w:pPr>
      <w:r w:rsidRPr="00405CB4">
        <w:rPr>
          <w:rFonts w:ascii="Times New Roman" w:eastAsia="Times New Roman" w:hAnsi="Times New Roman" w:cs="Times New Roman"/>
          <w:sz w:val="24"/>
          <w:szCs w:val="24"/>
          <w:highlight w:val="yellow"/>
          <w:lang w:val="fr-CA"/>
        </w:rPr>
        <w:t xml:space="preserve">mesure les prix des biens et des services achetés par les entreprises. </w:t>
      </w:r>
    </w:p>
    <w:p w:rsidR="00F4443C" w:rsidRPr="00405CB4" w:rsidRDefault="00405CB4">
      <w:pPr>
        <w:numPr>
          <w:ilvl w:val="0"/>
          <w:numId w:val="5"/>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signifie l’indice des prix et du pouvoir d’achat. </w:t>
      </w:r>
    </w:p>
    <w:p w:rsidR="00F4443C" w:rsidRPr="00405CB4" w:rsidRDefault="00405CB4">
      <w:pPr>
        <w:numPr>
          <w:ilvl w:val="0"/>
          <w:numId w:val="5"/>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suit expressément les variations dans la production qui affectent le producteur type.</w:t>
      </w:r>
    </w:p>
    <w:p w:rsidR="00F4443C" w:rsidRPr="00405CB4" w:rsidRDefault="00405CB4">
      <w:pPr>
        <w:numPr>
          <w:ilvl w:val="0"/>
          <w:numId w:val="5"/>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Tous ces énoncés sont vrais.</w:t>
      </w: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405CB4">
      <w:pPr>
        <w:spacing w:after="0" w:line="240" w:lineRule="auto"/>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6. Un bien qui est probablement dans l’indice des prix à la production est: </w:t>
      </w:r>
    </w:p>
    <w:p w:rsidR="00F4443C" w:rsidRPr="00405CB4" w:rsidRDefault="00405CB4">
      <w:pPr>
        <w:numPr>
          <w:ilvl w:val="0"/>
          <w:numId w:val="9"/>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«les consommateurs urbains»</w:t>
      </w:r>
    </w:p>
    <w:p w:rsidR="00F4443C" w:rsidRPr="00405CB4" w:rsidRDefault="00405CB4">
      <w:pPr>
        <w:numPr>
          <w:ilvl w:val="0"/>
          <w:numId w:val="9"/>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les professeurs. </w:t>
      </w:r>
    </w:p>
    <w:p w:rsidR="00F4443C" w:rsidRPr="00405CB4" w:rsidRDefault="00405CB4">
      <w:pPr>
        <w:numPr>
          <w:ilvl w:val="0"/>
          <w:numId w:val="9"/>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highlight w:val="yellow"/>
          <w:lang w:val="fr-CA"/>
        </w:rPr>
        <w:t>le bois d’œuvre.</w:t>
      </w:r>
      <w:r w:rsidRPr="00405CB4">
        <w:rPr>
          <w:rFonts w:ascii="Times New Roman" w:eastAsia="Times New Roman" w:hAnsi="Times New Roman" w:cs="Times New Roman"/>
          <w:sz w:val="24"/>
          <w:szCs w:val="24"/>
          <w:lang w:val="fr-CA"/>
        </w:rPr>
        <w:t xml:space="preserve"> </w:t>
      </w:r>
    </w:p>
    <w:p w:rsidR="00F4443C" w:rsidRPr="00405CB4" w:rsidRDefault="00405CB4">
      <w:pPr>
        <w:numPr>
          <w:ilvl w:val="0"/>
          <w:numId w:val="9"/>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les pommes. </w:t>
      </w: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405CB4">
      <w:pPr>
        <w:spacing w:after="0" w:line="240" w:lineRule="auto"/>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7. L’indice des prix à la production est considéré comme un bon facteur prédictif des futurs prix à la consommation parce que: </w:t>
      </w:r>
    </w:p>
    <w:p w:rsidR="00F4443C" w:rsidRPr="00405CB4" w:rsidRDefault="00405CB4">
      <w:pPr>
        <w:numPr>
          <w:ilvl w:val="0"/>
          <w:numId w:val="1"/>
        </w:numPr>
        <w:spacing w:after="0" w:line="240" w:lineRule="auto"/>
        <w:contextualSpacing/>
        <w:rPr>
          <w:rFonts w:ascii="Times New Roman" w:eastAsia="Times New Roman" w:hAnsi="Times New Roman" w:cs="Times New Roman"/>
          <w:sz w:val="24"/>
          <w:szCs w:val="24"/>
          <w:highlight w:val="yellow"/>
          <w:lang w:val="fr-CA"/>
        </w:rPr>
      </w:pPr>
      <w:r w:rsidRPr="00405CB4">
        <w:rPr>
          <w:rFonts w:ascii="Times New Roman" w:eastAsia="Times New Roman" w:hAnsi="Times New Roman" w:cs="Times New Roman"/>
          <w:sz w:val="24"/>
          <w:szCs w:val="24"/>
          <w:highlight w:val="yellow"/>
          <w:lang w:val="fr-CA"/>
        </w:rPr>
        <w:lastRenderedPageBreak/>
        <w:t xml:space="preserve">l’augmentation du prix des intrants aura tôt ou tard une incidence sur les consommateurs quand ils achètent le produit final. </w:t>
      </w:r>
    </w:p>
    <w:p w:rsidR="00F4443C" w:rsidRPr="00405CB4" w:rsidRDefault="00405CB4">
      <w:pPr>
        <w:numPr>
          <w:ilvl w:val="0"/>
          <w:numId w:val="1"/>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les augmentations des prix des intrants sont représentées dans l’IPP, alors cela ajuste automatiquement l’IPC.  </w:t>
      </w:r>
    </w:p>
    <w:p w:rsidR="00F4443C" w:rsidRPr="00405CB4" w:rsidRDefault="00405CB4">
      <w:pPr>
        <w:numPr>
          <w:ilvl w:val="0"/>
          <w:numId w:val="1"/>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les augmentations des prix des intrants sont observées en premier dans l’IPP, ajustant l’IPC à la baisse.</w:t>
      </w:r>
    </w:p>
    <w:p w:rsidR="00F4443C" w:rsidRPr="00405CB4" w:rsidRDefault="00405CB4">
      <w:pPr>
        <w:numPr>
          <w:ilvl w:val="0"/>
          <w:numId w:val="1"/>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Aucun de ces énoncés n’est vrai. </w:t>
      </w: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405CB4">
      <w:pPr>
        <w:spacing w:after="0" w:line="240" w:lineRule="auto"/>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8. Le déflateur du PIB:  </w:t>
      </w:r>
    </w:p>
    <w:p w:rsidR="00F4443C" w:rsidRPr="00405CB4" w:rsidRDefault="00405CB4">
      <w:pPr>
        <w:numPr>
          <w:ilvl w:val="0"/>
          <w:numId w:val="13"/>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highlight w:val="yellow"/>
          <w:lang w:val="fr-CA"/>
        </w:rPr>
        <w:t xml:space="preserve">révèle la variation des prix pour tout ce qui est produit dans un pays. </w:t>
      </w:r>
      <w:r w:rsidRPr="00405CB4">
        <w:rPr>
          <w:rFonts w:ascii="Times New Roman" w:eastAsia="Times New Roman" w:hAnsi="Times New Roman" w:cs="Times New Roman"/>
          <w:sz w:val="24"/>
          <w:szCs w:val="24"/>
          <w:lang w:val="fr-CA"/>
        </w:rPr>
        <w:t xml:space="preserve"> </w:t>
      </w:r>
    </w:p>
    <w:p w:rsidR="00F4443C" w:rsidRPr="00405CB4" w:rsidRDefault="00405CB4">
      <w:pPr>
        <w:numPr>
          <w:ilvl w:val="0"/>
          <w:numId w:val="13"/>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inclut les biens produits à l'étranger.  </w:t>
      </w:r>
    </w:p>
    <w:p w:rsidR="00F4443C" w:rsidRPr="00405CB4" w:rsidRDefault="00405CB4">
      <w:pPr>
        <w:numPr>
          <w:ilvl w:val="0"/>
          <w:numId w:val="13"/>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est calculé en utilisant les prix de certains biens produits dans l'économie chaque année.</w:t>
      </w:r>
    </w:p>
    <w:p w:rsidR="00F4443C" w:rsidRPr="00405CB4" w:rsidRDefault="00405CB4">
      <w:pPr>
        <w:numPr>
          <w:ilvl w:val="0"/>
          <w:numId w:val="13"/>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inclut les services produits à l'étranger.  </w:t>
      </w: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405CB4">
      <w:pPr>
        <w:spacing w:after="0" w:line="240" w:lineRule="auto"/>
        <w:rPr>
          <w:rFonts w:ascii="Times New Roman" w:eastAsia="Times New Roman" w:hAnsi="Times New Roman" w:cs="Times New Roman"/>
          <w:sz w:val="20"/>
          <w:szCs w:val="20"/>
          <w:lang w:val="fr-CA"/>
        </w:rPr>
      </w:pPr>
      <w:r w:rsidRPr="00405CB4">
        <w:rPr>
          <w:rFonts w:ascii="Times New Roman" w:eastAsia="Times New Roman" w:hAnsi="Times New Roman" w:cs="Times New Roman"/>
          <w:sz w:val="24"/>
          <w:szCs w:val="24"/>
          <w:lang w:val="fr-CA"/>
        </w:rPr>
        <w:t xml:space="preserve">9. Nous traduisons le revenu nominal de toute année passée en dollars constants et réels afin de: </w:t>
      </w:r>
      <w:r w:rsidRPr="00405CB4">
        <w:rPr>
          <w:rFonts w:ascii="Times New Roman" w:eastAsia="Times New Roman" w:hAnsi="Times New Roman" w:cs="Times New Roman"/>
          <w:sz w:val="20"/>
          <w:szCs w:val="20"/>
          <w:lang w:val="fr-CA"/>
        </w:rPr>
        <w:t xml:space="preserve"> </w:t>
      </w:r>
    </w:p>
    <w:p w:rsidR="00F4443C" w:rsidRPr="00405CB4" w:rsidRDefault="00405CB4">
      <w:pPr>
        <w:spacing w:after="0" w:line="240" w:lineRule="auto"/>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ab/>
      </w:r>
      <w:r w:rsidRPr="00405CB4">
        <w:rPr>
          <w:rFonts w:ascii="Times New Roman" w:eastAsia="Times New Roman" w:hAnsi="Times New Roman" w:cs="Times New Roman"/>
          <w:sz w:val="24"/>
          <w:szCs w:val="24"/>
          <w:lang w:val="fr-CA"/>
        </w:rPr>
        <w:tab/>
      </w:r>
      <w:r w:rsidRPr="00405CB4">
        <w:rPr>
          <w:rFonts w:ascii="Times New Roman" w:eastAsia="Times New Roman" w:hAnsi="Times New Roman" w:cs="Times New Roman"/>
          <w:sz w:val="24"/>
          <w:szCs w:val="24"/>
          <w:lang w:val="fr-CA"/>
        </w:rPr>
        <w:tab/>
      </w:r>
      <w:r w:rsidRPr="00405CB4">
        <w:rPr>
          <w:rFonts w:ascii="Times New Roman" w:eastAsia="Times New Roman" w:hAnsi="Times New Roman" w:cs="Times New Roman"/>
          <w:sz w:val="24"/>
          <w:szCs w:val="24"/>
          <w:lang w:val="fr-CA"/>
        </w:rPr>
        <w:tab/>
      </w:r>
      <w:r w:rsidRPr="00405CB4">
        <w:rPr>
          <w:rFonts w:ascii="Times New Roman" w:eastAsia="Times New Roman" w:hAnsi="Times New Roman" w:cs="Times New Roman"/>
          <w:sz w:val="24"/>
          <w:szCs w:val="24"/>
          <w:lang w:val="fr-CA"/>
        </w:rPr>
        <w:tab/>
      </w:r>
    </w:p>
    <w:p w:rsidR="00F4443C" w:rsidRPr="00405CB4" w:rsidRDefault="00405CB4">
      <w:pPr>
        <w:numPr>
          <w:ilvl w:val="0"/>
          <w:numId w:val="7"/>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nous permettre de comparer les variations du pouvoir de production au fil du temps.  </w:t>
      </w:r>
    </w:p>
    <w:p w:rsidR="00F4443C" w:rsidRPr="00405CB4" w:rsidRDefault="00405CB4">
      <w:pPr>
        <w:numPr>
          <w:ilvl w:val="0"/>
          <w:numId w:val="7"/>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voir ce qu’un revenu gagnera dans l’avenir.  </w:t>
      </w:r>
    </w:p>
    <w:p w:rsidR="00F4443C" w:rsidRPr="00405CB4" w:rsidRDefault="00405CB4">
      <w:pPr>
        <w:numPr>
          <w:ilvl w:val="0"/>
          <w:numId w:val="7"/>
        </w:numPr>
        <w:spacing w:after="0" w:line="240" w:lineRule="auto"/>
        <w:contextualSpacing/>
        <w:rPr>
          <w:rFonts w:ascii="Times New Roman" w:eastAsia="Times New Roman" w:hAnsi="Times New Roman" w:cs="Times New Roman"/>
          <w:sz w:val="24"/>
          <w:szCs w:val="24"/>
          <w:highlight w:val="yellow"/>
          <w:lang w:val="fr-CA"/>
        </w:rPr>
      </w:pPr>
      <w:r w:rsidRPr="00405CB4">
        <w:rPr>
          <w:rFonts w:ascii="Times New Roman" w:eastAsia="Times New Roman" w:hAnsi="Times New Roman" w:cs="Times New Roman"/>
          <w:sz w:val="24"/>
          <w:szCs w:val="24"/>
          <w:highlight w:val="yellow"/>
          <w:lang w:val="fr-CA"/>
        </w:rPr>
        <w:t xml:space="preserve">comprendre la valeur actuelle d’un salaire provenant des années passées pour déterminer combien de plus nous avons réellement gagné en pouvoir d’achat. </w:t>
      </w:r>
    </w:p>
    <w:p w:rsidR="00F4443C" w:rsidRPr="00405CB4" w:rsidRDefault="00405CB4">
      <w:pPr>
        <w:numPr>
          <w:ilvl w:val="0"/>
          <w:numId w:val="7"/>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Tous ces énoncés sont vrais.  </w:t>
      </w: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405CB4">
      <w:pPr>
        <w:spacing w:after="240" w:line="240" w:lineRule="auto"/>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10. Si le salaire de 1999 en dollars de 2009 est de 174 136 $, que pouvons-nous en dire par rapport au revenu de l'année 2009 indiqué dans le tableau ci-dessous? </w:t>
      </w:r>
    </w:p>
    <w:tbl>
      <w:tblPr>
        <w:tblStyle w:val="a"/>
        <w:tblW w:w="4672" w:type="dxa"/>
        <w:tblBorders>
          <w:top w:val="single" w:sz="6" w:space="0" w:color="000000"/>
          <w:left w:val="single" w:sz="6" w:space="0" w:color="000000"/>
          <w:bottom w:val="single" w:sz="6" w:space="0" w:color="000000"/>
          <w:right w:val="single" w:sz="6" w:space="0" w:color="000000"/>
        </w:tblBorders>
        <w:tblLayout w:type="fixed"/>
        <w:tblLook w:val="0400" w:firstRow="0" w:lastRow="0" w:firstColumn="0" w:lastColumn="0" w:noHBand="0" w:noVBand="1"/>
      </w:tblPr>
      <w:tblGrid>
        <w:gridCol w:w="1331"/>
        <w:gridCol w:w="1909"/>
        <w:gridCol w:w="1432"/>
      </w:tblGrid>
      <w:tr w:rsidR="00F4443C" w:rsidRPr="00405CB4">
        <w:tc>
          <w:tcPr>
            <w:tcW w:w="1331" w:type="dxa"/>
            <w:tcBorders>
              <w:top w:val="single" w:sz="6" w:space="0" w:color="000000"/>
              <w:left w:val="single" w:sz="6" w:space="0" w:color="000000"/>
              <w:bottom w:val="single" w:sz="6" w:space="0" w:color="000000"/>
              <w:right w:val="single" w:sz="6" w:space="0" w:color="000000"/>
            </w:tcBorders>
          </w:tcPr>
          <w:p w:rsidR="00F4443C" w:rsidRPr="00405CB4" w:rsidRDefault="00405CB4">
            <w:pPr>
              <w:spacing w:after="0" w:line="240" w:lineRule="auto"/>
              <w:jc w:val="center"/>
              <w:rPr>
                <w:rFonts w:ascii="Times New Roman" w:eastAsia="Times New Roman" w:hAnsi="Times New Roman" w:cs="Times New Roman"/>
                <w:sz w:val="24"/>
                <w:szCs w:val="24"/>
                <w:lang w:val="fr-CA"/>
              </w:rPr>
            </w:pPr>
            <w:r>
              <w:rPr>
                <w:rFonts w:ascii="Times New Roman" w:eastAsia="Times New Roman" w:hAnsi="Times New Roman" w:cs="Times New Roman"/>
                <w:b/>
                <w:sz w:val="24"/>
                <w:szCs w:val="24"/>
                <w:lang w:val="fr-CA"/>
              </w:rPr>
              <w:t>Année</w:t>
            </w:r>
          </w:p>
        </w:tc>
        <w:tc>
          <w:tcPr>
            <w:tcW w:w="1909" w:type="dxa"/>
            <w:tcBorders>
              <w:top w:val="single" w:sz="6" w:space="0" w:color="000000"/>
              <w:left w:val="single" w:sz="6" w:space="0" w:color="000000"/>
              <w:bottom w:val="single" w:sz="6" w:space="0" w:color="000000"/>
              <w:right w:val="single" w:sz="6" w:space="0" w:color="000000"/>
            </w:tcBorders>
          </w:tcPr>
          <w:p w:rsidR="00F4443C" w:rsidRPr="00405CB4" w:rsidRDefault="00405CB4">
            <w:pPr>
              <w:spacing w:after="0" w:line="240" w:lineRule="auto"/>
              <w:jc w:val="right"/>
              <w:rPr>
                <w:rFonts w:ascii="Times New Roman" w:eastAsia="Times New Roman" w:hAnsi="Times New Roman" w:cs="Times New Roman"/>
                <w:sz w:val="24"/>
                <w:szCs w:val="24"/>
                <w:lang w:val="fr-CA"/>
              </w:rPr>
            </w:pPr>
            <w:r>
              <w:rPr>
                <w:rFonts w:ascii="Times New Roman" w:eastAsia="Times New Roman" w:hAnsi="Times New Roman" w:cs="Times New Roman"/>
                <w:b/>
                <w:sz w:val="24"/>
                <w:szCs w:val="24"/>
                <w:lang w:val="fr-CA"/>
              </w:rPr>
              <w:t>Salaire</w:t>
            </w:r>
          </w:p>
        </w:tc>
        <w:tc>
          <w:tcPr>
            <w:tcW w:w="1432" w:type="dxa"/>
            <w:tcBorders>
              <w:top w:val="single" w:sz="6" w:space="0" w:color="000000"/>
              <w:left w:val="single" w:sz="6" w:space="0" w:color="000000"/>
              <w:bottom w:val="single" w:sz="6" w:space="0" w:color="000000"/>
              <w:right w:val="single" w:sz="6" w:space="0" w:color="000000"/>
            </w:tcBorders>
          </w:tcPr>
          <w:p w:rsidR="00F4443C" w:rsidRPr="00405CB4" w:rsidRDefault="00405CB4">
            <w:pPr>
              <w:spacing w:after="0" w:line="240" w:lineRule="auto"/>
              <w:jc w:val="right"/>
              <w:rPr>
                <w:rFonts w:ascii="Times New Roman" w:eastAsia="Times New Roman" w:hAnsi="Times New Roman" w:cs="Times New Roman"/>
                <w:sz w:val="24"/>
                <w:szCs w:val="24"/>
                <w:lang w:val="fr-CA"/>
              </w:rPr>
            </w:pPr>
            <w:r>
              <w:rPr>
                <w:rFonts w:ascii="Times New Roman" w:eastAsia="Times New Roman" w:hAnsi="Times New Roman" w:cs="Times New Roman"/>
                <w:b/>
                <w:sz w:val="24"/>
                <w:szCs w:val="24"/>
                <w:lang w:val="fr-CA"/>
              </w:rPr>
              <w:t>IPC</w:t>
            </w:r>
          </w:p>
        </w:tc>
      </w:tr>
      <w:tr w:rsidR="00F4443C" w:rsidRPr="00405CB4">
        <w:tc>
          <w:tcPr>
            <w:tcW w:w="1331" w:type="dxa"/>
            <w:tcBorders>
              <w:top w:val="single" w:sz="6" w:space="0" w:color="000000"/>
              <w:left w:val="single" w:sz="6" w:space="0" w:color="000000"/>
              <w:bottom w:val="single" w:sz="6" w:space="0" w:color="000000"/>
              <w:right w:val="single" w:sz="6" w:space="0" w:color="000000"/>
            </w:tcBorders>
          </w:tcPr>
          <w:p w:rsidR="00F4443C" w:rsidRPr="00405CB4" w:rsidRDefault="00405CB4">
            <w:pPr>
              <w:spacing w:after="0" w:line="240" w:lineRule="auto"/>
              <w:jc w:val="center"/>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1969</w:t>
            </w:r>
          </w:p>
        </w:tc>
        <w:tc>
          <w:tcPr>
            <w:tcW w:w="1909" w:type="dxa"/>
            <w:tcBorders>
              <w:top w:val="single" w:sz="6" w:space="0" w:color="000000"/>
              <w:left w:val="single" w:sz="6" w:space="0" w:color="000000"/>
              <w:bottom w:val="single" w:sz="6" w:space="0" w:color="000000"/>
              <w:right w:val="single" w:sz="6" w:space="0" w:color="000000"/>
            </w:tcBorders>
          </w:tcPr>
          <w:p w:rsidR="00F4443C" w:rsidRPr="00405CB4" w:rsidRDefault="00405CB4">
            <w:pPr>
              <w:spacing w:after="0" w:line="240" w:lineRule="auto"/>
              <w:jc w:val="right"/>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 xml:space="preserve">20 </w:t>
            </w:r>
            <w:r w:rsidRPr="00405CB4">
              <w:rPr>
                <w:rFonts w:ascii="Times New Roman" w:eastAsia="Times New Roman" w:hAnsi="Times New Roman" w:cs="Times New Roman"/>
                <w:sz w:val="24"/>
                <w:szCs w:val="24"/>
                <w:lang w:val="fr-CA"/>
              </w:rPr>
              <w:t>520</w:t>
            </w:r>
            <w:r>
              <w:rPr>
                <w:rFonts w:ascii="Times New Roman" w:eastAsia="Times New Roman" w:hAnsi="Times New Roman" w:cs="Times New Roman"/>
                <w:sz w:val="24"/>
                <w:szCs w:val="24"/>
                <w:lang w:val="fr-CA"/>
              </w:rPr>
              <w:t xml:space="preserve"> $</w:t>
            </w:r>
          </w:p>
        </w:tc>
        <w:tc>
          <w:tcPr>
            <w:tcW w:w="1432" w:type="dxa"/>
            <w:tcBorders>
              <w:top w:val="single" w:sz="6" w:space="0" w:color="000000"/>
              <w:left w:val="single" w:sz="6" w:space="0" w:color="000000"/>
              <w:bottom w:val="single" w:sz="6" w:space="0" w:color="000000"/>
              <w:right w:val="single" w:sz="6" w:space="0" w:color="000000"/>
            </w:tcBorders>
          </w:tcPr>
          <w:p w:rsidR="00F4443C" w:rsidRPr="00405CB4" w:rsidRDefault="00405CB4">
            <w:pPr>
              <w:spacing w:after="0" w:line="240" w:lineRule="auto"/>
              <w:jc w:val="right"/>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36,</w:t>
            </w:r>
            <w:r w:rsidRPr="00405CB4">
              <w:rPr>
                <w:rFonts w:ascii="Times New Roman" w:eastAsia="Times New Roman" w:hAnsi="Times New Roman" w:cs="Times New Roman"/>
                <w:sz w:val="24"/>
                <w:szCs w:val="24"/>
                <w:lang w:val="fr-CA"/>
              </w:rPr>
              <w:t>7</w:t>
            </w:r>
          </w:p>
        </w:tc>
      </w:tr>
      <w:tr w:rsidR="00F4443C" w:rsidRPr="00405CB4">
        <w:tc>
          <w:tcPr>
            <w:tcW w:w="1331" w:type="dxa"/>
            <w:tcBorders>
              <w:top w:val="single" w:sz="6" w:space="0" w:color="000000"/>
              <w:left w:val="single" w:sz="6" w:space="0" w:color="000000"/>
              <w:bottom w:val="single" w:sz="6" w:space="0" w:color="000000"/>
              <w:right w:val="single" w:sz="6" w:space="0" w:color="000000"/>
            </w:tcBorders>
          </w:tcPr>
          <w:p w:rsidR="00F4443C" w:rsidRPr="00405CB4" w:rsidRDefault="00405CB4">
            <w:pPr>
              <w:spacing w:after="0" w:line="240" w:lineRule="auto"/>
              <w:jc w:val="center"/>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1979</w:t>
            </w:r>
          </w:p>
        </w:tc>
        <w:tc>
          <w:tcPr>
            <w:tcW w:w="1909" w:type="dxa"/>
            <w:tcBorders>
              <w:top w:val="single" w:sz="6" w:space="0" w:color="000000"/>
              <w:left w:val="single" w:sz="6" w:space="0" w:color="000000"/>
              <w:bottom w:val="single" w:sz="6" w:space="0" w:color="000000"/>
              <w:right w:val="single" w:sz="6" w:space="0" w:color="000000"/>
            </w:tcBorders>
          </w:tcPr>
          <w:p w:rsidR="00F4443C" w:rsidRPr="00405CB4" w:rsidRDefault="00405CB4">
            <w:pPr>
              <w:spacing w:after="0" w:line="240" w:lineRule="auto"/>
              <w:jc w:val="right"/>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 xml:space="preserve">43 </w:t>
            </w:r>
            <w:r w:rsidRPr="00405CB4">
              <w:rPr>
                <w:rFonts w:ascii="Times New Roman" w:eastAsia="Times New Roman" w:hAnsi="Times New Roman" w:cs="Times New Roman"/>
                <w:sz w:val="24"/>
                <w:szCs w:val="24"/>
                <w:lang w:val="fr-CA"/>
              </w:rPr>
              <w:t>265</w:t>
            </w:r>
            <w:r>
              <w:rPr>
                <w:rFonts w:ascii="Times New Roman" w:eastAsia="Times New Roman" w:hAnsi="Times New Roman" w:cs="Times New Roman"/>
                <w:sz w:val="24"/>
                <w:szCs w:val="24"/>
                <w:lang w:val="fr-CA"/>
              </w:rPr>
              <w:t xml:space="preserve"> $</w:t>
            </w:r>
          </w:p>
        </w:tc>
        <w:tc>
          <w:tcPr>
            <w:tcW w:w="1432" w:type="dxa"/>
            <w:tcBorders>
              <w:top w:val="single" w:sz="6" w:space="0" w:color="000000"/>
              <w:left w:val="single" w:sz="6" w:space="0" w:color="000000"/>
              <w:bottom w:val="single" w:sz="6" w:space="0" w:color="000000"/>
              <w:right w:val="single" w:sz="6" w:space="0" w:color="000000"/>
            </w:tcBorders>
          </w:tcPr>
          <w:p w:rsidR="00F4443C" w:rsidRPr="00405CB4" w:rsidRDefault="00405CB4" w:rsidP="00405CB4">
            <w:pPr>
              <w:spacing w:after="0" w:line="240" w:lineRule="auto"/>
              <w:jc w:val="right"/>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72</w:t>
            </w:r>
            <w:r>
              <w:rPr>
                <w:rFonts w:ascii="Times New Roman" w:eastAsia="Times New Roman" w:hAnsi="Times New Roman" w:cs="Times New Roman"/>
                <w:sz w:val="24"/>
                <w:szCs w:val="24"/>
                <w:lang w:val="fr-CA"/>
              </w:rPr>
              <w:t>,</w:t>
            </w:r>
            <w:r w:rsidRPr="00405CB4">
              <w:rPr>
                <w:rFonts w:ascii="Times New Roman" w:eastAsia="Times New Roman" w:hAnsi="Times New Roman" w:cs="Times New Roman"/>
                <w:sz w:val="24"/>
                <w:szCs w:val="24"/>
                <w:lang w:val="fr-CA"/>
              </w:rPr>
              <w:t>6</w:t>
            </w:r>
          </w:p>
        </w:tc>
      </w:tr>
      <w:tr w:rsidR="00F4443C" w:rsidRPr="00405CB4">
        <w:tc>
          <w:tcPr>
            <w:tcW w:w="1331" w:type="dxa"/>
            <w:tcBorders>
              <w:top w:val="single" w:sz="6" w:space="0" w:color="000000"/>
              <w:left w:val="single" w:sz="6" w:space="0" w:color="000000"/>
              <w:bottom w:val="single" w:sz="6" w:space="0" w:color="000000"/>
              <w:right w:val="single" w:sz="6" w:space="0" w:color="000000"/>
            </w:tcBorders>
          </w:tcPr>
          <w:p w:rsidR="00F4443C" w:rsidRPr="00405CB4" w:rsidRDefault="00405CB4">
            <w:pPr>
              <w:spacing w:after="0" w:line="240" w:lineRule="auto"/>
              <w:jc w:val="center"/>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1989</w:t>
            </w:r>
          </w:p>
        </w:tc>
        <w:tc>
          <w:tcPr>
            <w:tcW w:w="1909" w:type="dxa"/>
            <w:tcBorders>
              <w:top w:val="single" w:sz="6" w:space="0" w:color="000000"/>
              <w:left w:val="single" w:sz="6" w:space="0" w:color="000000"/>
              <w:bottom w:val="single" w:sz="6" w:space="0" w:color="000000"/>
              <w:right w:val="single" w:sz="6" w:space="0" w:color="000000"/>
            </w:tcBorders>
          </w:tcPr>
          <w:p w:rsidR="00F4443C" w:rsidRPr="00405CB4" w:rsidRDefault="00405CB4">
            <w:pPr>
              <w:spacing w:after="0" w:line="240" w:lineRule="auto"/>
              <w:jc w:val="right"/>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 xml:space="preserve">85 </w:t>
            </w:r>
            <w:r w:rsidRPr="00405CB4">
              <w:rPr>
                <w:rFonts w:ascii="Times New Roman" w:eastAsia="Times New Roman" w:hAnsi="Times New Roman" w:cs="Times New Roman"/>
                <w:sz w:val="24"/>
                <w:szCs w:val="24"/>
                <w:lang w:val="fr-CA"/>
              </w:rPr>
              <w:t>529</w:t>
            </w:r>
            <w:r>
              <w:rPr>
                <w:rFonts w:ascii="Times New Roman" w:eastAsia="Times New Roman" w:hAnsi="Times New Roman" w:cs="Times New Roman"/>
                <w:sz w:val="24"/>
                <w:szCs w:val="24"/>
                <w:lang w:val="fr-CA"/>
              </w:rPr>
              <w:t xml:space="preserve"> $</w:t>
            </w:r>
          </w:p>
        </w:tc>
        <w:tc>
          <w:tcPr>
            <w:tcW w:w="1432" w:type="dxa"/>
            <w:tcBorders>
              <w:top w:val="single" w:sz="6" w:space="0" w:color="000000"/>
              <w:left w:val="single" w:sz="6" w:space="0" w:color="000000"/>
              <w:bottom w:val="single" w:sz="6" w:space="0" w:color="000000"/>
              <w:right w:val="single" w:sz="6" w:space="0" w:color="000000"/>
            </w:tcBorders>
          </w:tcPr>
          <w:p w:rsidR="00F4443C" w:rsidRPr="00405CB4" w:rsidRDefault="00405CB4">
            <w:pPr>
              <w:spacing w:after="0" w:line="240" w:lineRule="auto"/>
              <w:jc w:val="right"/>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124,</w:t>
            </w:r>
            <w:r w:rsidRPr="00405CB4">
              <w:rPr>
                <w:rFonts w:ascii="Times New Roman" w:eastAsia="Times New Roman" w:hAnsi="Times New Roman" w:cs="Times New Roman"/>
                <w:sz w:val="24"/>
                <w:szCs w:val="24"/>
                <w:lang w:val="fr-CA"/>
              </w:rPr>
              <w:t>0</w:t>
            </w:r>
          </w:p>
        </w:tc>
      </w:tr>
      <w:tr w:rsidR="00F4443C" w:rsidRPr="00405CB4">
        <w:tc>
          <w:tcPr>
            <w:tcW w:w="1331" w:type="dxa"/>
            <w:tcBorders>
              <w:top w:val="single" w:sz="6" w:space="0" w:color="000000"/>
              <w:left w:val="single" w:sz="6" w:space="0" w:color="000000"/>
              <w:bottom w:val="single" w:sz="6" w:space="0" w:color="000000"/>
              <w:right w:val="single" w:sz="6" w:space="0" w:color="000000"/>
            </w:tcBorders>
          </w:tcPr>
          <w:p w:rsidR="00F4443C" w:rsidRPr="00405CB4" w:rsidRDefault="00405CB4">
            <w:pPr>
              <w:spacing w:after="0" w:line="240" w:lineRule="auto"/>
              <w:jc w:val="center"/>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1999</w:t>
            </w:r>
          </w:p>
        </w:tc>
        <w:tc>
          <w:tcPr>
            <w:tcW w:w="1909" w:type="dxa"/>
            <w:tcBorders>
              <w:top w:val="single" w:sz="6" w:space="0" w:color="000000"/>
              <w:left w:val="single" w:sz="6" w:space="0" w:color="000000"/>
              <w:bottom w:val="single" w:sz="6" w:space="0" w:color="000000"/>
              <w:right w:val="single" w:sz="6" w:space="0" w:color="000000"/>
            </w:tcBorders>
          </w:tcPr>
          <w:p w:rsidR="00F4443C" w:rsidRPr="00405CB4" w:rsidRDefault="00405CB4">
            <w:pPr>
              <w:spacing w:after="0" w:line="240" w:lineRule="auto"/>
              <w:jc w:val="right"/>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 xml:space="preserve">135 </w:t>
            </w:r>
            <w:r w:rsidRPr="00405CB4">
              <w:rPr>
                <w:rFonts w:ascii="Times New Roman" w:eastAsia="Times New Roman" w:hAnsi="Times New Roman" w:cs="Times New Roman"/>
                <w:sz w:val="24"/>
                <w:szCs w:val="24"/>
                <w:lang w:val="fr-CA"/>
              </w:rPr>
              <w:t>250</w:t>
            </w:r>
            <w:r>
              <w:rPr>
                <w:rFonts w:ascii="Times New Roman" w:eastAsia="Times New Roman" w:hAnsi="Times New Roman" w:cs="Times New Roman"/>
                <w:sz w:val="24"/>
                <w:szCs w:val="24"/>
                <w:lang w:val="fr-CA"/>
              </w:rPr>
              <w:t xml:space="preserve"> $</w:t>
            </w:r>
          </w:p>
        </w:tc>
        <w:tc>
          <w:tcPr>
            <w:tcW w:w="1432" w:type="dxa"/>
            <w:tcBorders>
              <w:top w:val="single" w:sz="6" w:space="0" w:color="000000"/>
              <w:left w:val="single" w:sz="6" w:space="0" w:color="000000"/>
              <w:bottom w:val="single" w:sz="6" w:space="0" w:color="000000"/>
              <w:right w:val="single" w:sz="6" w:space="0" w:color="000000"/>
            </w:tcBorders>
          </w:tcPr>
          <w:p w:rsidR="00F4443C" w:rsidRPr="00405CB4" w:rsidRDefault="00405CB4" w:rsidP="00405CB4">
            <w:pPr>
              <w:spacing w:after="0" w:line="240" w:lineRule="auto"/>
              <w:jc w:val="right"/>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166</w:t>
            </w:r>
            <w:r>
              <w:rPr>
                <w:rFonts w:ascii="Times New Roman" w:eastAsia="Times New Roman" w:hAnsi="Times New Roman" w:cs="Times New Roman"/>
                <w:sz w:val="24"/>
                <w:szCs w:val="24"/>
                <w:lang w:val="fr-CA"/>
              </w:rPr>
              <w:t>,</w:t>
            </w:r>
            <w:r w:rsidRPr="00405CB4">
              <w:rPr>
                <w:rFonts w:ascii="Times New Roman" w:eastAsia="Times New Roman" w:hAnsi="Times New Roman" w:cs="Times New Roman"/>
                <w:sz w:val="24"/>
                <w:szCs w:val="24"/>
                <w:lang w:val="fr-CA"/>
              </w:rPr>
              <w:t>6</w:t>
            </w:r>
          </w:p>
        </w:tc>
      </w:tr>
      <w:tr w:rsidR="00F4443C" w:rsidRPr="00405CB4">
        <w:tc>
          <w:tcPr>
            <w:tcW w:w="1331" w:type="dxa"/>
            <w:tcBorders>
              <w:top w:val="single" w:sz="6" w:space="0" w:color="000000"/>
              <w:left w:val="single" w:sz="6" w:space="0" w:color="000000"/>
              <w:bottom w:val="single" w:sz="6" w:space="0" w:color="000000"/>
              <w:right w:val="single" w:sz="6" w:space="0" w:color="000000"/>
            </w:tcBorders>
          </w:tcPr>
          <w:p w:rsidR="00F4443C" w:rsidRPr="00405CB4" w:rsidRDefault="00405CB4">
            <w:pPr>
              <w:spacing w:after="0" w:line="240" w:lineRule="auto"/>
              <w:jc w:val="center"/>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2009</w:t>
            </w:r>
          </w:p>
        </w:tc>
        <w:tc>
          <w:tcPr>
            <w:tcW w:w="1909" w:type="dxa"/>
            <w:tcBorders>
              <w:top w:val="single" w:sz="6" w:space="0" w:color="000000"/>
              <w:left w:val="single" w:sz="6" w:space="0" w:color="000000"/>
              <w:bottom w:val="single" w:sz="6" w:space="0" w:color="000000"/>
              <w:right w:val="single" w:sz="6" w:space="0" w:color="000000"/>
            </w:tcBorders>
          </w:tcPr>
          <w:p w:rsidR="00F4443C" w:rsidRPr="00405CB4" w:rsidRDefault="00405CB4">
            <w:pPr>
              <w:spacing w:after="0" w:line="240" w:lineRule="auto"/>
              <w:jc w:val="right"/>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 xml:space="preserve">170 </w:t>
            </w:r>
            <w:r w:rsidRPr="00405CB4">
              <w:rPr>
                <w:rFonts w:ascii="Times New Roman" w:eastAsia="Times New Roman" w:hAnsi="Times New Roman" w:cs="Times New Roman"/>
                <w:sz w:val="24"/>
                <w:szCs w:val="24"/>
                <w:lang w:val="fr-CA"/>
              </w:rPr>
              <w:t>844</w:t>
            </w:r>
            <w:r>
              <w:rPr>
                <w:rFonts w:ascii="Times New Roman" w:eastAsia="Times New Roman" w:hAnsi="Times New Roman" w:cs="Times New Roman"/>
                <w:sz w:val="24"/>
                <w:szCs w:val="24"/>
                <w:lang w:val="fr-CA"/>
              </w:rPr>
              <w:t xml:space="preserve"> $</w:t>
            </w:r>
          </w:p>
        </w:tc>
        <w:tc>
          <w:tcPr>
            <w:tcW w:w="1432" w:type="dxa"/>
            <w:tcBorders>
              <w:top w:val="single" w:sz="6" w:space="0" w:color="000000"/>
              <w:left w:val="single" w:sz="6" w:space="0" w:color="000000"/>
              <w:bottom w:val="single" w:sz="6" w:space="0" w:color="000000"/>
              <w:right w:val="single" w:sz="6" w:space="0" w:color="000000"/>
            </w:tcBorders>
          </w:tcPr>
          <w:p w:rsidR="00F4443C" w:rsidRPr="00405CB4" w:rsidRDefault="00405CB4">
            <w:pPr>
              <w:spacing w:after="0" w:line="240" w:lineRule="auto"/>
              <w:jc w:val="right"/>
              <w:rPr>
                <w:rFonts w:ascii="Times New Roman" w:eastAsia="Times New Roman" w:hAnsi="Times New Roman" w:cs="Times New Roman"/>
                <w:sz w:val="24"/>
                <w:szCs w:val="24"/>
                <w:lang w:val="fr-CA"/>
              </w:rPr>
            </w:pPr>
            <w:r>
              <w:rPr>
                <w:rFonts w:ascii="Times New Roman" w:eastAsia="Times New Roman" w:hAnsi="Times New Roman" w:cs="Times New Roman"/>
                <w:sz w:val="24"/>
                <w:szCs w:val="24"/>
                <w:lang w:val="fr-CA"/>
              </w:rPr>
              <w:t>214,</w:t>
            </w:r>
            <w:r w:rsidRPr="00405CB4">
              <w:rPr>
                <w:rFonts w:ascii="Times New Roman" w:eastAsia="Times New Roman" w:hAnsi="Times New Roman" w:cs="Times New Roman"/>
                <w:sz w:val="24"/>
                <w:szCs w:val="24"/>
                <w:lang w:val="fr-CA"/>
              </w:rPr>
              <w:t>5</w:t>
            </w:r>
          </w:p>
        </w:tc>
      </w:tr>
    </w:tbl>
    <w:p w:rsidR="00F4443C" w:rsidRPr="00405CB4" w:rsidRDefault="00405CB4">
      <w:pPr>
        <w:numPr>
          <w:ilvl w:val="0"/>
          <w:numId w:val="10"/>
        </w:numPr>
        <w:spacing w:after="0" w:line="240" w:lineRule="auto"/>
        <w:contextualSpacing/>
        <w:rPr>
          <w:rFonts w:ascii="Times New Roman" w:eastAsia="Times New Roman" w:hAnsi="Times New Roman" w:cs="Times New Roman"/>
          <w:sz w:val="24"/>
          <w:szCs w:val="24"/>
          <w:highlight w:val="yellow"/>
          <w:lang w:val="fr-CA"/>
        </w:rPr>
      </w:pPr>
      <w:r w:rsidRPr="00405CB4">
        <w:rPr>
          <w:rFonts w:ascii="Times New Roman" w:eastAsia="Times New Roman" w:hAnsi="Times New Roman" w:cs="Times New Roman"/>
          <w:sz w:val="24"/>
          <w:szCs w:val="24"/>
          <w:highlight w:val="yellow"/>
          <w:lang w:val="fr-CA"/>
        </w:rPr>
        <w:t xml:space="preserve">Bien que le salaire nominal ait augmenté, le montant de pouvoir d’achat a diminué de 1999 à 2009. </w:t>
      </w:r>
    </w:p>
    <w:p w:rsidR="00F4443C" w:rsidRPr="00405CB4" w:rsidRDefault="00405CB4">
      <w:pPr>
        <w:numPr>
          <w:ilvl w:val="0"/>
          <w:numId w:val="10"/>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La diminution du salaire de 1999 à 2009 était inférieure à l’inflation au cours de cette période. </w:t>
      </w:r>
    </w:p>
    <w:p w:rsidR="00F4443C" w:rsidRPr="00405CB4" w:rsidRDefault="00405CB4">
      <w:pPr>
        <w:numPr>
          <w:ilvl w:val="0"/>
          <w:numId w:val="10"/>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Le salaire en 1999 pourrait acheter moins de biens et services que le salaire de 2009 pourrait acheter. </w:t>
      </w:r>
    </w:p>
    <w:p w:rsidR="00F4443C" w:rsidRPr="00405CB4" w:rsidRDefault="00405CB4">
      <w:pPr>
        <w:numPr>
          <w:ilvl w:val="0"/>
          <w:numId w:val="10"/>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Bien que le salaire nominal ait diminué, le montant de pouvoir d’achat a augmenté de 1999 à 2009. </w:t>
      </w: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405CB4">
      <w:pPr>
        <w:spacing w:after="0" w:line="240" w:lineRule="auto"/>
        <w:rPr>
          <w:rFonts w:ascii="Times New Roman" w:eastAsia="Times New Roman" w:hAnsi="Times New Roman" w:cs="Times New Roman"/>
          <w:sz w:val="24"/>
          <w:szCs w:val="24"/>
          <w:lang w:val="fr-CA"/>
        </w:rPr>
      </w:pPr>
      <w:r w:rsidRPr="00212DC4">
        <w:rPr>
          <w:rFonts w:ascii="Times New Roman" w:eastAsia="Times New Roman" w:hAnsi="Times New Roman" w:cs="Times New Roman"/>
          <w:sz w:val="24"/>
          <w:szCs w:val="24"/>
          <w:lang w:val="fr-CA"/>
        </w:rPr>
        <w:t xml:space="preserve">***11. La valeur réelle de n’importe quelle variable est: </w:t>
      </w:r>
      <w:r w:rsidRPr="00405CB4">
        <w:rPr>
          <w:rFonts w:ascii="Times New Roman" w:eastAsia="Times New Roman" w:hAnsi="Times New Roman" w:cs="Times New Roman"/>
          <w:sz w:val="24"/>
          <w:szCs w:val="24"/>
          <w:lang w:val="fr-CA"/>
        </w:rPr>
        <w:t xml:space="preserve"> </w:t>
      </w:r>
    </w:p>
    <w:p w:rsidR="00F4443C" w:rsidRPr="00212DC4" w:rsidRDefault="00405CB4">
      <w:pPr>
        <w:numPr>
          <w:ilvl w:val="0"/>
          <w:numId w:val="6"/>
        </w:numPr>
        <w:spacing w:after="0" w:line="240" w:lineRule="auto"/>
        <w:contextualSpacing/>
        <w:rPr>
          <w:rFonts w:ascii="Times New Roman" w:eastAsia="Times New Roman" w:hAnsi="Times New Roman" w:cs="Times New Roman"/>
          <w:sz w:val="24"/>
          <w:szCs w:val="24"/>
          <w:highlight w:val="yellow"/>
          <w:lang w:val="fr-CA"/>
        </w:rPr>
      </w:pPr>
      <w:r w:rsidRPr="00212DC4">
        <w:rPr>
          <w:rFonts w:ascii="Times New Roman" w:eastAsia="Times New Roman" w:hAnsi="Times New Roman" w:cs="Times New Roman"/>
          <w:sz w:val="24"/>
          <w:szCs w:val="24"/>
          <w:highlight w:val="yellow"/>
          <w:lang w:val="fr-CA"/>
        </w:rPr>
        <w:t xml:space="preserve">sa valeur nominale ajustée en fonction de l’inflation. </w:t>
      </w:r>
    </w:p>
    <w:p w:rsidR="00F4443C" w:rsidRPr="00405CB4" w:rsidRDefault="00405CB4">
      <w:pPr>
        <w:numPr>
          <w:ilvl w:val="0"/>
          <w:numId w:val="6"/>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sa valeur nominale en maintenant </w:t>
      </w:r>
      <w:bookmarkStart w:id="1" w:name="_GoBack"/>
      <w:bookmarkEnd w:id="1"/>
      <w:r w:rsidRPr="00405CB4">
        <w:rPr>
          <w:rFonts w:ascii="Times New Roman" w:eastAsia="Times New Roman" w:hAnsi="Times New Roman" w:cs="Times New Roman"/>
          <w:sz w:val="24"/>
          <w:szCs w:val="24"/>
          <w:lang w:val="fr-CA"/>
        </w:rPr>
        <w:t xml:space="preserve">constante l’année de référence. </w:t>
      </w:r>
    </w:p>
    <w:p w:rsidR="00F4443C" w:rsidRPr="00405CB4" w:rsidRDefault="00405CB4">
      <w:pPr>
        <w:numPr>
          <w:ilvl w:val="0"/>
          <w:numId w:val="6"/>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lastRenderedPageBreak/>
        <w:t xml:space="preserve">sa valeur nominale en maintenant constante la quantité. </w:t>
      </w:r>
    </w:p>
    <w:p w:rsidR="00F4443C" w:rsidRPr="00405CB4" w:rsidRDefault="00405CB4">
      <w:pPr>
        <w:numPr>
          <w:ilvl w:val="0"/>
          <w:numId w:val="6"/>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sa valeur nominale en maintenant constant le panier. </w:t>
      </w: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405CB4">
      <w:pPr>
        <w:spacing w:after="0" w:line="240" w:lineRule="auto"/>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12. En 1976, le prix d’un film était 4 $. En 2012, c’était 9 $. Si l’IPC pour 1976 est 56 et 228 pour 2012, pour trouver la valeur réelle d’un film de 1976 en dollars de 2012, nous multiplierons sa valeur nominale en 1976 par le rapport de: </w:t>
      </w:r>
    </w:p>
    <w:p w:rsidR="00F4443C" w:rsidRPr="00405CB4" w:rsidRDefault="00405CB4">
      <w:pPr>
        <w:numPr>
          <w:ilvl w:val="0"/>
          <w:numId w:val="15"/>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(56/228).</w:t>
      </w:r>
    </w:p>
    <w:p w:rsidR="00F4443C" w:rsidRPr="00405CB4" w:rsidRDefault="00405CB4">
      <w:pPr>
        <w:numPr>
          <w:ilvl w:val="0"/>
          <w:numId w:val="15"/>
        </w:numPr>
        <w:spacing w:after="0" w:line="240" w:lineRule="auto"/>
        <w:contextualSpacing/>
        <w:rPr>
          <w:rFonts w:ascii="Times New Roman" w:eastAsia="Times New Roman" w:hAnsi="Times New Roman" w:cs="Times New Roman"/>
          <w:sz w:val="24"/>
          <w:szCs w:val="24"/>
          <w:highlight w:val="yellow"/>
          <w:lang w:val="fr-CA"/>
        </w:rPr>
      </w:pPr>
      <w:r w:rsidRPr="00405CB4">
        <w:rPr>
          <w:rFonts w:ascii="Times New Roman" w:eastAsia="Times New Roman" w:hAnsi="Times New Roman" w:cs="Times New Roman"/>
          <w:sz w:val="24"/>
          <w:szCs w:val="24"/>
          <w:highlight w:val="yellow"/>
          <w:lang w:val="fr-CA"/>
        </w:rPr>
        <w:t>(228/56).</w:t>
      </w:r>
    </w:p>
    <w:p w:rsidR="00F4443C" w:rsidRPr="00405CB4" w:rsidRDefault="00405CB4">
      <w:pPr>
        <w:numPr>
          <w:ilvl w:val="0"/>
          <w:numId w:val="15"/>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(9/5).</w:t>
      </w:r>
    </w:p>
    <w:p w:rsidR="00F4443C" w:rsidRPr="00405CB4" w:rsidRDefault="00405CB4">
      <w:pPr>
        <w:numPr>
          <w:ilvl w:val="0"/>
          <w:numId w:val="15"/>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(5/9).</w:t>
      </w: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405CB4">
      <w:pPr>
        <w:spacing w:after="0" w:line="240" w:lineRule="auto"/>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13. A l’origine, les prestations de pension au Canada: </w:t>
      </w:r>
    </w:p>
    <w:p w:rsidR="00F4443C" w:rsidRPr="00405CB4" w:rsidRDefault="00405CB4">
      <w:pPr>
        <w:numPr>
          <w:ilvl w:val="0"/>
          <w:numId w:val="16"/>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ne tenaient pas en compte l’inflation, ce qui causait une augmentation de la valeur réelle au fil du temps pour les personnes âgées canadiennes.</w:t>
      </w:r>
    </w:p>
    <w:p w:rsidR="00F4443C" w:rsidRPr="00405CB4" w:rsidRDefault="00405CB4">
      <w:pPr>
        <w:numPr>
          <w:ilvl w:val="0"/>
          <w:numId w:val="16"/>
        </w:numPr>
        <w:spacing w:after="0" w:line="240" w:lineRule="auto"/>
        <w:contextualSpacing/>
        <w:rPr>
          <w:rFonts w:ascii="Times New Roman" w:eastAsia="Times New Roman" w:hAnsi="Times New Roman" w:cs="Times New Roman"/>
          <w:sz w:val="24"/>
          <w:szCs w:val="24"/>
          <w:highlight w:val="yellow"/>
          <w:lang w:val="fr-CA"/>
        </w:rPr>
      </w:pPr>
      <w:r w:rsidRPr="00405CB4">
        <w:rPr>
          <w:rFonts w:ascii="Times New Roman" w:eastAsia="Times New Roman" w:hAnsi="Times New Roman" w:cs="Times New Roman"/>
          <w:sz w:val="24"/>
          <w:szCs w:val="24"/>
          <w:highlight w:val="yellow"/>
          <w:lang w:val="fr-CA"/>
        </w:rPr>
        <w:t>ne tenaient pas en compte l’inflation, ce qui causait une diminution de la valeur réelle au fil du temps pour les personnes âgées canadiennes.</w:t>
      </w:r>
    </w:p>
    <w:p w:rsidR="00F4443C" w:rsidRPr="00405CB4" w:rsidRDefault="00405CB4">
      <w:pPr>
        <w:numPr>
          <w:ilvl w:val="0"/>
          <w:numId w:val="16"/>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tenaient en compte l’inflation, ce qui causait une augmentation de la valeur réelle au fil du temps pour les personnes âgées canadiennes.</w:t>
      </w:r>
    </w:p>
    <w:p w:rsidR="00F4443C" w:rsidRPr="00405CB4" w:rsidRDefault="00405CB4">
      <w:pPr>
        <w:numPr>
          <w:ilvl w:val="0"/>
          <w:numId w:val="16"/>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tenaient en compte l’inflation, ce qui causait une diminution de la valeur réelle au fil du temps pour les personnes âgées canadiennes.</w:t>
      </w: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405CB4">
      <w:pPr>
        <w:spacing w:after="0" w:line="240" w:lineRule="auto"/>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14. Quand quelque chose est indexée : </w:t>
      </w:r>
    </w:p>
    <w:p w:rsidR="00F4443C" w:rsidRPr="00405CB4" w:rsidRDefault="00405CB4">
      <w:pPr>
        <w:numPr>
          <w:ilvl w:val="0"/>
          <w:numId w:val="8"/>
        </w:numPr>
        <w:spacing w:after="0" w:line="240" w:lineRule="auto"/>
        <w:contextualSpacing/>
        <w:rPr>
          <w:rFonts w:ascii="Times New Roman" w:eastAsia="Times New Roman" w:hAnsi="Times New Roman" w:cs="Times New Roman"/>
          <w:sz w:val="24"/>
          <w:szCs w:val="24"/>
          <w:highlight w:val="yellow"/>
          <w:lang w:val="fr-CA"/>
        </w:rPr>
      </w:pPr>
      <w:r w:rsidRPr="00405CB4">
        <w:rPr>
          <w:rFonts w:ascii="Times New Roman" w:eastAsia="Times New Roman" w:hAnsi="Times New Roman" w:cs="Times New Roman"/>
          <w:sz w:val="24"/>
          <w:szCs w:val="24"/>
          <w:highlight w:val="yellow"/>
          <w:lang w:val="fr-CA"/>
        </w:rPr>
        <w:t xml:space="preserve">sa valeur est ajustée automatiquement en proportion du coût de la vie. </w:t>
      </w:r>
    </w:p>
    <w:p w:rsidR="00F4443C" w:rsidRPr="00405CB4" w:rsidRDefault="00405CB4">
      <w:pPr>
        <w:numPr>
          <w:ilvl w:val="0"/>
          <w:numId w:val="8"/>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c’est exprimé comme la valeur nominale fois l’indice des prix. </w:t>
      </w:r>
    </w:p>
    <w:p w:rsidR="00F4443C" w:rsidRPr="00405CB4" w:rsidRDefault="00405CB4">
      <w:pPr>
        <w:numPr>
          <w:ilvl w:val="0"/>
          <w:numId w:val="8"/>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sa valeur réelle est transformée en termes nominaux pour les comparer. </w:t>
      </w:r>
    </w:p>
    <w:p w:rsidR="00F4443C" w:rsidRPr="00405CB4" w:rsidRDefault="00405CB4">
      <w:pPr>
        <w:numPr>
          <w:ilvl w:val="0"/>
          <w:numId w:val="8"/>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son classement relatif dans les articles de consommation est tenu en compte par rapport à son coût. </w:t>
      </w: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405CB4">
      <w:pPr>
        <w:spacing w:after="0" w:line="240" w:lineRule="auto"/>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15. La parité des pouvoirs d’achat: </w:t>
      </w:r>
    </w:p>
    <w:p w:rsidR="00F4443C" w:rsidRPr="00405CB4" w:rsidRDefault="00405CB4">
      <w:pPr>
        <w:numPr>
          <w:ilvl w:val="0"/>
          <w:numId w:val="17"/>
        </w:numPr>
        <w:spacing w:after="0" w:line="240" w:lineRule="auto"/>
        <w:contextualSpacing/>
        <w:rPr>
          <w:rFonts w:ascii="Times New Roman" w:eastAsia="Times New Roman" w:hAnsi="Times New Roman" w:cs="Times New Roman"/>
          <w:sz w:val="24"/>
          <w:szCs w:val="24"/>
          <w:highlight w:val="yellow"/>
          <w:lang w:val="fr-CA"/>
        </w:rPr>
      </w:pPr>
      <w:r w:rsidRPr="00405CB4">
        <w:rPr>
          <w:rFonts w:ascii="Times New Roman" w:eastAsia="Times New Roman" w:hAnsi="Times New Roman" w:cs="Times New Roman"/>
          <w:sz w:val="24"/>
          <w:szCs w:val="24"/>
          <w:highlight w:val="yellow"/>
          <w:lang w:val="fr-CA"/>
        </w:rPr>
        <w:t xml:space="preserve">postule que le pouvoir d’achat devrait théoriquement être le même partout lorsqu’il est exprimé́ en une monnaie commune </w:t>
      </w:r>
    </w:p>
    <w:p w:rsidR="00F4443C" w:rsidRPr="00405CB4" w:rsidRDefault="00405CB4">
      <w:pPr>
        <w:numPr>
          <w:ilvl w:val="0"/>
          <w:numId w:val="17"/>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nous permet de comparer le coût de la vie à travers un seul endroit. </w:t>
      </w:r>
    </w:p>
    <w:p w:rsidR="00F4443C" w:rsidRPr="00405CB4" w:rsidRDefault="00405CB4">
      <w:pPr>
        <w:numPr>
          <w:ilvl w:val="0"/>
          <w:numId w:val="17"/>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ne fonctionne jamais en réalité.  </w:t>
      </w:r>
    </w:p>
    <w:p w:rsidR="00F4443C" w:rsidRPr="00405CB4" w:rsidRDefault="00405CB4">
      <w:pPr>
        <w:numPr>
          <w:ilvl w:val="0"/>
          <w:numId w:val="17"/>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Tous ces énoncés sont vrais. </w:t>
      </w: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405CB4">
      <w:pPr>
        <w:spacing w:after="0" w:line="240" w:lineRule="auto"/>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16. Les coûts de transactions empêchent la parité des pouvoirs d’achat de fonctionner parce que: </w:t>
      </w:r>
    </w:p>
    <w:p w:rsidR="00F4443C" w:rsidRPr="00405CB4" w:rsidRDefault="00405CB4">
      <w:pPr>
        <w:numPr>
          <w:ilvl w:val="0"/>
          <w:numId w:val="11"/>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ils rendent la création d'échanges trop coûteuse dans certains </w:t>
      </w:r>
      <w:r>
        <w:rPr>
          <w:rFonts w:ascii="Times New Roman" w:eastAsia="Times New Roman" w:hAnsi="Times New Roman" w:cs="Times New Roman"/>
          <w:sz w:val="24"/>
          <w:szCs w:val="24"/>
          <w:lang w:val="fr-CA"/>
        </w:rPr>
        <w:t>endroits</w:t>
      </w:r>
      <w:r w:rsidRPr="00405CB4">
        <w:rPr>
          <w:rFonts w:ascii="Times New Roman" w:eastAsia="Times New Roman" w:hAnsi="Times New Roman" w:cs="Times New Roman"/>
          <w:sz w:val="24"/>
          <w:szCs w:val="24"/>
          <w:lang w:val="fr-CA"/>
        </w:rPr>
        <w:t xml:space="preserve">. </w:t>
      </w:r>
    </w:p>
    <w:p w:rsidR="00F4443C" w:rsidRPr="00405CB4" w:rsidRDefault="00405CB4">
      <w:pPr>
        <w:numPr>
          <w:ilvl w:val="0"/>
          <w:numId w:val="11"/>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ils n’incluent pas les coûts de transport des biens destinés à la vente dans un autre pays. </w:t>
      </w:r>
    </w:p>
    <w:p w:rsidR="00F4443C" w:rsidRPr="00405CB4" w:rsidRDefault="00405CB4">
      <w:pPr>
        <w:numPr>
          <w:ilvl w:val="0"/>
          <w:numId w:val="11"/>
        </w:numPr>
        <w:spacing w:after="0" w:line="240" w:lineRule="auto"/>
        <w:contextualSpacing/>
        <w:rPr>
          <w:rFonts w:ascii="Times New Roman" w:eastAsia="Times New Roman" w:hAnsi="Times New Roman" w:cs="Times New Roman"/>
          <w:sz w:val="24"/>
          <w:szCs w:val="24"/>
          <w:highlight w:val="yellow"/>
          <w:lang w:val="fr-CA"/>
        </w:rPr>
      </w:pPr>
      <w:r w:rsidRPr="00405CB4">
        <w:rPr>
          <w:rFonts w:ascii="Times New Roman" w:eastAsia="Times New Roman" w:hAnsi="Times New Roman" w:cs="Times New Roman"/>
          <w:sz w:val="24"/>
          <w:szCs w:val="24"/>
          <w:highlight w:val="yellow"/>
          <w:lang w:val="fr-CA"/>
        </w:rPr>
        <w:t xml:space="preserve">le prix d’un bien vendu dans un autre pays doit inclure le coût de transport, ce qui pourrait être élevé et causer un écart de prix important. </w:t>
      </w:r>
    </w:p>
    <w:p w:rsidR="00F4443C" w:rsidRPr="00405CB4" w:rsidRDefault="00405CB4">
      <w:pPr>
        <w:numPr>
          <w:ilvl w:val="0"/>
          <w:numId w:val="11"/>
        </w:numPr>
        <w:spacing w:after="0" w:line="240" w:lineRule="auto"/>
        <w:contextualSpacing/>
        <w:rPr>
          <w:rFonts w:ascii="Times New Roman" w:eastAsia="Times New Roman" w:hAnsi="Times New Roman" w:cs="Times New Roman"/>
          <w:sz w:val="24"/>
          <w:szCs w:val="24"/>
          <w:lang w:val="fr-CA"/>
        </w:rPr>
      </w:pPr>
      <w:r w:rsidRPr="00405CB4">
        <w:rPr>
          <w:rFonts w:ascii="Times New Roman" w:eastAsia="Times New Roman" w:hAnsi="Times New Roman" w:cs="Times New Roman"/>
          <w:sz w:val="24"/>
          <w:szCs w:val="24"/>
          <w:lang w:val="fr-CA"/>
        </w:rPr>
        <w:t xml:space="preserve">le prix des biens vendus inclut les subventions gouvernementales. </w:t>
      </w:r>
    </w:p>
    <w:p w:rsidR="00F4443C" w:rsidRPr="00405CB4" w:rsidRDefault="00F4443C">
      <w:pPr>
        <w:spacing w:after="0" w:line="240" w:lineRule="auto"/>
        <w:rPr>
          <w:rFonts w:ascii="Times New Roman" w:eastAsia="Times New Roman" w:hAnsi="Times New Roman" w:cs="Times New Roman"/>
          <w:sz w:val="24"/>
          <w:szCs w:val="24"/>
          <w:lang w:val="fr-CA"/>
        </w:rPr>
      </w:pPr>
    </w:p>
    <w:p w:rsidR="00F4443C" w:rsidRPr="00405CB4" w:rsidRDefault="00F4443C">
      <w:pPr>
        <w:rPr>
          <w:lang w:val="fr-CA"/>
        </w:rPr>
      </w:pPr>
    </w:p>
    <w:p w:rsidR="00F4443C" w:rsidRPr="00405CB4" w:rsidRDefault="00F4443C">
      <w:pPr>
        <w:rPr>
          <w:lang w:val="fr-CA"/>
        </w:rPr>
      </w:pPr>
    </w:p>
    <w:sectPr w:rsidR="00F4443C" w:rsidRPr="00405CB4">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auto"/>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483127"/>
    <w:multiLevelType w:val="multilevel"/>
    <w:tmpl w:val="BBF41996"/>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 w15:restartNumberingAfterBreak="0">
    <w:nsid w:val="06F91C7A"/>
    <w:multiLevelType w:val="multilevel"/>
    <w:tmpl w:val="6E9A7E2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 w15:restartNumberingAfterBreak="0">
    <w:nsid w:val="07E93131"/>
    <w:multiLevelType w:val="multilevel"/>
    <w:tmpl w:val="A99C3E2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3" w15:restartNumberingAfterBreak="0">
    <w:nsid w:val="0AF1013F"/>
    <w:multiLevelType w:val="multilevel"/>
    <w:tmpl w:val="EB84EDF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4" w15:restartNumberingAfterBreak="0">
    <w:nsid w:val="1A695644"/>
    <w:multiLevelType w:val="multilevel"/>
    <w:tmpl w:val="600892BC"/>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15:restartNumberingAfterBreak="0">
    <w:nsid w:val="1E45730E"/>
    <w:multiLevelType w:val="multilevel"/>
    <w:tmpl w:val="74545EF8"/>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6" w15:restartNumberingAfterBreak="0">
    <w:nsid w:val="1E6C40FB"/>
    <w:multiLevelType w:val="multilevel"/>
    <w:tmpl w:val="4120C69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7" w15:restartNumberingAfterBreak="0">
    <w:nsid w:val="21322772"/>
    <w:multiLevelType w:val="multilevel"/>
    <w:tmpl w:val="F500B1E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276D3B7F"/>
    <w:multiLevelType w:val="multilevel"/>
    <w:tmpl w:val="69F0B2C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9" w15:restartNumberingAfterBreak="0">
    <w:nsid w:val="2E2912E7"/>
    <w:multiLevelType w:val="multilevel"/>
    <w:tmpl w:val="C6DC66C0"/>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0" w15:restartNumberingAfterBreak="0">
    <w:nsid w:val="34155219"/>
    <w:multiLevelType w:val="multilevel"/>
    <w:tmpl w:val="9B06A32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1" w15:restartNumberingAfterBreak="0">
    <w:nsid w:val="4480224A"/>
    <w:multiLevelType w:val="multilevel"/>
    <w:tmpl w:val="5DBC5F9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2" w15:restartNumberingAfterBreak="0">
    <w:nsid w:val="479B36A4"/>
    <w:multiLevelType w:val="multilevel"/>
    <w:tmpl w:val="EC86732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3" w15:restartNumberingAfterBreak="0">
    <w:nsid w:val="513F2621"/>
    <w:multiLevelType w:val="multilevel"/>
    <w:tmpl w:val="D5C2251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4" w15:restartNumberingAfterBreak="0">
    <w:nsid w:val="51A90ED1"/>
    <w:multiLevelType w:val="multilevel"/>
    <w:tmpl w:val="58169CAC"/>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5" w15:restartNumberingAfterBreak="0">
    <w:nsid w:val="54377FE4"/>
    <w:multiLevelType w:val="multilevel"/>
    <w:tmpl w:val="26C236AE"/>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16" w15:restartNumberingAfterBreak="0">
    <w:nsid w:val="7D9E76E9"/>
    <w:multiLevelType w:val="multilevel"/>
    <w:tmpl w:val="3E98B5C4"/>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num w:numId="1">
    <w:abstractNumId w:val="8"/>
  </w:num>
  <w:num w:numId="2">
    <w:abstractNumId w:val="2"/>
  </w:num>
  <w:num w:numId="3">
    <w:abstractNumId w:val="4"/>
  </w:num>
  <w:num w:numId="4">
    <w:abstractNumId w:val="13"/>
  </w:num>
  <w:num w:numId="5">
    <w:abstractNumId w:val="6"/>
  </w:num>
  <w:num w:numId="6">
    <w:abstractNumId w:val="10"/>
  </w:num>
  <w:num w:numId="7">
    <w:abstractNumId w:val="9"/>
  </w:num>
  <w:num w:numId="8">
    <w:abstractNumId w:val="5"/>
  </w:num>
  <w:num w:numId="9">
    <w:abstractNumId w:val="15"/>
  </w:num>
  <w:num w:numId="10">
    <w:abstractNumId w:val="7"/>
  </w:num>
  <w:num w:numId="11">
    <w:abstractNumId w:val="11"/>
  </w:num>
  <w:num w:numId="12">
    <w:abstractNumId w:val="3"/>
  </w:num>
  <w:num w:numId="13">
    <w:abstractNumId w:val="14"/>
  </w:num>
  <w:num w:numId="14">
    <w:abstractNumId w:val="1"/>
  </w:num>
  <w:num w:numId="15">
    <w:abstractNumId w:val="0"/>
  </w:num>
  <w:num w:numId="16">
    <w:abstractNumId w:val="16"/>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43C"/>
    <w:rsid w:val="00212DC4"/>
    <w:rsid w:val="00405CB4"/>
    <w:rsid w:val="00F4443C"/>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8CF9940-807F-4E38-AA2A-54170F4DA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color w:val="000000"/>
        <w:sz w:val="22"/>
        <w:szCs w:val="22"/>
        <w:lang w:val="en-US" w:eastAsia="ja-JP" w:bidi="ar-SA"/>
      </w:rPr>
    </w:rPrDefault>
    <w:pPrDefault>
      <w:pPr>
        <w:pBdr>
          <w:top w:val="nil"/>
          <w:left w:val="nil"/>
          <w:bottom w:val="nil"/>
          <w:right w:val="nil"/>
          <w:between w:val="nil"/>
        </w:pBd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30" w:type="dxa"/>
        <w:left w:w="30" w:type="dxa"/>
        <w:bottom w:w="30" w:type="dxa"/>
        <w:right w:w="3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927</Words>
  <Characters>5285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Trillium Lakelands DSB</Company>
  <LinksUpToDate>false</LinksUpToDate>
  <CharactersWithSpaces>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McNeice, Katelyn</dc:creator>
  <cp:lastModifiedBy>Hudson, Melissa</cp:lastModifiedBy>
  <cp:revision>2</cp:revision>
  <dcterms:created xsi:type="dcterms:W3CDTF">2018-01-12T14:35:00Z</dcterms:created>
  <dcterms:modified xsi:type="dcterms:W3CDTF">2018-01-12T14:35:00Z</dcterms:modified>
</cp:coreProperties>
</file>