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7F0" w:rsidRDefault="002E37F0" w:rsidP="002E37F0">
      <w:pPr>
        <w:jc w:val="center"/>
      </w:pPr>
    </w:p>
    <w:p w:rsidR="002E37F0" w:rsidRDefault="002E37F0" w:rsidP="00032961"/>
    <w:p w:rsidR="002E37F0" w:rsidRDefault="002E37F0" w:rsidP="00032961"/>
    <w:p w:rsidR="002E37F0" w:rsidRDefault="002E37F0" w:rsidP="00032961"/>
    <w:p w:rsidR="002E37F0" w:rsidRDefault="002E37F0" w:rsidP="00032961"/>
    <w:p w:rsidR="00EF5049" w:rsidRDefault="00CB358A" w:rsidP="00032961">
      <w:pPr>
        <w:jc w:val="center"/>
      </w:pPr>
      <w:r w:rsidRPr="00EC364A">
        <w:t>HOW CAN GENDER BASED VIOLENCE AGAINST WOMEN BE REDUCED IN THE SOCIETY?</w:t>
      </w:r>
    </w:p>
    <w:p w:rsidR="002E37F0" w:rsidRDefault="002E37F0" w:rsidP="00032961"/>
    <w:p w:rsidR="00032961" w:rsidRDefault="00032961" w:rsidP="00032961">
      <w:r>
        <w:t>ANTH 1120</w:t>
      </w:r>
      <w:bookmarkStart w:id="0" w:name="_GoBack"/>
      <w:bookmarkEnd w:id="0"/>
    </w:p>
    <w:p w:rsidR="002E37F0" w:rsidRDefault="00032961" w:rsidP="00032961">
      <w:r>
        <w:t>Ryan James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2E37F0" w:rsidRDefault="002E37F0" w:rsidP="00032961"/>
    <w:p w:rsidR="002E37F0" w:rsidRDefault="002E37F0" w:rsidP="00032961"/>
    <w:p w:rsidR="002E37F0" w:rsidRDefault="002E37F0" w:rsidP="00032961"/>
    <w:p w:rsidR="002E37F0" w:rsidRDefault="002E37F0" w:rsidP="00032961"/>
    <w:p w:rsidR="002E37F0" w:rsidRDefault="002E37F0" w:rsidP="00032961"/>
    <w:p w:rsidR="002E37F0" w:rsidRDefault="002E37F0" w:rsidP="00032961"/>
    <w:p w:rsidR="00032961" w:rsidRDefault="00032961" w:rsidP="00032961">
      <w:pPr>
        <w:spacing w:line="240" w:lineRule="auto"/>
      </w:pPr>
    </w:p>
    <w:p w:rsidR="00032961" w:rsidRDefault="00032961" w:rsidP="00032961">
      <w:pPr>
        <w:spacing w:line="240" w:lineRule="auto"/>
      </w:pPr>
    </w:p>
    <w:p w:rsidR="00032961" w:rsidRDefault="00032961" w:rsidP="00032961"/>
    <w:p w:rsidR="00D47660" w:rsidRDefault="00D47660" w:rsidP="00032961"/>
    <w:p w:rsidR="00EF5049" w:rsidRDefault="00EF5049" w:rsidP="00032961"/>
    <w:p w:rsidR="00EB578A" w:rsidRDefault="00EB578A" w:rsidP="00032961">
      <w:pPr>
        <w:sectPr w:rsidR="00EB578A" w:rsidSect="002360AB">
          <w:headerReference w:type="even" r:id="rId8"/>
          <w:headerReference w:type="default" r:id="rId9"/>
          <w:headerReference w:type="first" r:id="rId10"/>
          <w:pgSz w:w="12240" w:h="15840"/>
          <w:pgMar w:top="1440" w:right="1440" w:bottom="1440" w:left="1440" w:header="720" w:footer="720" w:gutter="0"/>
          <w:pgNumType w:start="1" w:chapStyle="1"/>
          <w:cols w:space="720"/>
          <w:titlePg/>
          <w:docGrid w:linePitch="360"/>
        </w:sectPr>
      </w:pPr>
    </w:p>
    <w:p w:rsidR="00032961" w:rsidRDefault="00032961" w:rsidP="00032961">
      <w:pPr>
        <w:rPr>
          <w:b/>
        </w:rPr>
      </w:pPr>
    </w:p>
    <w:p w:rsidR="00A56D4D" w:rsidRPr="00A56D4D" w:rsidRDefault="00A56D4D" w:rsidP="00032961">
      <w:pPr>
        <w:jc w:val="center"/>
        <w:rPr>
          <w:b/>
        </w:rPr>
      </w:pPr>
      <w:r w:rsidRPr="00A56D4D">
        <w:rPr>
          <w:b/>
        </w:rPr>
        <w:t>Introduction</w:t>
      </w:r>
    </w:p>
    <w:p w:rsidR="002A65A8" w:rsidRDefault="002A65A8" w:rsidP="00032961">
      <w:pPr>
        <w:ind w:firstLine="720"/>
      </w:pPr>
      <w:r w:rsidRPr="002A65A8">
        <w:t>Violence against women is considered as the most oppressive forms of gender inequality, and it becomes a fundamental barrier to the participation of women and men in social, economic and political spheres equally.</w:t>
      </w:r>
      <w:r w:rsidR="009825CF">
        <w:rPr>
          <w:rStyle w:val="FootnoteReference"/>
        </w:rPr>
        <w:footnoteReference w:id="1"/>
      </w:r>
      <w:r w:rsidRPr="002A65A8">
        <w:t xml:space="preserve"> Violence against women is an act of gender-based violence that will result in either mental, physical, sexual harm to women not excluding threats which might occur in private or in public. The violence has caused the reduction of gender equality and being able to achieve a range of development outcomes in our societies. This topic of violence against women is complex, and it cannot be addressed effectively from a single point of view. Violence against women especially intimate partner violence and sexual violence may cause health problems and violation of women’s rights. Statistics indicate that about 35% of women worldwide have experienced harassment either sexual or physical through their partner or other individuals in their lifetime.</w:t>
      </w:r>
      <w:r w:rsidR="009825CF">
        <w:rPr>
          <w:rStyle w:val="FootnoteReference"/>
        </w:rPr>
        <w:footnoteReference w:id="2"/>
      </w:r>
      <w:r w:rsidRPr="002A65A8">
        <w:t xml:space="preserve"> To prevent and respond to such violence, it requires coordinated actions across multiple different sectors. This paper aims to provide basic information on the characteristics and consequences of violence against women and how gender-based violence could be prevented and provide service to the individuals affected by the violence. Furthermore, it offers strategies for integrating violence against women and response to policies as well as sectors programs and projects. </w:t>
      </w:r>
    </w:p>
    <w:p w:rsidR="00ED0C73" w:rsidRDefault="00ED0C73" w:rsidP="00032961"/>
    <w:p w:rsidR="00ED0C73" w:rsidRDefault="00ED0C73" w:rsidP="00032961"/>
    <w:p w:rsidR="002A65A8" w:rsidRPr="00ED0C73" w:rsidRDefault="002A65A8" w:rsidP="00032961">
      <w:pPr>
        <w:jc w:val="center"/>
        <w:rPr>
          <w:b/>
        </w:rPr>
      </w:pPr>
      <w:r w:rsidRPr="00ED0C73">
        <w:rPr>
          <w:b/>
        </w:rPr>
        <w:lastRenderedPageBreak/>
        <w:t>Forms of gender-based violence</w:t>
      </w:r>
    </w:p>
    <w:p w:rsidR="002A65A8" w:rsidRPr="002A65A8" w:rsidRDefault="002A65A8" w:rsidP="00032961">
      <w:pPr>
        <w:ind w:firstLine="720"/>
      </w:pPr>
      <w:r w:rsidRPr="002A65A8">
        <w:t>Gender-based violence can be manifested in many ways such as intimate partner violence (IPV) to different acts of violence which are carried out either privately or in the online space. Sometimes the forms are not mutually exclusive, and this may cause a ripple of multiple-incidence to be happening at once and reinforcing each other.</w:t>
      </w:r>
      <w:r w:rsidR="00A53ED0">
        <w:rPr>
          <w:rStyle w:val="FootnoteReference"/>
        </w:rPr>
        <w:footnoteReference w:id="3"/>
      </w:r>
      <w:r w:rsidRPr="002A65A8">
        <w:t xml:space="preserve"> Furthermore, some of the inequalities experienced which are either related to race, age, disability, religion or even social class may ignite the acts of violence. Violence against women falls under four key forms which are Physical violence, sexual violence, economic violence, and psychological violence. </w:t>
      </w:r>
    </w:p>
    <w:p w:rsidR="002A65A8" w:rsidRPr="002A65A8" w:rsidRDefault="00A53ED0" w:rsidP="00032961">
      <w:r>
        <w:t>Physical violence</w:t>
      </w:r>
      <w:r w:rsidR="00ED0C73">
        <w:t>.</w:t>
      </w:r>
    </w:p>
    <w:p w:rsidR="002A65A8" w:rsidRPr="002A65A8" w:rsidRDefault="002A65A8" w:rsidP="00032961">
      <w:pPr>
        <w:ind w:firstLine="720"/>
      </w:pPr>
      <w:r w:rsidRPr="002A65A8">
        <w:t>Physical violence is an act which can cause physical harm as a result of intense physical force. Physical violence can also include minor assaults such as slapping, shaking or even using a fist, deprivation of liberty and manslaughter.</w:t>
      </w:r>
      <w:r w:rsidR="00A53ED0">
        <w:rPr>
          <w:rStyle w:val="FootnoteReference"/>
        </w:rPr>
        <w:footnoteReference w:id="4"/>
      </w:r>
      <w:r w:rsidRPr="002A65A8">
        <w:t xml:space="preserve"> </w:t>
      </w:r>
    </w:p>
    <w:p w:rsidR="002A65A8" w:rsidRPr="002A65A8" w:rsidRDefault="002A65A8" w:rsidP="00032961">
      <w:r w:rsidRPr="002A65A8">
        <w:t>Sexual violence</w:t>
      </w:r>
      <w:r w:rsidR="00ED0C73">
        <w:t>.</w:t>
      </w:r>
    </w:p>
    <w:p w:rsidR="002A65A8" w:rsidRPr="002A65A8" w:rsidRDefault="002A65A8" w:rsidP="00032961">
      <w:pPr>
        <w:ind w:firstLine="720"/>
      </w:pPr>
      <w:r w:rsidRPr="002A65A8">
        <w:t>Sexual violence is any sexual act performed on a woman without her consent. This type of abuse can take the form of sexual assault which includes coerced sex threats or intimidation through physical force or rape.</w:t>
      </w:r>
      <w:r w:rsidR="00BB739A">
        <w:rPr>
          <w:rStyle w:val="FootnoteReference"/>
        </w:rPr>
        <w:footnoteReference w:id="5"/>
      </w:r>
    </w:p>
    <w:p w:rsidR="00ED0C73" w:rsidRDefault="00ED0C73" w:rsidP="00032961"/>
    <w:p w:rsidR="002A65A8" w:rsidRPr="00032961" w:rsidRDefault="002A65A8" w:rsidP="00032961">
      <w:pPr>
        <w:jc w:val="center"/>
        <w:rPr>
          <w:b/>
        </w:rPr>
      </w:pPr>
      <w:r w:rsidRPr="00032961">
        <w:rPr>
          <w:b/>
        </w:rPr>
        <w:lastRenderedPageBreak/>
        <w:t>Economic violence</w:t>
      </w:r>
    </w:p>
    <w:p w:rsidR="002A65A8" w:rsidRPr="002A65A8" w:rsidRDefault="002A65A8" w:rsidP="00032961">
      <w:pPr>
        <w:ind w:firstLine="720"/>
      </w:pPr>
      <w:r w:rsidRPr="002A65A8">
        <w:t>This includes any behavior which can cause economic harm to a woman. Economic violence includes property damage, restricting a person to financial resources or education, or not complying with economic responsibilities.</w:t>
      </w:r>
      <w:r w:rsidR="00BB739A">
        <w:rPr>
          <w:rStyle w:val="FootnoteReference"/>
        </w:rPr>
        <w:footnoteReference w:id="6"/>
      </w:r>
    </w:p>
    <w:p w:rsidR="002A65A8" w:rsidRPr="002A65A8" w:rsidRDefault="002A65A8" w:rsidP="00032961">
      <w:r w:rsidRPr="002A65A8">
        <w:t>Psychological violence</w:t>
      </w:r>
      <w:r w:rsidR="00ED0C73">
        <w:t>.</w:t>
      </w:r>
    </w:p>
    <w:p w:rsidR="002A65A8" w:rsidRPr="002A65A8" w:rsidRDefault="002A65A8" w:rsidP="00032961">
      <w:pPr>
        <w:ind w:firstLine="720"/>
      </w:pPr>
      <w:r w:rsidRPr="002A65A8">
        <w:t xml:space="preserve">Any act which causes harm to a person psychologically. This type of abuse involves isolation from other people, verbal aggression and intimidation, control over a person’s activities or even humiliation of other people. </w:t>
      </w:r>
    </w:p>
    <w:p w:rsidR="002A65A8" w:rsidRPr="00ED0C73" w:rsidRDefault="002A65A8" w:rsidP="00032961">
      <w:pPr>
        <w:jc w:val="center"/>
        <w:rPr>
          <w:b/>
        </w:rPr>
      </w:pPr>
      <w:r w:rsidRPr="00ED0C73">
        <w:rPr>
          <w:b/>
        </w:rPr>
        <w:t>Causes of gender-based violence</w:t>
      </w:r>
    </w:p>
    <w:p w:rsidR="002A65A8" w:rsidRPr="002A65A8" w:rsidRDefault="002A65A8" w:rsidP="00032961">
      <w:pPr>
        <w:ind w:firstLine="720"/>
      </w:pPr>
      <w:r w:rsidRPr="002A65A8">
        <w:t>To understand a social problem and develop a way to prevent it is essential first to understand what it causes it. As per investigate concerning the diverse reasons for violence against ladies, it was found that the examination of the attributes that impact the conduct of guilty parties and thought of whether a few ladies have an increased defenselessness to exploitation are the original two line of the request. Hypotheses that are exposed to chat on violence against ladies are created from the realities of hostility and violence. For the most part, they propose that violence starts from the cooperation among people natural and mental components including the common procedures.</w:t>
      </w:r>
    </w:p>
    <w:p w:rsidR="002A65A8" w:rsidRPr="002A65A8" w:rsidRDefault="002A65A8" w:rsidP="00032961">
      <w:r w:rsidRPr="002A65A8">
        <w:t>Alcohol abuse</w:t>
      </w:r>
    </w:p>
    <w:p w:rsidR="002A65A8" w:rsidRPr="002A65A8" w:rsidRDefault="002A65A8" w:rsidP="00032961">
      <w:pPr>
        <w:ind w:firstLine="720"/>
      </w:pPr>
      <w:r w:rsidRPr="002A65A8">
        <w:t xml:space="preserve">Today every aggressive act has a higher prevalence among individuals who have been drinking. Research shows that alcohol abuse has been reported of incidents of battering between </w:t>
      </w:r>
      <w:r w:rsidRPr="002A65A8">
        <w:lastRenderedPageBreak/>
        <w:t>25-85 percent and up to 75 percent incidence of rape cases.</w:t>
      </w:r>
      <w:r w:rsidR="0043610C">
        <w:rPr>
          <w:rStyle w:val="FootnoteReference"/>
        </w:rPr>
        <w:footnoteReference w:id="7"/>
      </w:r>
      <w:r w:rsidRPr="002A65A8">
        <w:t xml:space="preserve"> Drinking and alcohol abuse for men is linked directly to physical aggression and other variables which are associated with violence. The relationship between men drinking and intimate partner violence (IPV) could be spurious as the drinking patterns of men are related to marital violence across different ethnic groups and even social classes.</w:t>
      </w:r>
      <w:r w:rsidR="00C359D3">
        <w:rPr>
          <w:rStyle w:val="FootnoteReference"/>
        </w:rPr>
        <w:footnoteReference w:id="8"/>
      </w:r>
      <w:r w:rsidRPr="002A65A8">
        <w:t xml:space="preserve"> Alcohol abuse and violent relationship are termed to be complex because it involves a sequence of different physiological, psychological and social-cultural factors.</w:t>
      </w:r>
    </w:p>
    <w:p w:rsidR="002A65A8" w:rsidRPr="002A65A8" w:rsidRDefault="002A65A8" w:rsidP="00032961">
      <w:pPr>
        <w:ind w:firstLine="720"/>
      </w:pPr>
      <w:r w:rsidRPr="002A65A8">
        <w:t>Recent research demonstrates that liquor may meddle with an individual subjective procedure, for example, social insight. No doubt when such happens the individual may misperceive questionable signs as suggestive of sexual interests and overlook or misconstrue signals that a lady is reluctant. If the individual is caught up in such a situation, there is a high probability that he can inflict violence to the woman either physically or sexually.</w:t>
      </w:r>
    </w:p>
    <w:p w:rsidR="002A65A8" w:rsidRPr="002A65A8" w:rsidRDefault="002A65A8" w:rsidP="00032961">
      <w:r w:rsidRPr="002A65A8">
        <w:t>Personality Traits and psychopathology.</w:t>
      </w:r>
    </w:p>
    <w:p w:rsidR="002A65A8" w:rsidRPr="002A65A8" w:rsidRDefault="002A65A8" w:rsidP="00032961">
      <w:pPr>
        <w:ind w:firstLine="720"/>
      </w:pPr>
      <w:r w:rsidRPr="002A65A8">
        <w:t>Psychopathology and personality disorders mostly those affected with antisocial personality disorders or borderline personality organization among men are most likely to assault their wives. Furthermore, individuals who have antisocial personality disorders are most likely to be diagnosed with sexual offenders.</w:t>
      </w:r>
      <w:r w:rsidR="007A0D7A">
        <w:rPr>
          <w:rStyle w:val="FootnoteReference"/>
        </w:rPr>
        <w:footnoteReference w:id="9"/>
      </w:r>
      <w:r w:rsidRPr="002A65A8">
        <w:t xml:space="preserve"> Studies have demonstrated that the identities of imprisoned attackers and court-alluded these people as inadequately taught and from low-status occupations and the distinction may happen on who will get indicted and condemned than it does on the identity of vicious men. Therefore, if a man possesses either psychopathology or personality </w:t>
      </w:r>
      <w:r w:rsidRPr="002A65A8">
        <w:lastRenderedPageBreak/>
        <w:t>disorders, there is a possibility that the man may have a higher tendency of aggression especially when he is not able to control his feelings due to the disorder. However, intimate partner violence and sexual assault may take part in private self- report plays a significant role in their study including violent behaviors which are common in intimate relationships.</w:t>
      </w:r>
    </w:p>
    <w:p w:rsidR="002A65A8" w:rsidRPr="002A65A8" w:rsidRDefault="002A65A8" w:rsidP="00032961">
      <w:r w:rsidRPr="002A65A8">
        <w:t>Attitude and gender schemas</w:t>
      </w:r>
    </w:p>
    <w:p w:rsidR="002A65A8" w:rsidRPr="002A65A8" w:rsidRDefault="002A65A8" w:rsidP="00032961">
      <w:pPr>
        <w:ind w:firstLine="720"/>
      </w:pPr>
      <w:r w:rsidRPr="002A65A8">
        <w:t>Gender schemas incorporate fantasies about violence, sexual contents</w:t>
      </w:r>
      <w:r w:rsidR="00032961">
        <w:t>,</w:t>
      </w:r>
      <w:r w:rsidRPr="002A65A8">
        <w:t xml:space="preserve"> and jobs and furthermore, male privileges. These distinctive elements might be a premise to give significance to predisposition translation of progressing encounters and providing structure to the scope of conceivable reactions.</w:t>
      </w:r>
      <w:r w:rsidR="007A0D7A">
        <w:rPr>
          <w:rStyle w:val="FootnoteReference"/>
        </w:rPr>
        <w:footnoteReference w:id="10"/>
      </w:r>
      <w:r w:rsidRPr="002A65A8">
        <w:t xml:space="preserve"> Many cases of beliefs that have been seen t encourage rape have been demonstrated among different individuals such as police officers, judges, and even citizens. Mostly when a schema which supports violence against women has developed most men are likely to misinterpret ambiguous evidence as confirming their beliefs.</w:t>
      </w:r>
      <w:r w:rsidR="008C3A64">
        <w:rPr>
          <w:rStyle w:val="FootnoteReference"/>
        </w:rPr>
        <w:footnoteReference w:id="11"/>
      </w:r>
      <w:r w:rsidRPr="002A65A8">
        <w:t xml:space="preserve"> Furthermore, sexually aggressive men easily endorse a set of attitudes that are supportive of rape than non-aggressive men, including myths about rape together with interpersonal violence as a strategy for resolving violence.</w:t>
      </w:r>
    </w:p>
    <w:p w:rsidR="0081079D" w:rsidRDefault="0081079D" w:rsidP="00032961"/>
    <w:p w:rsidR="002A65A8" w:rsidRPr="00A738A3" w:rsidRDefault="002A65A8" w:rsidP="00032961">
      <w:pPr>
        <w:rPr>
          <w:b/>
        </w:rPr>
      </w:pPr>
      <w:r w:rsidRPr="00A738A3">
        <w:rPr>
          <w:b/>
        </w:rPr>
        <w:t>How gender-based violence can be reduced in society.</w:t>
      </w:r>
    </w:p>
    <w:p w:rsidR="002A65A8" w:rsidRPr="002A65A8" w:rsidRDefault="002A65A8" w:rsidP="00032961">
      <w:pPr>
        <w:ind w:firstLine="720"/>
      </w:pPr>
      <w:r w:rsidRPr="002A65A8">
        <w:t>Gender-based violence has turned into a noteworthy boundary to the accomplishments of improvement results. As indicated by the universes maintainable improveme</w:t>
      </w:r>
      <w:r w:rsidR="008C7456">
        <w:t xml:space="preserve">nt objectives five it </w:t>
      </w:r>
      <w:r w:rsidR="0082797B">
        <w:lastRenderedPageBreak/>
        <w:t>perceived</w:t>
      </w:r>
      <w:r w:rsidRPr="002A65A8">
        <w:t xml:space="preserve"> that gender fairness is one of the establishments of a reasonable and feasible world.</w:t>
      </w:r>
      <w:r w:rsidR="007475EE">
        <w:rPr>
          <w:rStyle w:val="FootnoteReference"/>
        </w:rPr>
        <w:footnoteReference w:id="12"/>
      </w:r>
      <w:r w:rsidRPr="002A65A8">
        <w:t xml:space="preserve"> Therefore all forms of violence against women either in private or public should be eliminated. To achieve this, it is better to focus on different ways in which gender-based violence can be reduced in our societies. </w:t>
      </w:r>
    </w:p>
    <w:p w:rsidR="002A65A8" w:rsidRPr="002A65A8" w:rsidRDefault="0081079D" w:rsidP="00032961">
      <w:r w:rsidRPr="002A65A8">
        <w:t>D</w:t>
      </w:r>
      <w:r w:rsidR="002A65A8" w:rsidRPr="002A65A8">
        <w:t>eveloping clinical services to lower level health facilities.</w:t>
      </w:r>
    </w:p>
    <w:p w:rsidR="002A65A8" w:rsidRPr="002A65A8" w:rsidRDefault="002A65A8" w:rsidP="00032961">
      <w:pPr>
        <w:ind w:firstLine="720"/>
      </w:pPr>
      <w:r w:rsidRPr="002A65A8">
        <w:t>Giving gender-based violence clinical administrations will guarantee that the critics of getting to a therapeutic office are met since numerous clinical administrations have concentrated on abnormal state offices where several administrations are advertised.</w:t>
      </w:r>
      <w:r w:rsidR="007475EE">
        <w:rPr>
          <w:rStyle w:val="FootnoteReference"/>
        </w:rPr>
        <w:footnoteReference w:id="13"/>
      </w:r>
      <w:r w:rsidRPr="002A65A8">
        <w:t xml:space="preserve"> Notwithstanding, most of the person's entrance this administrations at abnormal state offices do as such past the point where it is possible to get critical intercessions. When there is the availability of clinical services at a lower level health facilities individuals in need of the services will be able to receive care immediately, for example, the providence of emergency contraception and HIV post-exposure prophylaxis to women who have suffered from sexual abuse and rape.</w:t>
      </w:r>
      <w:r w:rsidR="007475EE">
        <w:rPr>
          <w:rStyle w:val="FootnoteReference"/>
        </w:rPr>
        <w:footnoteReference w:id="14"/>
      </w:r>
      <w:r w:rsidRPr="002A65A8">
        <w:t xml:space="preserve"> The clinical facilities should be situated mostly in the rural areas to improve the faster access of the facility by the community.</w:t>
      </w:r>
    </w:p>
    <w:p w:rsidR="002A65A8" w:rsidRPr="002A65A8" w:rsidRDefault="0081079D" w:rsidP="00032961">
      <w:r w:rsidRPr="002A65A8">
        <w:t>E</w:t>
      </w:r>
      <w:r w:rsidR="002A65A8" w:rsidRPr="002A65A8">
        <w:t>ducating the younger generation on the impact of gender-based violence.</w:t>
      </w:r>
    </w:p>
    <w:p w:rsidR="002A65A8" w:rsidRPr="002A65A8" w:rsidRDefault="002A65A8" w:rsidP="00032961">
      <w:pPr>
        <w:ind w:firstLine="720"/>
      </w:pPr>
      <w:r w:rsidRPr="002A65A8">
        <w:t>Preventing and reducing gender-based violence for women should start at an early age. Programs should be developed to educate young boys and girls to promote respectful and non-</w:t>
      </w:r>
      <w:r w:rsidRPr="002A65A8">
        <w:lastRenderedPageBreak/>
        <w:t>violent relationships including gender equality.</w:t>
      </w:r>
      <w:r w:rsidR="007475EE">
        <w:rPr>
          <w:rStyle w:val="FootnoteReference"/>
        </w:rPr>
        <w:footnoteReference w:id="15"/>
      </w:r>
      <w:r w:rsidRPr="002A65A8">
        <w:t xml:space="preserve"> Training the young generation at an early age for faster-sustained procedures of preventing and curbing gender-based violence, is essential for installing the values and norms surrounding gender equality which have been overlooked by public policies in this stage of life. </w:t>
      </w:r>
    </w:p>
    <w:p w:rsidR="002A65A8" w:rsidRPr="002A65A8" w:rsidRDefault="00672703" w:rsidP="00032961">
      <w:r w:rsidRPr="002A65A8">
        <w:t>E</w:t>
      </w:r>
      <w:r w:rsidR="002A65A8" w:rsidRPr="002A65A8">
        <w:t>ncouraging women in participation in civil society.</w:t>
      </w:r>
    </w:p>
    <w:p w:rsidR="002A65A8" w:rsidRDefault="002A65A8" w:rsidP="00032961">
      <w:pPr>
        <w:ind w:firstLine="720"/>
      </w:pPr>
      <w:r w:rsidRPr="002A65A8">
        <w:t>Financing ladies who are dynamic in the conventional society are exceptionally successful in affecting the global, national settlements and even understandings and laws in applying more strain to guarantee they are executed.</w:t>
      </w:r>
      <w:r w:rsidR="00672703">
        <w:rPr>
          <w:rStyle w:val="FootnoteReference"/>
        </w:rPr>
        <w:footnoteReference w:id="16"/>
      </w:r>
      <w:r w:rsidRPr="002A65A8">
        <w:t xml:space="preserve"> Governments must plan to set aside more money to support women who are active in society. Furthermore, if more women are supported, they will rise and fight for their rights to equality and therefore curbing the problem of gender-based violation.</w:t>
      </w:r>
    </w:p>
    <w:p w:rsidR="0081079D" w:rsidRDefault="0081079D" w:rsidP="00032961">
      <w:pPr>
        <w:ind w:firstLine="720"/>
      </w:pPr>
    </w:p>
    <w:p w:rsidR="0081079D" w:rsidRPr="002A65A8" w:rsidRDefault="0081079D" w:rsidP="00032961">
      <w:pPr>
        <w:ind w:firstLine="720"/>
      </w:pPr>
    </w:p>
    <w:p w:rsidR="002A65A8" w:rsidRPr="002A65A8" w:rsidRDefault="002A65A8" w:rsidP="00032961">
      <w:r w:rsidRPr="002A65A8">
        <w:t>Development of support programs for gender-based violence.</w:t>
      </w:r>
    </w:p>
    <w:p w:rsidR="002A65A8" w:rsidRPr="002A65A8" w:rsidRDefault="002A65A8" w:rsidP="00032961">
      <w:pPr>
        <w:ind w:firstLine="720"/>
      </w:pPr>
      <w:r w:rsidRPr="002A65A8">
        <w:t>It is advocated for women who have experienced violence and have trauma to seek support from a specialist such as psychologists.</w:t>
      </w:r>
      <w:r w:rsidR="00672703">
        <w:rPr>
          <w:rStyle w:val="FootnoteReference"/>
        </w:rPr>
        <w:footnoteReference w:id="17"/>
      </w:r>
      <w:r w:rsidRPr="002A65A8">
        <w:t xml:space="preserve"> Counseling and interventions to improve access to different services for the survivors of intimate partner violence are efficient in reducing </w:t>
      </w:r>
      <w:r w:rsidRPr="002A65A8">
        <w:lastRenderedPageBreak/>
        <w:t xml:space="preserve">such violence. More so, there could be home visitation programs involving health worker outreach by professional health personnel.    </w:t>
      </w:r>
    </w:p>
    <w:p w:rsidR="002A65A8" w:rsidRPr="002A65A8" w:rsidRDefault="002A65A8" w:rsidP="00032961">
      <w:pPr>
        <w:ind w:firstLine="720"/>
      </w:pPr>
      <w:r w:rsidRPr="002A65A8">
        <w:t xml:space="preserve">In conclusion, the reduction of gender-based violence in women in the community involves many strategies which include the help of the government, the individuals affected and also the non-government organizations. Gender-based violence in the community is caused by different reasons which are horrible and makes the issue to accelerate. Such causes include alcohol and drug abuse, attitude and gender schemes that individuals have developed over time, and personality trait disorder also can increase gender-based violence because people with such conditions tend to be more aggressive than usual. Therefore, they might cause violence to their spouses or other individuals. Lastly, gender-based violence can be in different forms either, physical, sexual, economic, or psychological. However, these may be prevented by various methods that have been discussed including the development of support programs for gender-based violence, encouraging women to participate in the civil society among others. </w:t>
      </w:r>
    </w:p>
    <w:p w:rsidR="002A65A8" w:rsidRPr="002A65A8" w:rsidRDefault="002A65A8" w:rsidP="00032961">
      <w:pPr>
        <w:ind w:firstLine="720"/>
      </w:pPr>
    </w:p>
    <w:p w:rsidR="00837F38" w:rsidRDefault="00837F38" w:rsidP="00032961">
      <w:pPr>
        <w:ind w:firstLine="720"/>
      </w:pPr>
    </w:p>
    <w:p w:rsidR="00837F38" w:rsidRDefault="00837F38" w:rsidP="00032961"/>
    <w:p w:rsidR="0081079D" w:rsidRDefault="0081079D" w:rsidP="00032961"/>
    <w:p w:rsidR="00EC364A" w:rsidRDefault="00837F38" w:rsidP="00032961">
      <w:pPr>
        <w:ind w:firstLine="720"/>
      </w:pPr>
      <w:r>
        <w:t>Bibliography</w:t>
      </w:r>
    </w:p>
    <w:p w:rsidR="00EC364A" w:rsidRDefault="00EC364A" w:rsidP="00032961">
      <w:pPr>
        <w:spacing w:line="240" w:lineRule="auto"/>
        <w:ind w:left="720" w:hanging="720"/>
      </w:pPr>
      <w:proofErr w:type="spellStart"/>
      <w:r w:rsidRPr="00AB1BC9">
        <w:t>Barocas</w:t>
      </w:r>
      <w:proofErr w:type="spellEnd"/>
      <w:r w:rsidRPr="00AB1BC9">
        <w:t>, Briana, Danielle Emery, and Linda Mills. 2016. "Changing the Domestic Violence Narrative: Aligning Definitions and Standards." </w:t>
      </w:r>
      <w:r w:rsidRPr="00AB1BC9">
        <w:rPr>
          <w:i/>
          <w:iCs/>
        </w:rPr>
        <w:t>Journal of Family Violence</w:t>
      </w:r>
      <w:r w:rsidRPr="00AB1BC9">
        <w:t> 31 (8): 941-947. doi:10.1007/s10896-016-9885-</w:t>
      </w:r>
      <w:r w:rsidRPr="0082430E">
        <w:t xml:space="preserve">0. </w:t>
      </w:r>
      <w:hyperlink r:id="rId11" w:history="1">
        <w:r w:rsidRPr="00936598">
          <w:rPr>
            <w:rStyle w:val="Hyperlink"/>
          </w:rPr>
          <w:t>http://resolver.scholarsportal.info/resolve/08857482/v31i0008/941_ctdvnadas</w:t>
        </w:r>
      </w:hyperlink>
      <w:r w:rsidRPr="0082430E">
        <w:t>.</w:t>
      </w:r>
    </w:p>
    <w:p w:rsidR="00EC364A" w:rsidRDefault="00EC364A" w:rsidP="00032961">
      <w:pPr>
        <w:spacing w:line="240" w:lineRule="auto"/>
        <w:ind w:left="720" w:hanging="720"/>
      </w:pPr>
      <w:proofErr w:type="spellStart"/>
      <w:r w:rsidRPr="008C3A64">
        <w:t>Jewkes</w:t>
      </w:r>
      <w:proofErr w:type="spellEnd"/>
      <w:r w:rsidRPr="008C3A64">
        <w:t>, Rachel, Michael Flood, and James Lang. "From work with men and boys to changes of social norms and reduction of inequities in gender relations: a conceptual shift in prevention of violence against women and girls." </w:t>
      </w:r>
      <w:r w:rsidRPr="008C3A64">
        <w:rPr>
          <w:i/>
          <w:iCs/>
        </w:rPr>
        <w:t>The Lancet</w:t>
      </w:r>
      <w:r w:rsidRPr="008C3A64">
        <w:t>385, no. 9977 (2015): 1580-1589.</w:t>
      </w:r>
    </w:p>
    <w:p w:rsidR="00EC364A" w:rsidRDefault="00EC364A" w:rsidP="00032961">
      <w:pPr>
        <w:spacing w:line="240" w:lineRule="auto"/>
        <w:ind w:left="720" w:hanging="720"/>
      </w:pPr>
      <w:proofErr w:type="spellStart"/>
      <w:r w:rsidRPr="001D7BFC">
        <w:t>Leisring</w:t>
      </w:r>
      <w:proofErr w:type="spellEnd"/>
      <w:r w:rsidRPr="001D7BFC">
        <w:t xml:space="preserve">, Penny and Hannah </w:t>
      </w:r>
      <w:proofErr w:type="spellStart"/>
      <w:r w:rsidRPr="001D7BFC">
        <w:t>Grigorian</w:t>
      </w:r>
      <w:proofErr w:type="spellEnd"/>
      <w:r w:rsidRPr="001D7BFC">
        <w:t>. 2016. "Self-Defense, Retaliation, and Gender: Clarifying Motivations for Physical Partner Violence." </w:t>
      </w:r>
      <w:r w:rsidRPr="001D7BFC">
        <w:rPr>
          <w:i/>
          <w:iCs/>
        </w:rPr>
        <w:t>Journal of Family Violence</w:t>
      </w:r>
      <w:r w:rsidRPr="001D7BFC">
        <w:t> 31 (8): 949-9</w:t>
      </w:r>
      <w:r>
        <w:t>53. doi:10.1007/s10896-016-9874</w:t>
      </w:r>
      <w:r w:rsidRPr="00C71D9D">
        <w:t xml:space="preserve">3. </w:t>
      </w:r>
      <w:hyperlink r:id="rId12" w:history="1">
        <w:r w:rsidRPr="00936598">
          <w:rPr>
            <w:rStyle w:val="Hyperlink"/>
          </w:rPr>
          <w:t>http://resolver.scholarsportal.info/resolve/08857482/v31i0008/949_sragcmfppv</w:t>
        </w:r>
      </w:hyperlink>
      <w:r w:rsidRPr="00C71D9D">
        <w:t>.</w:t>
      </w:r>
    </w:p>
    <w:p w:rsidR="00EC364A" w:rsidRDefault="00EC364A" w:rsidP="00032961">
      <w:pPr>
        <w:spacing w:line="240" w:lineRule="auto"/>
        <w:ind w:left="720" w:hanging="720"/>
      </w:pPr>
      <w:proofErr w:type="spellStart"/>
      <w:r w:rsidRPr="00292C03">
        <w:lastRenderedPageBreak/>
        <w:t>Ondeko</w:t>
      </w:r>
      <w:proofErr w:type="spellEnd"/>
      <w:r w:rsidRPr="00292C03">
        <w:t xml:space="preserve">, </w:t>
      </w:r>
      <w:proofErr w:type="spellStart"/>
      <w:r w:rsidRPr="00292C03">
        <w:t>Roselidah</w:t>
      </w:r>
      <w:proofErr w:type="spellEnd"/>
      <w:r w:rsidRPr="00292C03">
        <w:t xml:space="preserve">, and Susan </w:t>
      </w:r>
      <w:proofErr w:type="spellStart"/>
      <w:r w:rsidRPr="00292C03">
        <w:t>Purdin</w:t>
      </w:r>
      <w:proofErr w:type="spellEnd"/>
      <w:r w:rsidRPr="00292C03">
        <w:t>. "Understanding the causes of gender-based violence." </w:t>
      </w:r>
      <w:r w:rsidRPr="00292C03">
        <w:rPr>
          <w:i/>
          <w:iCs/>
        </w:rPr>
        <w:t>Forced Migration Review</w:t>
      </w:r>
      <w:r w:rsidRPr="00292C03">
        <w:t>19 (2004): 30.</w:t>
      </w:r>
    </w:p>
    <w:p w:rsidR="00EC364A" w:rsidRDefault="00EC364A" w:rsidP="00032961">
      <w:pPr>
        <w:spacing w:line="240" w:lineRule="auto"/>
        <w:ind w:left="720" w:hanging="720"/>
      </w:pPr>
      <w:r w:rsidRPr="009825CF">
        <w:t xml:space="preserve">Rees, Susan, Derrick </w:t>
      </w:r>
      <w:proofErr w:type="spellStart"/>
      <w:r w:rsidRPr="009825CF">
        <w:t>Silove</w:t>
      </w:r>
      <w:proofErr w:type="spellEnd"/>
      <w:r w:rsidRPr="009825CF">
        <w:t xml:space="preserve">, Tien Chey, Lorraine </w:t>
      </w:r>
      <w:proofErr w:type="spellStart"/>
      <w:r w:rsidRPr="009825CF">
        <w:t>Ivancic</w:t>
      </w:r>
      <w:proofErr w:type="spellEnd"/>
      <w:r w:rsidRPr="009825CF">
        <w:t xml:space="preserve">, Zachary Steel, Mark Creamer, Maree </w:t>
      </w:r>
      <w:proofErr w:type="spellStart"/>
      <w:r w:rsidRPr="009825CF">
        <w:t>Teesson</w:t>
      </w:r>
      <w:proofErr w:type="spellEnd"/>
      <w:r w:rsidRPr="009825CF">
        <w:t xml:space="preserve"> et al. "Lifetime prevalence of gender-based violence in women and the relationship with mental disorders and psychosocial function." </w:t>
      </w:r>
      <w:r w:rsidRPr="009825CF">
        <w:rPr>
          <w:i/>
          <w:iCs/>
        </w:rPr>
        <w:t>Jama</w:t>
      </w:r>
      <w:r w:rsidRPr="009825CF">
        <w:t> 306, no. 5 (2011): 513-521.</w:t>
      </w:r>
    </w:p>
    <w:p w:rsidR="00EC364A" w:rsidRDefault="00EC364A" w:rsidP="00032961">
      <w:pPr>
        <w:spacing w:line="240" w:lineRule="auto"/>
        <w:ind w:left="720" w:hanging="720"/>
      </w:pPr>
      <w:r w:rsidRPr="00547EE6">
        <w:t xml:space="preserve">Weinberg, Michael and Ronit </w:t>
      </w:r>
      <w:proofErr w:type="spellStart"/>
      <w:r w:rsidRPr="00547EE6">
        <w:t>Smadar-Dror</w:t>
      </w:r>
      <w:proofErr w:type="spellEnd"/>
      <w:r w:rsidRPr="00547EE6">
        <w:t xml:space="preserve">. 2016. "When Agreements Blur Disputes: Do Common Assumptions regarding General Implications of Intimate Physical Partner Violence Mediate </w:t>
      </w:r>
      <w:proofErr w:type="gramStart"/>
      <w:r w:rsidRPr="00547EE6">
        <w:t>Or</w:t>
      </w:r>
      <w:proofErr w:type="gramEnd"/>
      <w:r w:rsidRPr="00547EE6">
        <w:t xml:space="preserve"> Intensify the Controversy?" </w:t>
      </w:r>
      <w:r w:rsidRPr="00547EE6">
        <w:rPr>
          <w:i/>
          <w:iCs/>
        </w:rPr>
        <w:t>Journal of Family Violence</w:t>
      </w:r>
      <w:r w:rsidRPr="00547EE6">
        <w:t> 31 (8): 955-9</w:t>
      </w:r>
      <w:r>
        <w:t>58. doi:10.1007/s10896-016-9884</w:t>
      </w:r>
      <w:r w:rsidRPr="00DB4649">
        <w:t xml:space="preserve">1. </w:t>
      </w:r>
      <w:hyperlink r:id="rId13" w:history="1">
        <w:r w:rsidRPr="00936598">
          <w:rPr>
            <w:rStyle w:val="Hyperlink"/>
          </w:rPr>
          <w:t>http://resolver.scholarsportal.info/resolve/08857482/v31i0008/955_wabddcvmoitc</w:t>
        </w:r>
      </w:hyperlink>
      <w:r>
        <w:t>.</w:t>
      </w:r>
    </w:p>
    <w:sectPr w:rsidR="00EC364A" w:rsidSect="005F6D81">
      <w:pgSz w:w="12240" w:h="15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1E9" w:rsidRDefault="009B51E9" w:rsidP="00EF5049">
      <w:pPr>
        <w:spacing w:line="240" w:lineRule="auto"/>
      </w:pPr>
      <w:r>
        <w:separator/>
      </w:r>
    </w:p>
  </w:endnote>
  <w:endnote w:type="continuationSeparator" w:id="0">
    <w:p w:rsidR="009B51E9" w:rsidRDefault="009B51E9" w:rsidP="00EF50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1E9" w:rsidRDefault="009B51E9" w:rsidP="00EF5049">
      <w:pPr>
        <w:spacing w:line="240" w:lineRule="auto"/>
      </w:pPr>
      <w:r>
        <w:separator/>
      </w:r>
    </w:p>
  </w:footnote>
  <w:footnote w:type="continuationSeparator" w:id="0">
    <w:p w:rsidR="009B51E9" w:rsidRDefault="009B51E9" w:rsidP="00EF5049">
      <w:pPr>
        <w:spacing w:line="240" w:lineRule="auto"/>
      </w:pPr>
      <w:r>
        <w:continuationSeparator/>
      </w:r>
    </w:p>
  </w:footnote>
  <w:footnote w:id="1">
    <w:p w:rsidR="009825CF" w:rsidRPr="009825CF" w:rsidRDefault="009825CF" w:rsidP="009825CF">
      <w:pPr>
        <w:pStyle w:val="FootnoteText"/>
      </w:pPr>
      <w:r>
        <w:rPr>
          <w:rStyle w:val="FootnoteReference"/>
        </w:rPr>
        <w:footnoteRef/>
      </w:r>
      <w:r>
        <w:t xml:space="preserve"> </w:t>
      </w:r>
      <w:proofErr w:type="spellStart"/>
      <w:r w:rsidRPr="009825CF">
        <w:t>Barocas</w:t>
      </w:r>
      <w:proofErr w:type="spellEnd"/>
      <w:r w:rsidRPr="009825CF">
        <w:t>, Briana, Danielle Emery, and Linda Mills. 2016. "Changing the Domestic Violence Narrative: Aligning Definitions and Standards." </w:t>
      </w:r>
      <w:r w:rsidRPr="009825CF">
        <w:rPr>
          <w:i/>
          <w:iCs/>
        </w:rPr>
        <w:t>Journal of Family Violence</w:t>
      </w:r>
      <w:r w:rsidRPr="009825CF">
        <w:t xml:space="preserve"> 31 (8): 941-947. doi:10.1007/s10896-016-9885-0. </w:t>
      </w:r>
      <w:hyperlink r:id="rId1" w:history="1">
        <w:r w:rsidRPr="009825CF">
          <w:rPr>
            <w:rStyle w:val="Hyperlink"/>
          </w:rPr>
          <w:t>http://resolver.scholarsportal.info/resolve/08857482/v31i0008/941_ctdvnadas</w:t>
        </w:r>
      </w:hyperlink>
      <w:r w:rsidRPr="009825CF">
        <w:t>.</w:t>
      </w:r>
    </w:p>
    <w:p w:rsidR="009825CF" w:rsidRDefault="009825CF">
      <w:pPr>
        <w:pStyle w:val="FootnoteText"/>
      </w:pPr>
    </w:p>
  </w:footnote>
  <w:footnote w:id="2">
    <w:p w:rsidR="009825CF" w:rsidRPr="009825CF" w:rsidRDefault="009825CF" w:rsidP="009825CF">
      <w:pPr>
        <w:pStyle w:val="FootnoteText"/>
      </w:pPr>
      <w:r>
        <w:rPr>
          <w:rStyle w:val="FootnoteReference"/>
        </w:rPr>
        <w:footnoteRef/>
      </w:r>
      <w:r>
        <w:t xml:space="preserve"> </w:t>
      </w:r>
      <w:proofErr w:type="spellStart"/>
      <w:r w:rsidRPr="009825CF">
        <w:t>Barocas</w:t>
      </w:r>
      <w:proofErr w:type="spellEnd"/>
      <w:r w:rsidRPr="009825CF">
        <w:t>, Briana, Danielle Emery, and Linda Mills. 2016. "Changing the Domestic Violence Narrative: Aligning Definitions and Standards." </w:t>
      </w:r>
      <w:r w:rsidRPr="009825CF">
        <w:rPr>
          <w:i/>
          <w:iCs/>
        </w:rPr>
        <w:t>Journal of Family Violence</w:t>
      </w:r>
      <w:r w:rsidRPr="009825CF">
        <w:t xml:space="preserve"> 31 (8): 941-947. doi:10.1007/s10896-016-9885-0. </w:t>
      </w:r>
      <w:hyperlink r:id="rId2" w:history="1">
        <w:r w:rsidRPr="009825CF">
          <w:rPr>
            <w:rStyle w:val="Hyperlink"/>
          </w:rPr>
          <w:t>http://resolver.scholarsportal.info/resolve/08857482/v31i0008/941_ctdvnadas</w:t>
        </w:r>
      </w:hyperlink>
      <w:r w:rsidRPr="009825CF">
        <w:t>.</w:t>
      </w:r>
    </w:p>
    <w:p w:rsidR="009825CF" w:rsidRDefault="009825CF">
      <w:pPr>
        <w:pStyle w:val="FootnoteText"/>
      </w:pPr>
    </w:p>
  </w:footnote>
  <w:footnote w:id="3">
    <w:p w:rsidR="00A53ED0" w:rsidRPr="00A53ED0" w:rsidRDefault="00A53ED0" w:rsidP="00A53ED0">
      <w:pPr>
        <w:pStyle w:val="FootnoteText"/>
      </w:pPr>
      <w:r>
        <w:rPr>
          <w:rStyle w:val="FootnoteReference"/>
        </w:rPr>
        <w:footnoteRef/>
      </w:r>
      <w:r>
        <w:t xml:space="preserve"> </w:t>
      </w:r>
      <w:r w:rsidRPr="00A53ED0">
        <w:t xml:space="preserve">Rees, Susan, Derrick </w:t>
      </w:r>
      <w:proofErr w:type="spellStart"/>
      <w:r w:rsidRPr="00A53ED0">
        <w:t>Silove</w:t>
      </w:r>
      <w:proofErr w:type="spellEnd"/>
      <w:r w:rsidRPr="00A53ED0">
        <w:t xml:space="preserve">, Tien Chey, Lorraine </w:t>
      </w:r>
      <w:proofErr w:type="spellStart"/>
      <w:r w:rsidRPr="00A53ED0">
        <w:t>Ivancic</w:t>
      </w:r>
      <w:proofErr w:type="spellEnd"/>
      <w:r w:rsidRPr="00A53ED0">
        <w:t xml:space="preserve">, Zachary Steel, Mark Creamer, Maree </w:t>
      </w:r>
      <w:proofErr w:type="spellStart"/>
      <w:r w:rsidRPr="00A53ED0">
        <w:t>Teesson</w:t>
      </w:r>
      <w:proofErr w:type="spellEnd"/>
      <w:r w:rsidRPr="00A53ED0">
        <w:t xml:space="preserve"> et al. "Lifetime prevalence of gender-based violence in women and the relationship with mental disorders and psychosocial function." </w:t>
      </w:r>
      <w:r w:rsidRPr="00A53ED0">
        <w:rPr>
          <w:i/>
          <w:iCs/>
        </w:rPr>
        <w:t>Jama</w:t>
      </w:r>
      <w:r w:rsidRPr="00A53ED0">
        <w:t> 306, no. 5 (2011): 513-521.</w:t>
      </w:r>
    </w:p>
    <w:p w:rsidR="00A53ED0" w:rsidRDefault="00A53ED0">
      <w:pPr>
        <w:pStyle w:val="FootnoteText"/>
      </w:pPr>
    </w:p>
  </w:footnote>
  <w:footnote w:id="4">
    <w:p w:rsidR="00A53ED0" w:rsidRPr="00A53ED0" w:rsidRDefault="00A53ED0" w:rsidP="00A53ED0">
      <w:pPr>
        <w:pStyle w:val="FootnoteText"/>
      </w:pPr>
      <w:r>
        <w:rPr>
          <w:rStyle w:val="FootnoteReference"/>
        </w:rPr>
        <w:footnoteRef/>
      </w:r>
      <w:r>
        <w:t xml:space="preserve"> </w:t>
      </w:r>
      <w:r w:rsidRPr="00A53ED0">
        <w:t xml:space="preserve">Rees, Susan, Derrick </w:t>
      </w:r>
      <w:proofErr w:type="spellStart"/>
      <w:r w:rsidRPr="00A53ED0">
        <w:t>Silove</w:t>
      </w:r>
      <w:proofErr w:type="spellEnd"/>
      <w:r w:rsidRPr="00A53ED0">
        <w:t xml:space="preserve">, Tien Chey, Lorraine </w:t>
      </w:r>
      <w:proofErr w:type="spellStart"/>
      <w:r w:rsidRPr="00A53ED0">
        <w:t>Ivancic</w:t>
      </w:r>
      <w:proofErr w:type="spellEnd"/>
      <w:r w:rsidRPr="00A53ED0">
        <w:t xml:space="preserve">, Zachary Steel, Mark Creamer, Maree </w:t>
      </w:r>
      <w:proofErr w:type="spellStart"/>
      <w:r w:rsidRPr="00A53ED0">
        <w:t>Teesson</w:t>
      </w:r>
      <w:proofErr w:type="spellEnd"/>
      <w:r w:rsidRPr="00A53ED0">
        <w:t xml:space="preserve"> et al. "Lifetime prevalence of gender-based violence in women and the relationship with mental disorders and psychosocial function." </w:t>
      </w:r>
      <w:r w:rsidRPr="00A53ED0">
        <w:rPr>
          <w:i/>
          <w:iCs/>
        </w:rPr>
        <w:t>Jama</w:t>
      </w:r>
      <w:r w:rsidRPr="00A53ED0">
        <w:t> 306, no. 5 (2011): 513-521.</w:t>
      </w:r>
    </w:p>
    <w:p w:rsidR="00A53ED0" w:rsidRDefault="00A53ED0">
      <w:pPr>
        <w:pStyle w:val="FootnoteText"/>
      </w:pPr>
    </w:p>
  </w:footnote>
  <w:footnote w:id="5">
    <w:p w:rsidR="00BB739A" w:rsidRPr="00BB739A" w:rsidRDefault="00BB739A" w:rsidP="00BB739A">
      <w:pPr>
        <w:pStyle w:val="FootnoteText"/>
      </w:pPr>
      <w:r>
        <w:rPr>
          <w:rStyle w:val="FootnoteReference"/>
        </w:rPr>
        <w:footnoteRef/>
      </w:r>
      <w:r>
        <w:t xml:space="preserve"> </w:t>
      </w:r>
      <w:r w:rsidRPr="00BB739A">
        <w:t xml:space="preserve">Rees, Susan, Derrick </w:t>
      </w:r>
      <w:proofErr w:type="spellStart"/>
      <w:r w:rsidRPr="00BB739A">
        <w:t>Silove</w:t>
      </w:r>
      <w:proofErr w:type="spellEnd"/>
      <w:r w:rsidRPr="00BB739A">
        <w:t xml:space="preserve">, Tien Chey, Lorraine </w:t>
      </w:r>
      <w:proofErr w:type="spellStart"/>
      <w:r w:rsidRPr="00BB739A">
        <w:t>Ivancic</w:t>
      </w:r>
      <w:proofErr w:type="spellEnd"/>
      <w:r w:rsidRPr="00BB739A">
        <w:t xml:space="preserve">, Zachary Steel, Mark Creamer, Maree </w:t>
      </w:r>
      <w:proofErr w:type="spellStart"/>
      <w:r w:rsidRPr="00BB739A">
        <w:t>Teesson</w:t>
      </w:r>
      <w:proofErr w:type="spellEnd"/>
      <w:r w:rsidRPr="00BB739A">
        <w:t xml:space="preserve"> et al. "Lifetime prevalence of gender-based violence in women and the relationship with mental disorders and psychosocial function." </w:t>
      </w:r>
      <w:r w:rsidRPr="00BB739A">
        <w:rPr>
          <w:i/>
          <w:iCs/>
        </w:rPr>
        <w:t>Jama</w:t>
      </w:r>
      <w:r w:rsidRPr="00BB739A">
        <w:t> 306, no. 5 (2011): 513-521.</w:t>
      </w:r>
    </w:p>
    <w:p w:rsidR="00BB739A" w:rsidRPr="00BB739A" w:rsidRDefault="00BB739A" w:rsidP="00BB739A">
      <w:pPr>
        <w:pStyle w:val="FootnoteText"/>
      </w:pPr>
    </w:p>
    <w:p w:rsidR="00BB739A" w:rsidRDefault="00BB739A">
      <w:pPr>
        <w:pStyle w:val="FootnoteText"/>
      </w:pPr>
    </w:p>
  </w:footnote>
  <w:footnote w:id="6">
    <w:p w:rsidR="00BB739A" w:rsidRPr="00BB739A" w:rsidRDefault="00BB739A" w:rsidP="00BB739A">
      <w:pPr>
        <w:pStyle w:val="FootnoteText"/>
      </w:pPr>
      <w:r>
        <w:rPr>
          <w:rStyle w:val="FootnoteReference"/>
        </w:rPr>
        <w:footnoteRef/>
      </w:r>
      <w:r>
        <w:t xml:space="preserve"> </w:t>
      </w:r>
      <w:r w:rsidRPr="00BB739A">
        <w:t xml:space="preserve">Rees, Susan, Derrick </w:t>
      </w:r>
      <w:proofErr w:type="spellStart"/>
      <w:r w:rsidRPr="00BB739A">
        <w:t>Silove</w:t>
      </w:r>
      <w:proofErr w:type="spellEnd"/>
      <w:r w:rsidRPr="00BB739A">
        <w:t xml:space="preserve">, Tien Chey, Lorraine </w:t>
      </w:r>
      <w:proofErr w:type="spellStart"/>
      <w:r w:rsidRPr="00BB739A">
        <w:t>Ivancic</w:t>
      </w:r>
      <w:proofErr w:type="spellEnd"/>
      <w:r w:rsidRPr="00BB739A">
        <w:t xml:space="preserve">, Zachary Steel, Mark Creamer, Maree </w:t>
      </w:r>
      <w:proofErr w:type="spellStart"/>
      <w:r w:rsidRPr="00BB739A">
        <w:t>Teesson</w:t>
      </w:r>
      <w:proofErr w:type="spellEnd"/>
      <w:r w:rsidRPr="00BB739A">
        <w:t xml:space="preserve"> et al. "Lifetime prevalence of gender-based violence in women and the relationship with mental disorders and psychosocial function." </w:t>
      </w:r>
      <w:r w:rsidRPr="00BB739A">
        <w:rPr>
          <w:i/>
          <w:iCs/>
        </w:rPr>
        <w:t>Jama</w:t>
      </w:r>
      <w:r w:rsidRPr="00BB739A">
        <w:t> 306, no. 5 (2011): 513-521.</w:t>
      </w:r>
    </w:p>
    <w:p w:rsidR="00BB739A" w:rsidRPr="00BB739A" w:rsidRDefault="00BB739A" w:rsidP="00BB739A">
      <w:pPr>
        <w:pStyle w:val="FootnoteText"/>
      </w:pPr>
    </w:p>
    <w:p w:rsidR="00BB739A" w:rsidRDefault="00BB739A">
      <w:pPr>
        <w:pStyle w:val="FootnoteText"/>
      </w:pPr>
    </w:p>
  </w:footnote>
  <w:footnote w:id="7">
    <w:p w:rsidR="0043610C" w:rsidRPr="0043610C" w:rsidRDefault="0043610C" w:rsidP="0043610C">
      <w:pPr>
        <w:pStyle w:val="FootnoteText"/>
      </w:pPr>
      <w:r>
        <w:rPr>
          <w:rStyle w:val="FootnoteReference"/>
        </w:rPr>
        <w:footnoteRef/>
      </w:r>
      <w:r>
        <w:t xml:space="preserve"> </w:t>
      </w:r>
      <w:proofErr w:type="spellStart"/>
      <w:r w:rsidRPr="0043610C">
        <w:t>Ondeko</w:t>
      </w:r>
      <w:proofErr w:type="spellEnd"/>
      <w:r w:rsidRPr="0043610C">
        <w:t xml:space="preserve">, </w:t>
      </w:r>
      <w:proofErr w:type="spellStart"/>
      <w:r w:rsidRPr="0043610C">
        <w:t>Roselidah</w:t>
      </w:r>
      <w:proofErr w:type="spellEnd"/>
      <w:r w:rsidRPr="0043610C">
        <w:t xml:space="preserve">, and Susan </w:t>
      </w:r>
      <w:proofErr w:type="spellStart"/>
      <w:r w:rsidRPr="0043610C">
        <w:t>Purdin</w:t>
      </w:r>
      <w:proofErr w:type="spellEnd"/>
      <w:r w:rsidRPr="0043610C">
        <w:t>. "Understanding the causes of gender-based violence." </w:t>
      </w:r>
      <w:r w:rsidRPr="0043610C">
        <w:rPr>
          <w:i/>
          <w:iCs/>
        </w:rPr>
        <w:t>Forced Migration Review</w:t>
      </w:r>
      <w:r w:rsidRPr="0043610C">
        <w:t>19 (2004): 30.</w:t>
      </w:r>
    </w:p>
    <w:p w:rsidR="0043610C" w:rsidRDefault="0043610C">
      <w:pPr>
        <w:pStyle w:val="FootnoteText"/>
      </w:pPr>
    </w:p>
  </w:footnote>
  <w:footnote w:id="8">
    <w:p w:rsidR="00C359D3" w:rsidRPr="00C359D3" w:rsidRDefault="00C359D3" w:rsidP="00C359D3">
      <w:pPr>
        <w:pStyle w:val="FootnoteText"/>
      </w:pPr>
      <w:r>
        <w:rPr>
          <w:rStyle w:val="FootnoteReference"/>
        </w:rPr>
        <w:footnoteRef/>
      </w:r>
      <w:r>
        <w:t xml:space="preserve"> </w:t>
      </w:r>
      <w:proofErr w:type="spellStart"/>
      <w:r w:rsidRPr="00C359D3">
        <w:t>Ondeko</w:t>
      </w:r>
      <w:proofErr w:type="spellEnd"/>
      <w:r w:rsidRPr="00C359D3">
        <w:t xml:space="preserve">, </w:t>
      </w:r>
      <w:proofErr w:type="spellStart"/>
      <w:r w:rsidRPr="00C359D3">
        <w:t>Roselidah</w:t>
      </w:r>
      <w:proofErr w:type="spellEnd"/>
      <w:r w:rsidRPr="00C359D3">
        <w:t xml:space="preserve">, and Susan </w:t>
      </w:r>
      <w:proofErr w:type="spellStart"/>
      <w:r w:rsidRPr="00C359D3">
        <w:t>Purdin</w:t>
      </w:r>
      <w:proofErr w:type="spellEnd"/>
      <w:r w:rsidRPr="00C359D3">
        <w:t>. "Understanding the causes of gender-based violence." </w:t>
      </w:r>
      <w:r w:rsidRPr="00C359D3">
        <w:rPr>
          <w:i/>
          <w:iCs/>
        </w:rPr>
        <w:t>Forced Migration Review</w:t>
      </w:r>
      <w:r w:rsidRPr="00C359D3">
        <w:t>19 (2004): 30.</w:t>
      </w:r>
    </w:p>
    <w:p w:rsidR="00C359D3" w:rsidRDefault="00C359D3">
      <w:pPr>
        <w:pStyle w:val="FootnoteText"/>
      </w:pPr>
    </w:p>
  </w:footnote>
  <w:footnote w:id="9">
    <w:p w:rsidR="007A0D7A" w:rsidRPr="007A0D7A" w:rsidRDefault="007A0D7A" w:rsidP="007A0D7A">
      <w:pPr>
        <w:pStyle w:val="FootnoteText"/>
      </w:pPr>
      <w:r>
        <w:rPr>
          <w:rStyle w:val="FootnoteReference"/>
        </w:rPr>
        <w:footnoteRef/>
      </w:r>
      <w:r>
        <w:t xml:space="preserve"> </w:t>
      </w:r>
      <w:proofErr w:type="spellStart"/>
      <w:r w:rsidRPr="007A0D7A">
        <w:t>Ondeko</w:t>
      </w:r>
      <w:proofErr w:type="spellEnd"/>
      <w:r w:rsidRPr="007A0D7A">
        <w:t xml:space="preserve">, </w:t>
      </w:r>
      <w:proofErr w:type="spellStart"/>
      <w:r w:rsidRPr="007A0D7A">
        <w:t>Roselidah</w:t>
      </w:r>
      <w:proofErr w:type="spellEnd"/>
      <w:r w:rsidRPr="007A0D7A">
        <w:t xml:space="preserve">, and Susan </w:t>
      </w:r>
      <w:proofErr w:type="spellStart"/>
      <w:r w:rsidRPr="007A0D7A">
        <w:t>Purdin</w:t>
      </w:r>
      <w:proofErr w:type="spellEnd"/>
      <w:r w:rsidRPr="007A0D7A">
        <w:t>. "Understanding the causes of gender-based violence." </w:t>
      </w:r>
      <w:r w:rsidRPr="007A0D7A">
        <w:rPr>
          <w:i/>
          <w:iCs/>
        </w:rPr>
        <w:t>Forced Migration Review</w:t>
      </w:r>
      <w:r w:rsidRPr="007A0D7A">
        <w:t>19 (2004): 30.</w:t>
      </w:r>
    </w:p>
    <w:p w:rsidR="007A0D7A" w:rsidRDefault="007A0D7A">
      <w:pPr>
        <w:pStyle w:val="FootnoteText"/>
      </w:pPr>
    </w:p>
  </w:footnote>
  <w:footnote w:id="10">
    <w:p w:rsidR="007A0D7A" w:rsidRPr="007A0D7A" w:rsidRDefault="007A0D7A" w:rsidP="007A0D7A">
      <w:pPr>
        <w:pStyle w:val="FootnoteText"/>
      </w:pPr>
      <w:r>
        <w:rPr>
          <w:rStyle w:val="FootnoteReference"/>
        </w:rPr>
        <w:footnoteRef/>
      </w:r>
      <w:r>
        <w:t xml:space="preserve"> </w:t>
      </w:r>
      <w:proofErr w:type="spellStart"/>
      <w:r w:rsidRPr="007A0D7A">
        <w:t>Leisring</w:t>
      </w:r>
      <w:proofErr w:type="spellEnd"/>
      <w:r w:rsidRPr="007A0D7A">
        <w:t xml:space="preserve">, Penny and Hannah </w:t>
      </w:r>
      <w:proofErr w:type="spellStart"/>
      <w:r w:rsidRPr="007A0D7A">
        <w:t>Grigorian</w:t>
      </w:r>
      <w:proofErr w:type="spellEnd"/>
      <w:r w:rsidRPr="007A0D7A">
        <w:t>. 2016. "Self-Defense, Retaliation, and Gender: Clarifying Motivations for Physical Partner Violence." </w:t>
      </w:r>
      <w:r w:rsidRPr="007A0D7A">
        <w:rPr>
          <w:i/>
          <w:iCs/>
        </w:rPr>
        <w:t>Journal of Family Violence</w:t>
      </w:r>
      <w:r w:rsidRPr="007A0D7A">
        <w:t xml:space="preserve"> 31 (8): 949-953. doi:10.1007/s10896-016-98743. </w:t>
      </w:r>
      <w:hyperlink r:id="rId3" w:history="1">
        <w:r w:rsidRPr="007A0D7A">
          <w:rPr>
            <w:rStyle w:val="Hyperlink"/>
          </w:rPr>
          <w:t>http://resolver.scholarsportal.info/resolve/08857482/v31i0008/949_sragcmfppv</w:t>
        </w:r>
      </w:hyperlink>
      <w:r w:rsidRPr="007A0D7A">
        <w:t>.</w:t>
      </w:r>
    </w:p>
    <w:p w:rsidR="007A0D7A" w:rsidRDefault="007A0D7A">
      <w:pPr>
        <w:pStyle w:val="FootnoteText"/>
      </w:pPr>
    </w:p>
  </w:footnote>
  <w:footnote w:id="11">
    <w:p w:rsidR="008C3A64" w:rsidRPr="008C3A64" w:rsidRDefault="008C3A64" w:rsidP="008C3A64">
      <w:pPr>
        <w:pStyle w:val="FootnoteText"/>
      </w:pPr>
      <w:r>
        <w:rPr>
          <w:rStyle w:val="FootnoteReference"/>
        </w:rPr>
        <w:footnoteRef/>
      </w:r>
      <w:r>
        <w:t xml:space="preserve"> </w:t>
      </w:r>
      <w:proofErr w:type="spellStart"/>
      <w:r w:rsidRPr="008C3A64">
        <w:t>Ondeko</w:t>
      </w:r>
      <w:proofErr w:type="spellEnd"/>
      <w:r w:rsidRPr="008C3A64">
        <w:t xml:space="preserve">, </w:t>
      </w:r>
      <w:proofErr w:type="spellStart"/>
      <w:r w:rsidRPr="008C3A64">
        <w:t>Roselidah</w:t>
      </w:r>
      <w:proofErr w:type="spellEnd"/>
      <w:r w:rsidRPr="008C3A64">
        <w:t xml:space="preserve">, and Susan </w:t>
      </w:r>
      <w:proofErr w:type="spellStart"/>
      <w:r w:rsidRPr="008C3A64">
        <w:t>Purdin</w:t>
      </w:r>
      <w:proofErr w:type="spellEnd"/>
      <w:r w:rsidRPr="008C3A64">
        <w:t>. "Understanding the causes of gender-based violence." </w:t>
      </w:r>
      <w:r w:rsidRPr="008C3A64">
        <w:rPr>
          <w:i/>
          <w:iCs/>
        </w:rPr>
        <w:t>Forced Migration Review</w:t>
      </w:r>
      <w:r w:rsidRPr="008C3A64">
        <w:t>19 (2004): 30.</w:t>
      </w:r>
    </w:p>
    <w:p w:rsidR="008C3A64" w:rsidRDefault="008C3A64">
      <w:pPr>
        <w:pStyle w:val="FootnoteText"/>
      </w:pPr>
    </w:p>
  </w:footnote>
  <w:footnote w:id="12">
    <w:p w:rsidR="007475EE" w:rsidRDefault="007475EE">
      <w:pPr>
        <w:pStyle w:val="FootnoteText"/>
      </w:pPr>
      <w:r>
        <w:rPr>
          <w:rStyle w:val="FootnoteReference"/>
        </w:rPr>
        <w:footnoteRef/>
      </w:r>
      <w:r>
        <w:t xml:space="preserve"> </w:t>
      </w:r>
      <w:proofErr w:type="spellStart"/>
      <w:r w:rsidRPr="007475EE">
        <w:t>Jewkes</w:t>
      </w:r>
      <w:proofErr w:type="spellEnd"/>
      <w:r w:rsidRPr="007475EE">
        <w:t>, Rachel, Michael Flood, and James Lang. "From work with men and boys to changes of social norms and reduction of inequities in gender relations: a conceptual shift in prevention of violence against women and girls." </w:t>
      </w:r>
      <w:r w:rsidRPr="007475EE">
        <w:rPr>
          <w:i/>
          <w:iCs/>
        </w:rPr>
        <w:t>The Lancet</w:t>
      </w:r>
      <w:r w:rsidRPr="007475EE">
        <w:t>385, no. 9977 (2015): 1580-1589.</w:t>
      </w:r>
    </w:p>
    <w:p w:rsidR="007475EE" w:rsidRDefault="007475EE">
      <w:pPr>
        <w:pStyle w:val="FootnoteText"/>
      </w:pPr>
    </w:p>
  </w:footnote>
  <w:footnote w:id="13">
    <w:p w:rsidR="007475EE" w:rsidRPr="007475EE" w:rsidRDefault="007475EE" w:rsidP="007475EE">
      <w:pPr>
        <w:pStyle w:val="FootnoteText"/>
      </w:pPr>
      <w:r>
        <w:rPr>
          <w:rStyle w:val="FootnoteReference"/>
        </w:rPr>
        <w:footnoteRef/>
      </w:r>
      <w:r>
        <w:t xml:space="preserve"> </w:t>
      </w:r>
      <w:proofErr w:type="spellStart"/>
      <w:r w:rsidRPr="007475EE">
        <w:t>Jewkes</w:t>
      </w:r>
      <w:proofErr w:type="spellEnd"/>
      <w:r w:rsidRPr="007475EE">
        <w:t>, Rachel, Michael Flood, and James Lang. "From work with men and boys to changes of social norms and reduction of inequities in gender relations: a conceptual shift in prevention of violence against women and girls." </w:t>
      </w:r>
      <w:r w:rsidRPr="007475EE">
        <w:rPr>
          <w:i/>
          <w:iCs/>
        </w:rPr>
        <w:t>The Lancet</w:t>
      </w:r>
      <w:r w:rsidRPr="007475EE">
        <w:t>385, no. 9977 (2015): 1580-1589.</w:t>
      </w:r>
    </w:p>
    <w:p w:rsidR="007475EE" w:rsidRDefault="007475EE">
      <w:pPr>
        <w:pStyle w:val="FootnoteText"/>
      </w:pPr>
    </w:p>
  </w:footnote>
  <w:footnote w:id="14">
    <w:p w:rsidR="007475EE" w:rsidRDefault="007475EE">
      <w:pPr>
        <w:pStyle w:val="FootnoteText"/>
      </w:pPr>
      <w:r>
        <w:rPr>
          <w:rStyle w:val="FootnoteReference"/>
        </w:rPr>
        <w:footnoteRef/>
      </w:r>
      <w:r>
        <w:t xml:space="preserve"> </w:t>
      </w:r>
      <w:r w:rsidRPr="007475EE">
        <w:t xml:space="preserve">Weinberg, Michael and Ronit </w:t>
      </w:r>
      <w:proofErr w:type="spellStart"/>
      <w:r w:rsidRPr="007475EE">
        <w:t>Smadar-Dror</w:t>
      </w:r>
      <w:proofErr w:type="spellEnd"/>
      <w:r w:rsidRPr="007475EE">
        <w:t xml:space="preserve">. 2016. "When Agreements Blur Disputes: Do Common Assumptions regarding General Implications of Intimate Physical Partner Violence Mediate </w:t>
      </w:r>
      <w:proofErr w:type="gramStart"/>
      <w:r w:rsidRPr="007475EE">
        <w:t>Or</w:t>
      </w:r>
      <w:proofErr w:type="gramEnd"/>
      <w:r w:rsidRPr="007475EE">
        <w:t xml:space="preserve"> Intensify the Controversy?" </w:t>
      </w:r>
      <w:r w:rsidRPr="007475EE">
        <w:rPr>
          <w:i/>
          <w:iCs/>
        </w:rPr>
        <w:t>Journal of Family Violence</w:t>
      </w:r>
      <w:r w:rsidRPr="007475EE">
        <w:t xml:space="preserve"> 31 (8): 955-958. doi:10.1007/s10896-016-98841. </w:t>
      </w:r>
      <w:hyperlink r:id="rId4" w:history="1">
        <w:r w:rsidRPr="007475EE">
          <w:rPr>
            <w:rStyle w:val="Hyperlink"/>
          </w:rPr>
          <w:t>http://resolver.scholarsportal.info/resolve/08857482/v31i0008/955_wabddcvmoitc</w:t>
        </w:r>
      </w:hyperlink>
      <w:r w:rsidRPr="007475EE">
        <w:t>.</w:t>
      </w:r>
    </w:p>
  </w:footnote>
  <w:footnote w:id="15">
    <w:p w:rsidR="007475EE" w:rsidRDefault="007475EE">
      <w:pPr>
        <w:pStyle w:val="FootnoteText"/>
      </w:pPr>
      <w:r>
        <w:rPr>
          <w:rStyle w:val="FootnoteReference"/>
        </w:rPr>
        <w:footnoteRef/>
      </w:r>
      <w:r>
        <w:t xml:space="preserve"> </w:t>
      </w:r>
      <w:r w:rsidRPr="007475EE">
        <w:t xml:space="preserve">Weinberg, Michael and Ronit </w:t>
      </w:r>
      <w:proofErr w:type="spellStart"/>
      <w:r w:rsidRPr="007475EE">
        <w:t>Smadar-Dror</w:t>
      </w:r>
      <w:proofErr w:type="spellEnd"/>
      <w:r w:rsidRPr="007475EE">
        <w:t xml:space="preserve">. 2016. "When Agreements Blur Disputes: Do Common Assumptions regarding General Implications of Intimate Physical Partner Violence Mediate </w:t>
      </w:r>
      <w:proofErr w:type="gramStart"/>
      <w:r w:rsidRPr="007475EE">
        <w:t>Or</w:t>
      </w:r>
      <w:proofErr w:type="gramEnd"/>
      <w:r w:rsidRPr="007475EE">
        <w:t xml:space="preserve"> Intensify the Controversy?" </w:t>
      </w:r>
      <w:r w:rsidRPr="007475EE">
        <w:rPr>
          <w:i/>
          <w:iCs/>
        </w:rPr>
        <w:t>Journal of Family Violence</w:t>
      </w:r>
      <w:r w:rsidRPr="007475EE">
        <w:t xml:space="preserve"> 31 (8): 955-958. doi:10.1007/s10896-016-98841. </w:t>
      </w:r>
      <w:hyperlink r:id="rId5" w:history="1">
        <w:r w:rsidRPr="007475EE">
          <w:rPr>
            <w:rStyle w:val="Hyperlink"/>
          </w:rPr>
          <w:t>http://resolver.scholarsportal.info/resolve/08857482/v31i0008/955_wabddcvmoitc</w:t>
        </w:r>
      </w:hyperlink>
      <w:r w:rsidRPr="007475EE">
        <w:t>.</w:t>
      </w:r>
    </w:p>
    <w:p w:rsidR="007475EE" w:rsidRDefault="007475EE">
      <w:pPr>
        <w:pStyle w:val="FootnoteText"/>
      </w:pPr>
    </w:p>
  </w:footnote>
  <w:footnote w:id="16">
    <w:p w:rsidR="00672703" w:rsidRDefault="00672703">
      <w:pPr>
        <w:pStyle w:val="FootnoteText"/>
      </w:pPr>
      <w:r>
        <w:rPr>
          <w:rStyle w:val="FootnoteReference"/>
        </w:rPr>
        <w:footnoteRef/>
      </w:r>
      <w:r>
        <w:t xml:space="preserve"> </w:t>
      </w:r>
      <w:r w:rsidRPr="00672703">
        <w:t xml:space="preserve">Weinberg, Michael and Ronit </w:t>
      </w:r>
      <w:proofErr w:type="spellStart"/>
      <w:r w:rsidRPr="00672703">
        <w:t>Smadar-Dror</w:t>
      </w:r>
      <w:proofErr w:type="spellEnd"/>
      <w:r w:rsidRPr="00672703">
        <w:t xml:space="preserve">. 2016. "When Agreements Blur Disputes: Do Common Assumptions regarding General Implications of Intimate Physical Partner Violence Mediate </w:t>
      </w:r>
      <w:proofErr w:type="gramStart"/>
      <w:r w:rsidRPr="00672703">
        <w:t>Or</w:t>
      </w:r>
      <w:proofErr w:type="gramEnd"/>
      <w:r w:rsidRPr="00672703">
        <w:t xml:space="preserve"> Intensify the Controversy?" </w:t>
      </w:r>
      <w:r w:rsidRPr="00672703">
        <w:rPr>
          <w:i/>
          <w:iCs/>
        </w:rPr>
        <w:t>Journal of Family Violence</w:t>
      </w:r>
      <w:r w:rsidRPr="00672703">
        <w:t xml:space="preserve"> 31 (8): 955-958. doi:10.1007/s10896-016-98841. </w:t>
      </w:r>
      <w:hyperlink r:id="rId6" w:history="1">
        <w:r w:rsidRPr="00672703">
          <w:rPr>
            <w:rStyle w:val="Hyperlink"/>
          </w:rPr>
          <w:t>http://resolver.scholarsportal.info/resolve/08857482/v31i0008/955_wabddcvmoitc</w:t>
        </w:r>
      </w:hyperlink>
      <w:r w:rsidRPr="00672703">
        <w:t>.</w:t>
      </w:r>
    </w:p>
    <w:p w:rsidR="00672703" w:rsidRDefault="00672703">
      <w:pPr>
        <w:pStyle w:val="FootnoteText"/>
      </w:pPr>
    </w:p>
  </w:footnote>
  <w:footnote w:id="17">
    <w:p w:rsidR="00672703" w:rsidRPr="00672703" w:rsidRDefault="00672703" w:rsidP="00672703">
      <w:pPr>
        <w:pStyle w:val="FootnoteText"/>
      </w:pPr>
      <w:r>
        <w:rPr>
          <w:rStyle w:val="FootnoteReference"/>
        </w:rPr>
        <w:footnoteRef/>
      </w:r>
      <w:r>
        <w:t xml:space="preserve"> </w:t>
      </w:r>
      <w:proofErr w:type="spellStart"/>
      <w:r w:rsidRPr="00672703">
        <w:t>Jewkes</w:t>
      </w:r>
      <w:proofErr w:type="spellEnd"/>
      <w:r w:rsidRPr="00672703">
        <w:t>, Rachel, Michael Flood, and James Lang. "From work with men and boys to changes of social norms and reduction of inequities in gender relations: a conceptual shift in prevention of violence against women and girls." </w:t>
      </w:r>
      <w:r w:rsidRPr="00672703">
        <w:rPr>
          <w:i/>
          <w:iCs/>
        </w:rPr>
        <w:t>The Lancet</w:t>
      </w:r>
      <w:r w:rsidRPr="00672703">
        <w:t>385, no. 9977 (2015): 1580-1589.</w:t>
      </w:r>
    </w:p>
    <w:p w:rsidR="00672703" w:rsidRDefault="0067270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D81" w:rsidRDefault="005F6D81">
    <w:pPr>
      <w:pStyle w:val="Header"/>
      <w:jc w:val="right"/>
    </w:pPr>
  </w:p>
  <w:p w:rsidR="00024FB1" w:rsidRDefault="00024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057742"/>
      <w:docPartObj>
        <w:docPartGallery w:val="Page Numbers (Top of Page)"/>
        <w:docPartUnique/>
      </w:docPartObj>
    </w:sdtPr>
    <w:sdtEndPr>
      <w:rPr>
        <w:noProof/>
      </w:rPr>
    </w:sdtEndPr>
    <w:sdtContent>
      <w:p w:rsidR="002360AB" w:rsidRDefault="002360AB">
        <w:pPr>
          <w:pStyle w:val="Header"/>
          <w:jc w:val="right"/>
        </w:pPr>
        <w:r>
          <w:fldChar w:fldCharType="begin"/>
        </w:r>
        <w:r>
          <w:instrText xml:space="preserve"> PAGE   \* MERGEFORMAT </w:instrText>
        </w:r>
        <w:r>
          <w:fldChar w:fldCharType="separate"/>
        </w:r>
        <w:r w:rsidR="008C7456">
          <w:rPr>
            <w:noProof/>
          </w:rPr>
          <w:t>9</w:t>
        </w:r>
        <w:r>
          <w:rPr>
            <w:noProof/>
          </w:rPr>
          <w:fldChar w:fldCharType="end"/>
        </w:r>
      </w:p>
    </w:sdtContent>
  </w:sdt>
  <w:p w:rsidR="00EF5049" w:rsidRDefault="00EF50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D81" w:rsidRDefault="005F6D81">
    <w:pPr>
      <w:pStyle w:val="Header"/>
      <w:jc w:val="right"/>
    </w:pPr>
  </w:p>
  <w:p w:rsidR="00024FB1" w:rsidRDefault="00024F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059"/>
    <w:rsid w:val="000005E5"/>
    <w:rsid w:val="0001439F"/>
    <w:rsid w:val="00016724"/>
    <w:rsid w:val="00024FB1"/>
    <w:rsid w:val="00032961"/>
    <w:rsid w:val="00082000"/>
    <w:rsid w:val="000B5D53"/>
    <w:rsid w:val="000C71BD"/>
    <w:rsid w:val="00114732"/>
    <w:rsid w:val="0012459A"/>
    <w:rsid w:val="00132059"/>
    <w:rsid w:val="0016126A"/>
    <w:rsid w:val="00192DF6"/>
    <w:rsid w:val="001B459B"/>
    <w:rsid w:val="001C54EF"/>
    <w:rsid w:val="001D6D45"/>
    <w:rsid w:val="001D7BFC"/>
    <w:rsid w:val="002360AB"/>
    <w:rsid w:val="00253E61"/>
    <w:rsid w:val="00276632"/>
    <w:rsid w:val="00292C03"/>
    <w:rsid w:val="002A17FA"/>
    <w:rsid w:val="002A217B"/>
    <w:rsid w:val="002A65A8"/>
    <w:rsid w:val="002C14F8"/>
    <w:rsid w:val="002E37F0"/>
    <w:rsid w:val="002F1EE5"/>
    <w:rsid w:val="003D7E02"/>
    <w:rsid w:val="0043610C"/>
    <w:rsid w:val="00442B3C"/>
    <w:rsid w:val="004A4CED"/>
    <w:rsid w:val="0054749E"/>
    <w:rsid w:val="00547EE6"/>
    <w:rsid w:val="00580772"/>
    <w:rsid w:val="005F4AFA"/>
    <w:rsid w:val="005F6D81"/>
    <w:rsid w:val="0063533B"/>
    <w:rsid w:val="00665CA4"/>
    <w:rsid w:val="00672703"/>
    <w:rsid w:val="00680874"/>
    <w:rsid w:val="006D3A08"/>
    <w:rsid w:val="006D7896"/>
    <w:rsid w:val="006E6267"/>
    <w:rsid w:val="006E6819"/>
    <w:rsid w:val="00704248"/>
    <w:rsid w:val="00732855"/>
    <w:rsid w:val="007475EE"/>
    <w:rsid w:val="00757A56"/>
    <w:rsid w:val="007A0D7A"/>
    <w:rsid w:val="007D6249"/>
    <w:rsid w:val="0081079D"/>
    <w:rsid w:val="0082430E"/>
    <w:rsid w:val="0082797B"/>
    <w:rsid w:val="00837F38"/>
    <w:rsid w:val="00843A1B"/>
    <w:rsid w:val="008C3A64"/>
    <w:rsid w:val="008C7456"/>
    <w:rsid w:val="008D40C1"/>
    <w:rsid w:val="008D65F0"/>
    <w:rsid w:val="008E389E"/>
    <w:rsid w:val="008E4BE8"/>
    <w:rsid w:val="008E4F60"/>
    <w:rsid w:val="00972900"/>
    <w:rsid w:val="009825CF"/>
    <w:rsid w:val="009B51E9"/>
    <w:rsid w:val="009E54D7"/>
    <w:rsid w:val="00A53ED0"/>
    <w:rsid w:val="00A56D4D"/>
    <w:rsid w:val="00A600C1"/>
    <w:rsid w:val="00A738A3"/>
    <w:rsid w:val="00AB1BC9"/>
    <w:rsid w:val="00AB6978"/>
    <w:rsid w:val="00AD5F28"/>
    <w:rsid w:val="00AF3EE1"/>
    <w:rsid w:val="00B010A2"/>
    <w:rsid w:val="00B071F2"/>
    <w:rsid w:val="00B11F63"/>
    <w:rsid w:val="00B82DEA"/>
    <w:rsid w:val="00B834DC"/>
    <w:rsid w:val="00B90848"/>
    <w:rsid w:val="00BB739A"/>
    <w:rsid w:val="00BC442C"/>
    <w:rsid w:val="00BD09F5"/>
    <w:rsid w:val="00BF13E1"/>
    <w:rsid w:val="00BF724F"/>
    <w:rsid w:val="00C359D3"/>
    <w:rsid w:val="00C5577A"/>
    <w:rsid w:val="00C65C71"/>
    <w:rsid w:val="00C71D9D"/>
    <w:rsid w:val="00C97BC9"/>
    <w:rsid w:val="00CA2CBD"/>
    <w:rsid w:val="00CA3385"/>
    <w:rsid w:val="00CB358A"/>
    <w:rsid w:val="00D06CCB"/>
    <w:rsid w:val="00D261F4"/>
    <w:rsid w:val="00D30BBE"/>
    <w:rsid w:val="00D47660"/>
    <w:rsid w:val="00D87780"/>
    <w:rsid w:val="00DB4649"/>
    <w:rsid w:val="00DF37B6"/>
    <w:rsid w:val="00E03CB5"/>
    <w:rsid w:val="00E2555A"/>
    <w:rsid w:val="00E66E45"/>
    <w:rsid w:val="00E94641"/>
    <w:rsid w:val="00EA1C0E"/>
    <w:rsid w:val="00EB578A"/>
    <w:rsid w:val="00EC364A"/>
    <w:rsid w:val="00ED0C73"/>
    <w:rsid w:val="00EF5049"/>
    <w:rsid w:val="00F46CCB"/>
    <w:rsid w:val="00FC0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E82B"/>
  <w15:chartTrackingRefBased/>
  <w15:docId w15:val="{7505C6DC-9824-469E-A9C8-396582B62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CCB"/>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styleId="Header">
    <w:name w:val="header"/>
    <w:basedOn w:val="Normal"/>
    <w:link w:val="HeaderChar"/>
    <w:uiPriority w:val="99"/>
    <w:unhideWhenUsed/>
    <w:rsid w:val="00EF5049"/>
    <w:pPr>
      <w:tabs>
        <w:tab w:val="center" w:pos="4680"/>
        <w:tab w:val="right" w:pos="9360"/>
      </w:tabs>
      <w:spacing w:line="240" w:lineRule="auto"/>
    </w:pPr>
  </w:style>
  <w:style w:type="character" w:customStyle="1" w:styleId="HeaderChar">
    <w:name w:val="Header Char"/>
    <w:basedOn w:val="DefaultParagraphFont"/>
    <w:link w:val="Header"/>
    <w:uiPriority w:val="99"/>
    <w:rsid w:val="00EF5049"/>
  </w:style>
  <w:style w:type="paragraph" w:styleId="Footer">
    <w:name w:val="footer"/>
    <w:basedOn w:val="Normal"/>
    <w:link w:val="FooterChar"/>
    <w:uiPriority w:val="99"/>
    <w:unhideWhenUsed/>
    <w:rsid w:val="00EF5049"/>
    <w:pPr>
      <w:tabs>
        <w:tab w:val="center" w:pos="4680"/>
        <w:tab w:val="right" w:pos="9360"/>
      </w:tabs>
      <w:spacing w:line="240" w:lineRule="auto"/>
    </w:pPr>
  </w:style>
  <w:style w:type="character" w:customStyle="1" w:styleId="FooterChar">
    <w:name w:val="Footer Char"/>
    <w:basedOn w:val="DefaultParagraphFont"/>
    <w:link w:val="Footer"/>
    <w:uiPriority w:val="99"/>
    <w:rsid w:val="00EF5049"/>
  </w:style>
  <w:style w:type="character" w:styleId="FootnoteReference">
    <w:name w:val="footnote reference"/>
    <w:basedOn w:val="DefaultParagraphFont"/>
    <w:uiPriority w:val="99"/>
    <w:semiHidden/>
    <w:unhideWhenUsed/>
    <w:rsid w:val="009825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resolver.scholarsportal.info/resolve/08857482/v31i0008/955_wabddcvmoi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solver.scholarsportal.info/resolve/08857482/v31i0008/949_sragcmfpp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olver.scholarsportal.info/resolve/08857482/v31i0008/941_ctdvnada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resolver.scholarsportal.info/resolve/08857482/v31i0008/949_sragcmfppv" TargetMode="External"/><Relationship Id="rId2" Type="http://schemas.openxmlformats.org/officeDocument/2006/relationships/hyperlink" Target="http://resolver.scholarsportal.info/resolve/08857482/v31i0008/941_ctdvnadas" TargetMode="External"/><Relationship Id="rId1" Type="http://schemas.openxmlformats.org/officeDocument/2006/relationships/hyperlink" Target="http://resolver.scholarsportal.info/resolve/08857482/v31i0008/941_ctdvnadas" TargetMode="External"/><Relationship Id="rId6" Type="http://schemas.openxmlformats.org/officeDocument/2006/relationships/hyperlink" Target="http://resolver.scholarsportal.info/resolve/08857482/v31i0008/955_wabddcvmoitc" TargetMode="External"/><Relationship Id="rId5" Type="http://schemas.openxmlformats.org/officeDocument/2006/relationships/hyperlink" Target="http://resolver.scholarsportal.info/resolve/08857482/v31i0008/955_wabddcvmoitc" TargetMode="External"/><Relationship Id="rId4" Type="http://schemas.openxmlformats.org/officeDocument/2006/relationships/hyperlink" Target="http://resolver.scholarsportal.info/resolve/08857482/v31i0008/955_wabddcvmoit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r\AppData\Roaming\Microsoft\Templates\Classic%20double%20spaced%20(blank)(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C9BD3-E84B-2544-9966-84D413E9A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C:\Users\Homer\AppData\Roaming\Microsoft\Templates\Classic double spaced (blank)(2).dotx</Template>
  <TotalTime>0</TotalTime>
  <Pages>10</Pages>
  <Words>1950</Words>
  <Characters>11119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leposo</dc:creator>
  <cp:lastModifiedBy>Microsoft Office User</cp:lastModifiedBy>
  <cp:revision>3</cp:revision>
  <dcterms:created xsi:type="dcterms:W3CDTF">2019-03-28T03:57:00Z</dcterms:created>
  <dcterms:modified xsi:type="dcterms:W3CDTF">2019-11-28T21:33:00Z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