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54E4" w:rsidRDefault="002C54E4" w:rsidP="00A41506">
      <w:pPr>
        <w:pStyle w:val="Heading1"/>
        <w:spacing w:line="360" w:lineRule="auto"/>
        <w:rPr>
          <w:b/>
          <w:color w:val="auto"/>
          <w:u w:val="single"/>
        </w:rPr>
      </w:pPr>
      <w:r>
        <w:rPr>
          <w:b/>
          <w:color w:val="auto"/>
          <w:u w:val="single"/>
        </w:rPr>
        <w:t>Q1: Definitions:</w:t>
      </w:r>
    </w:p>
    <w:p w:rsidR="002C54E4" w:rsidRDefault="002C54E4" w:rsidP="002C54E4">
      <w:r w:rsidRPr="002C54E4">
        <w:rPr>
          <w:b/>
        </w:rPr>
        <w:t>Economic Duress:</w:t>
      </w:r>
      <w:r>
        <w:t xml:space="preserve"> Economic violence, when inappropriate economic pressure is put on someone to force them to enter a contract.</w:t>
      </w:r>
    </w:p>
    <w:p w:rsidR="002C54E4" w:rsidRPr="002C54E4" w:rsidRDefault="002C54E4" w:rsidP="002C54E4">
      <w:pPr>
        <w:rPr>
          <w:b/>
        </w:rPr>
      </w:pPr>
      <w:r w:rsidRPr="002C54E4">
        <w:rPr>
          <w:b/>
        </w:rPr>
        <w:t>The 5 elements of an enforceable contract are:</w:t>
      </w:r>
    </w:p>
    <w:p w:rsidR="002C54E4" w:rsidRDefault="002C54E4" w:rsidP="002C54E4">
      <w:pPr>
        <w:pStyle w:val="ListParagraph"/>
        <w:numPr>
          <w:ilvl w:val="0"/>
          <w:numId w:val="10"/>
        </w:numPr>
      </w:pPr>
      <w:r>
        <w:t>Mutual intention of creating a legally binding agreement (contract)</w:t>
      </w:r>
    </w:p>
    <w:p w:rsidR="002C54E4" w:rsidRDefault="002C54E4" w:rsidP="002C54E4">
      <w:pPr>
        <w:pStyle w:val="ListParagraph"/>
        <w:numPr>
          <w:ilvl w:val="0"/>
          <w:numId w:val="10"/>
        </w:numPr>
      </w:pPr>
      <w:r>
        <w:t>Offer and Acceptance</w:t>
      </w:r>
    </w:p>
    <w:p w:rsidR="002C54E4" w:rsidRDefault="002C54E4" w:rsidP="002C54E4">
      <w:pPr>
        <w:pStyle w:val="ListParagraph"/>
        <w:numPr>
          <w:ilvl w:val="0"/>
          <w:numId w:val="10"/>
        </w:numPr>
      </w:pPr>
      <w:r>
        <w:t>Exchange of consideration</w:t>
      </w:r>
    </w:p>
    <w:p w:rsidR="002C54E4" w:rsidRDefault="002C54E4" w:rsidP="002C54E4">
      <w:pPr>
        <w:pStyle w:val="ListParagraph"/>
        <w:numPr>
          <w:ilvl w:val="0"/>
          <w:numId w:val="10"/>
        </w:numPr>
      </w:pPr>
      <w:r>
        <w:t xml:space="preserve">Both parties have relevant capacities </w:t>
      </w:r>
    </w:p>
    <w:p w:rsidR="002C54E4" w:rsidRDefault="002C54E4" w:rsidP="002C54E4">
      <w:pPr>
        <w:pStyle w:val="ListParagraph"/>
        <w:numPr>
          <w:ilvl w:val="0"/>
          <w:numId w:val="10"/>
        </w:numPr>
      </w:pPr>
      <w:r>
        <w:t>The nature of the contract is legal</w:t>
      </w:r>
    </w:p>
    <w:p w:rsidR="002C54E4" w:rsidRDefault="002C54E4" w:rsidP="002C54E4">
      <w:r w:rsidRPr="002C54E4">
        <w:rPr>
          <w:b/>
        </w:rPr>
        <w:t>Libel:</w:t>
      </w:r>
      <w:r>
        <w:rPr>
          <w:b/>
        </w:rPr>
        <w:t xml:space="preserve"> </w:t>
      </w:r>
      <w:r>
        <w:t xml:space="preserve">Defamation is the intentional tort where the reputation of the victim is damaged due to untrue public statements made by the tortfeasor. Can be separated into libel and slander: </w:t>
      </w:r>
    </w:p>
    <w:p w:rsidR="002C54E4" w:rsidRDefault="002C54E4" w:rsidP="002C54E4">
      <w:pPr>
        <w:pStyle w:val="ListParagraph"/>
        <w:numPr>
          <w:ilvl w:val="0"/>
          <w:numId w:val="10"/>
        </w:numPr>
      </w:pPr>
      <w:r>
        <w:t>Libel is the type of defamation where the form of communication is fixed (writing)</w:t>
      </w:r>
    </w:p>
    <w:p w:rsidR="002C54E4" w:rsidRDefault="002C54E4" w:rsidP="002C54E4">
      <w:pPr>
        <w:pStyle w:val="ListParagraph"/>
        <w:numPr>
          <w:ilvl w:val="0"/>
          <w:numId w:val="10"/>
        </w:numPr>
      </w:pPr>
      <w:r>
        <w:t>Slander is the type of defamation where the form of communication is verbal (Podcast)</w:t>
      </w:r>
    </w:p>
    <w:p w:rsidR="008D7072" w:rsidRPr="008D7072" w:rsidRDefault="008D7072" w:rsidP="008D7072">
      <w:r w:rsidRPr="008D7072">
        <w:rPr>
          <w:b/>
        </w:rPr>
        <w:t>Vicarious Liability:</w:t>
      </w:r>
      <w:r>
        <w:rPr>
          <w:b/>
        </w:rPr>
        <w:t xml:space="preserve"> </w:t>
      </w:r>
      <w:r>
        <w:t>Refers to the situation where someone is held responsible for the actions or omissions of another person. In the workplace context, the employer is liable for the actions or omissions committed by the employee provided it can be shown that they took place during their employment. It exists because the employer is in a more stable financial position to pay for the damages than the employee (Deep pocket theory). It recognizes that the benefit of having employees comes with the responsibility of being liable for their actions</w:t>
      </w:r>
    </w:p>
    <w:p w:rsidR="006440F1" w:rsidRDefault="002C54E4" w:rsidP="002C54E4">
      <w:r w:rsidRPr="006440F1">
        <w:rPr>
          <w:b/>
        </w:rPr>
        <w:t>Statute of frauds</w:t>
      </w:r>
      <w:r>
        <w:t xml:space="preserve"> identifies the type of contract that needs to be written to be enforceable. One is not required to have a document called the contract with all the terms and signatures </w:t>
      </w:r>
      <w:r w:rsidR="006440F1">
        <w:t xml:space="preserve">at the back. It can be in a form of memorandum where multiple documents can be presented to the court. </w:t>
      </w:r>
    </w:p>
    <w:p w:rsidR="006440F1" w:rsidRDefault="006440F1" w:rsidP="002C54E4">
      <w:r w:rsidRPr="006440F1">
        <w:rPr>
          <w:b/>
        </w:rPr>
        <w:t>Innocent misrepresentation:</w:t>
      </w:r>
      <w:r>
        <w:rPr>
          <w:b/>
        </w:rPr>
        <w:t xml:space="preserve"> </w:t>
      </w:r>
      <w:r>
        <w:t>Misrepresentation refers to the statements made by one party to another with the effect of inducing that</w:t>
      </w:r>
      <w:r w:rsidR="008D7072">
        <w:t xml:space="preserve"> party into entering a contract. Can be split into innocent and fraudulent misrepresentation: </w:t>
      </w:r>
    </w:p>
    <w:p w:rsidR="008D7072" w:rsidRDefault="008D7072" w:rsidP="008D7072">
      <w:pPr>
        <w:pStyle w:val="ListParagraph"/>
        <w:numPr>
          <w:ilvl w:val="0"/>
          <w:numId w:val="10"/>
        </w:numPr>
      </w:pPr>
      <w:r w:rsidRPr="008D7072">
        <w:rPr>
          <w:b/>
        </w:rPr>
        <w:t>Innocent misrepresentation</w:t>
      </w:r>
      <w:r>
        <w:t xml:space="preserve"> is when the person making the statement genuinely believes what they said was true. The remedy is rescission if possible (Terminating contract). If one is no longer able to give back what he received under the contract, he will not get the goods back. If property is bought, when the closing date has passed, rescission will not be conceded because too many parties are affected. </w:t>
      </w:r>
    </w:p>
    <w:p w:rsidR="008D7072" w:rsidRDefault="008D7072" w:rsidP="008D7072">
      <w:pPr>
        <w:pStyle w:val="ListParagraph"/>
        <w:numPr>
          <w:ilvl w:val="0"/>
          <w:numId w:val="10"/>
        </w:numPr>
      </w:pPr>
      <w:r w:rsidRPr="008D7072">
        <w:rPr>
          <w:b/>
        </w:rPr>
        <w:t>Fraudulent misrepresentation</w:t>
      </w:r>
      <w:r>
        <w:t xml:space="preserve"> is when the person making the statement knew they were lying, did not believe what they said was true, or were reckless in whether the statement was true or false. The remedies are either rescission (terminating contract) or to sue for damages in the intentional tort of deceit. </w:t>
      </w:r>
    </w:p>
    <w:p w:rsidR="001F7E6E" w:rsidRPr="006440F1" w:rsidRDefault="001F7E6E" w:rsidP="001F7E6E">
      <w:pPr>
        <w:ind w:left="360"/>
      </w:pPr>
      <w:bookmarkStart w:id="0" w:name="_GoBack"/>
      <w:bookmarkEnd w:id="0"/>
    </w:p>
    <w:p w:rsidR="008C3BE1" w:rsidRDefault="00A41506" w:rsidP="00A41506">
      <w:pPr>
        <w:pStyle w:val="Heading1"/>
        <w:spacing w:line="360" w:lineRule="auto"/>
        <w:rPr>
          <w:b/>
          <w:u w:val="single"/>
        </w:rPr>
      </w:pPr>
      <w:r w:rsidRPr="00A41506">
        <w:rPr>
          <w:b/>
          <w:color w:val="auto"/>
          <w:u w:val="single"/>
        </w:rPr>
        <w:lastRenderedPageBreak/>
        <w:t>Q2: Explain ‘mistake’ in the tendering process:</w:t>
      </w:r>
      <w:r w:rsidRPr="00A41506">
        <w:rPr>
          <w:b/>
          <w:u w:val="single"/>
        </w:rPr>
        <w:t xml:space="preserve"> </w:t>
      </w:r>
    </w:p>
    <w:p w:rsidR="00A41506" w:rsidRPr="00A41506" w:rsidRDefault="00A41506" w:rsidP="00A41506">
      <w:pPr>
        <w:spacing w:line="360" w:lineRule="auto"/>
      </w:pPr>
    </w:p>
    <w:p w:rsidR="00A41506" w:rsidRPr="00A41506" w:rsidRDefault="00A41506" w:rsidP="008B1E2C">
      <w:pPr>
        <w:spacing w:line="360" w:lineRule="auto"/>
        <w:ind w:firstLine="720"/>
      </w:pPr>
      <w:r>
        <w:rPr>
          <w:noProof/>
          <w:lang w:eastAsia="en-CA"/>
        </w:rPr>
        <mc:AlternateContent>
          <mc:Choice Requires="wps">
            <w:drawing>
              <wp:anchor distT="45720" distB="45720" distL="114300" distR="114300" simplePos="0" relativeHeight="251669504" behindDoc="1" locked="0" layoutInCell="1" allowOverlap="1" wp14:anchorId="7D52FE5E" wp14:editId="73F554EE">
                <wp:simplePos x="0" y="0"/>
                <wp:positionH relativeFrom="column">
                  <wp:posOffset>5343525</wp:posOffset>
                </wp:positionH>
                <wp:positionV relativeFrom="paragraph">
                  <wp:posOffset>632460</wp:posOffset>
                </wp:positionV>
                <wp:extent cx="361950" cy="257175"/>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57175"/>
                        </a:xfrm>
                        <a:prstGeom prst="rect">
                          <a:avLst/>
                        </a:prstGeom>
                        <a:solidFill>
                          <a:srgbClr val="FFFFFF"/>
                        </a:solidFill>
                        <a:ln w="9525">
                          <a:noFill/>
                          <a:miter lim="800000"/>
                          <a:headEnd/>
                          <a:tailEnd/>
                        </a:ln>
                      </wps:spPr>
                      <wps:txbx>
                        <w:txbxContent>
                          <w:p w:rsidR="00A41506" w:rsidRPr="00A41506" w:rsidRDefault="00A41506" w:rsidP="00A41506">
                            <w:pPr>
                              <w:rPr>
                                <w:color w:val="70AD47" w:themeColor="accent6"/>
                              </w:rPr>
                            </w:pPr>
                            <w:r w:rsidRPr="00A41506">
                              <w:rPr>
                                <w:color w:val="70AD47" w:themeColor="accent6"/>
                              </w:rPr>
                              <w:t>K</w:t>
                            </w:r>
                            <w:r w:rsidRPr="00A41506">
                              <w:rPr>
                                <w:color w:val="70AD47" w:themeColor="accent6"/>
                                <w:vertAlign w:val="subscript"/>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52FE5E" id="_x0000_t202" coordsize="21600,21600" o:spt="202" path="m,l,21600r21600,l21600,xe">
                <v:stroke joinstyle="miter"/>
                <v:path gradientshapeok="t" o:connecttype="rect"/>
              </v:shapetype>
              <v:shape id="Text Box 2" o:spid="_x0000_s1026" type="#_x0000_t202" style="position:absolute;left:0;text-align:left;margin-left:420.75pt;margin-top:49.8pt;width:28.5pt;height:20.2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" stroked="f">
                <v:textbox>
                  <w:txbxContent>
                    <w:p w:rsidR="00A41506" w:rsidRPr="00A41506" w:rsidRDefault="00A41506" w:rsidP="00A41506">
                      <w:pPr>
                        <w:rPr>
                          <w:color w:val="70AD47" w:themeColor="accent6"/>
                        </w:rPr>
                      </w:pPr>
                      <w:r w:rsidRPr="00A41506">
                        <w:rPr>
                          <w:color w:val="70AD47" w:themeColor="accent6"/>
                        </w:rPr>
                        <w:t>K</w:t>
                      </w:r>
                      <w:r w:rsidRPr="00A41506">
                        <w:rPr>
                          <w:color w:val="70AD47" w:themeColor="accent6"/>
                          <w:vertAlign w:val="subscript"/>
                        </w:rPr>
                        <w:t>b</w:t>
                      </w:r>
                    </w:p>
                  </w:txbxContent>
                </v:textbox>
              </v:shape>
            </w:pict>
          </mc:Fallback>
        </mc:AlternateContent>
      </w:r>
      <w:r>
        <w:rPr>
          <w:noProof/>
          <w:lang w:eastAsia="en-CA"/>
        </w:rPr>
        <mc:AlternateContent>
          <mc:Choice Requires="wps">
            <w:drawing>
              <wp:anchor distT="45720" distB="45720" distL="114300" distR="114300" simplePos="0" relativeHeight="251667456" behindDoc="1" locked="0" layoutInCell="1" allowOverlap="1" wp14:anchorId="2E9BE4B7" wp14:editId="2DA1FB60">
                <wp:simplePos x="0" y="0"/>
                <wp:positionH relativeFrom="margin">
                  <wp:posOffset>2514600</wp:posOffset>
                </wp:positionH>
                <wp:positionV relativeFrom="paragraph">
                  <wp:posOffset>613410</wp:posOffset>
                </wp:positionV>
                <wp:extent cx="428625" cy="257175"/>
                <wp:effectExtent l="0" t="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57175"/>
                        </a:xfrm>
                        <a:prstGeom prst="rect">
                          <a:avLst/>
                        </a:prstGeom>
                        <a:solidFill>
                          <a:srgbClr val="FFFFFF"/>
                        </a:solidFill>
                        <a:ln w="9525">
                          <a:noFill/>
                          <a:miter lim="800000"/>
                          <a:headEnd/>
                          <a:tailEnd/>
                        </a:ln>
                      </wps:spPr>
                      <wps:txbx>
                        <w:txbxContent>
                          <w:p w:rsidR="00A41506" w:rsidRPr="00A41506" w:rsidRDefault="00A41506" w:rsidP="00A41506">
                            <w:pPr>
                              <w:rPr>
                                <w:color w:val="70AD47" w:themeColor="accent6"/>
                              </w:rPr>
                            </w:pPr>
                            <w:r w:rsidRPr="00A41506">
                              <w:rPr>
                                <w:color w:val="70AD47" w:themeColor="accent6"/>
                              </w:rPr>
                              <w:t>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BE4B7" id="_x0000_s1027" type="#_x0000_t202" style="position:absolute;left:0;text-align:left;margin-left:198pt;margin-top:48.3pt;width:33.75pt;height:20.2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" stroked="f">
                <v:textbox>
                  <w:txbxContent>
                    <w:p w:rsidR="00A41506" w:rsidRPr="00A41506" w:rsidRDefault="00A41506" w:rsidP="00A41506">
                      <w:pPr>
                        <w:rPr>
                          <w:color w:val="70AD47" w:themeColor="accent6"/>
                        </w:rPr>
                      </w:pPr>
                      <w:r w:rsidRPr="00A41506">
                        <w:rPr>
                          <w:color w:val="70AD47" w:themeColor="accent6"/>
                        </w:rPr>
                        <w:t>A=K</w:t>
                      </w:r>
                    </w:p>
                  </w:txbxContent>
                </v:textbox>
                <w10:wrap anchorx="margin"/>
              </v:shape>
            </w:pict>
          </mc:Fallback>
        </mc:AlternateContent>
      </w:r>
      <w:r>
        <w:rPr>
          <w:noProof/>
          <w:lang w:eastAsia="en-CA"/>
        </w:rPr>
        <mc:AlternateContent>
          <mc:Choice Requires="wps">
            <w:drawing>
              <wp:anchor distT="45720" distB="45720" distL="114300" distR="114300" simplePos="0" relativeHeight="251665408" behindDoc="1" locked="0" layoutInCell="1" allowOverlap="1" wp14:anchorId="4D1BC05F" wp14:editId="3CAFE70F">
                <wp:simplePos x="0" y="0"/>
                <wp:positionH relativeFrom="column">
                  <wp:posOffset>5029200</wp:posOffset>
                </wp:positionH>
                <wp:positionV relativeFrom="paragraph">
                  <wp:posOffset>641985</wp:posOffset>
                </wp:positionV>
                <wp:extent cx="238125" cy="257175"/>
                <wp:effectExtent l="0" t="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7175"/>
                        </a:xfrm>
                        <a:prstGeom prst="rect">
                          <a:avLst/>
                        </a:prstGeom>
                        <a:solidFill>
                          <a:srgbClr val="FFFFFF"/>
                        </a:solidFill>
                        <a:ln w="9525">
                          <a:noFill/>
                          <a:miter lim="800000"/>
                          <a:headEnd/>
                          <a:tailEnd/>
                        </a:ln>
                      </wps:spPr>
                      <wps:txbx>
                        <w:txbxContent>
                          <w:p w:rsidR="00A41506" w:rsidRPr="00A41506" w:rsidRDefault="00A41506" w:rsidP="00A41506">
                            <w:pPr>
                              <w:rPr>
                                <w:color w:val="FF0000"/>
                              </w:rPr>
                            </w:pPr>
                            <w:r w:rsidRPr="00A41506">
                              <w:rPr>
                                <w:color w:val="FF0000"/>
                              </w:rPr>
                              <w:t>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BC05F" id="_x0000_s1028" type="#_x0000_t202" style="position:absolute;left:0;text-align:left;margin-left:396pt;margin-top:50.55pt;width:18.75pt;height:20.2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" stroked="f">
                <v:textbox>
                  <w:txbxContent>
                    <w:p w:rsidR="00A41506" w:rsidRPr="00A41506" w:rsidRDefault="00A41506" w:rsidP="00A41506">
                      <w:pPr>
                        <w:rPr>
                          <w:color w:val="FF0000"/>
                        </w:rPr>
                      </w:pPr>
                      <w:r w:rsidRPr="00A41506">
                        <w:rPr>
                          <w:color w:val="FF0000"/>
                        </w:rPr>
                        <w:t>K</w:t>
                      </w:r>
                    </w:p>
                  </w:txbxContent>
                </v:textbox>
              </v:shape>
            </w:pict>
          </mc:Fallback>
        </mc:AlternateContent>
      </w:r>
      <w:r>
        <w:rPr>
          <w:noProof/>
          <w:lang w:eastAsia="en-CA"/>
        </w:rPr>
        <mc:AlternateContent>
          <mc:Choice Requires="wps">
            <w:drawing>
              <wp:anchor distT="45720" distB="45720" distL="114300" distR="114300" simplePos="0" relativeHeight="251663360" behindDoc="1" locked="0" layoutInCell="1" allowOverlap="1" wp14:anchorId="4D1BC05F" wp14:editId="3CAFE70F">
                <wp:simplePos x="0" y="0"/>
                <wp:positionH relativeFrom="column">
                  <wp:posOffset>4048125</wp:posOffset>
                </wp:positionH>
                <wp:positionV relativeFrom="paragraph">
                  <wp:posOffset>584835</wp:posOffset>
                </wp:positionV>
                <wp:extent cx="238125" cy="25717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7175"/>
                        </a:xfrm>
                        <a:prstGeom prst="rect">
                          <a:avLst/>
                        </a:prstGeom>
                        <a:solidFill>
                          <a:srgbClr val="FFFFFF"/>
                        </a:solidFill>
                        <a:ln w="9525">
                          <a:noFill/>
                          <a:miter lim="800000"/>
                          <a:headEnd/>
                          <a:tailEnd/>
                        </a:ln>
                      </wps:spPr>
                      <wps:txbx>
                        <w:txbxContent>
                          <w:p w:rsidR="00A41506" w:rsidRPr="00A41506" w:rsidRDefault="00A41506" w:rsidP="00A41506">
                            <w:pPr>
                              <w:rPr>
                                <w:color w:val="FF0000"/>
                              </w:rPr>
                            </w:pPr>
                            <w:r w:rsidRPr="00A41506">
                              <w:rPr>
                                <w:color w:val="FF0000"/>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BC05F" id="_x0000_s1029" type="#_x0000_t202" style="position:absolute;left:0;text-align:left;margin-left:318.75pt;margin-top:46.05pt;width:18.75pt;height:20.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" stroked="f">
                <v:textbox>
                  <w:txbxContent>
                    <w:p w:rsidR="00A41506" w:rsidRPr="00A41506" w:rsidRDefault="00A41506" w:rsidP="00A41506">
                      <w:pPr>
                        <w:rPr>
                          <w:color w:val="FF0000"/>
                        </w:rPr>
                      </w:pPr>
                      <w:r w:rsidRPr="00A41506">
                        <w:rPr>
                          <w:color w:val="FF0000"/>
                        </w:rPr>
                        <w:t>A</w:t>
                      </w:r>
                    </w:p>
                  </w:txbxContent>
                </v:textbox>
              </v:shape>
            </w:pict>
          </mc:Fallback>
        </mc:AlternateContent>
      </w:r>
      <w:r>
        <w:rPr>
          <w:noProof/>
          <w:lang w:eastAsia="en-CA"/>
        </w:rPr>
        <mc:AlternateContent>
          <mc:Choice Requires="wps">
            <w:drawing>
              <wp:anchor distT="45720" distB="45720" distL="114300" distR="114300" simplePos="0" relativeHeight="251661312" behindDoc="1" locked="0" layoutInCell="1" allowOverlap="1" wp14:anchorId="4D1BC05F" wp14:editId="3CAFE70F">
                <wp:simplePos x="0" y="0"/>
                <wp:positionH relativeFrom="margin">
                  <wp:align>center</wp:align>
                </wp:positionH>
                <wp:positionV relativeFrom="paragraph">
                  <wp:posOffset>609600</wp:posOffset>
                </wp:positionV>
                <wp:extent cx="238125" cy="257175"/>
                <wp:effectExtent l="0" t="0"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7175"/>
                        </a:xfrm>
                        <a:prstGeom prst="rect">
                          <a:avLst/>
                        </a:prstGeom>
                        <a:solidFill>
                          <a:srgbClr val="FFFFFF"/>
                        </a:solidFill>
                        <a:ln w="9525">
                          <a:noFill/>
                          <a:miter lim="800000"/>
                          <a:headEnd/>
                          <a:tailEnd/>
                        </a:ln>
                      </wps:spPr>
                      <wps:txbx>
                        <w:txbxContent>
                          <w:p w:rsidR="00A41506" w:rsidRPr="00A41506" w:rsidRDefault="00A41506" w:rsidP="00A41506">
                            <w:pPr>
                              <w:rPr>
                                <w:color w:val="FF0000"/>
                              </w:rPr>
                            </w:pPr>
                            <w:r w:rsidRPr="00A41506">
                              <w:rPr>
                                <w:color w:val="FF0000"/>
                              </w:rPr>
                              <w: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BC05F" id="_x0000_s1030" type="#_x0000_t202" style="position:absolute;left:0;text-align:left;margin-left:0;margin-top:48pt;width:18.75pt;height:20.25pt;z-index:-2516551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" stroked="f">
                <v:textbox>
                  <w:txbxContent>
                    <w:p w:rsidR="00A41506" w:rsidRPr="00A41506" w:rsidRDefault="00A41506" w:rsidP="00A41506">
                      <w:pPr>
                        <w:rPr>
                          <w:color w:val="FF0000"/>
                        </w:rPr>
                      </w:pPr>
                      <w:r w:rsidRPr="00A41506">
                        <w:rPr>
                          <w:color w:val="FF0000"/>
                        </w:rPr>
                        <w:t>O</w:t>
                      </w:r>
                    </w:p>
                  </w:txbxContent>
                </v:textbox>
                <w10:wrap anchorx="margin"/>
              </v:shape>
            </w:pict>
          </mc:Fallback>
        </mc:AlternateContent>
      </w:r>
      <w:r>
        <w:rPr>
          <w:noProof/>
          <w:lang w:eastAsia="en-CA"/>
        </w:rPr>
        <mc:AlternateContent>
          <mc:Choice Requires="wps">
            <w:drawing>
              <wp:anchor distT="45720" distB="45720" distL="114300" distR="114300" simplePos="0" relativeHeight="251659264" behindDoc="1" locked="0" layoutInCell="1" allowOverlap="1">
                <wp:simplePos x="0" y="0"/>
                <wp:positionH relativeFrom="column">
                  <wp:posOffset>1133475</wp:posOffset>
                </wp:positionH>
                <wp:positionV relativeFrom="paragraph">
                  <wp:posOffset>651510</wp:posOffset>
                </wp:positionV>
                <wp:extent cx="238125" cy="257175"/>
                <wp:effectExtent l="0" t="0" r="952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7175"/>
                        </a:xfrm>
                        <a:prstGeom prst="rect">
                          <a:avLst/>
                        </a:prstGeom>
                        <a:solidFill>
                          <a:srgbClr val="FFFFFF"/>
                        </a:solidFill>
                        <a:ln w="9525">
                          <a:noFill/>
                          <a:miter lim="800000"/>
                          <a:headEnd/>
                          <a:tailEnd/>
                        </a:ln>
                      </wps:spPr>
                      <wps:txbx>
                        <w:txbxContent>
                          <w:p w:rsidR="00A41506" w:rsidRPr="00A41506" w:rsidRDefault="00A41506">
                            <w:pPr>
                              <w:rPr>
                                <w:color w:val="70AD47" w:themeColor="accent6"/>
                              </w:rPr>
                            </w:pPr>
                            <w:r w:rsidRPr="00A41506">
                              <w:rPr>
                                <w:color w:val="70AD47" w:themeColor="accent6"/>
                              </w:rPr>
                              <w: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89.25pt;margin-top:51.3pt;width:18.75pt;height:20.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" stroked="f">
                <v:textbox>
                  <w:txbxContent>
                    <w:p w:rsidR="00A41506" w:rsidRPr="00A41506" w:rsidRDefault="00A41506">
                      <w:pPr>
                        <w:rPr>
                          <w:color w:val="70AD47" w:themeColor="accent6"/>
                        </w:rPr>
                      </w:pPr>
                      <w:r w:rsidRPr="00A41506">
                        <w:rPr>
                          <w:color w:val="70AD47" w:themeColor="accent6"/>
                        </w:rPr>
                        <w:t>O</w:t>
                      </w:r>
                    </w:p>
                  </w:txbxContent>
                </v:textbox>
              </v:shape>
            </w:pict>
          </mc:Fallback>
        </mc:AlternateContent>
      </w:r>
      <w:r w:rsidRPr="00A41506">
        <w:t>Tendering is when an owner knows that something needs to be done, but communicates the information and parameters to a larger population rather than a single contractor. The tendering process has the following procedure:</w:t>
      </w:r>
    </w:p>
    <w:p w:rsidR="00A41506" w:rsidRDefault="00A41506" w:rsidP="008B1E2C">
      <w:pPr>
        <w:spacing w:line="360" w:lineRule="auto"/>
      </w:pPr>
      <w:r w:rsidRPr="00A41506">
        <w:t xml:space="preserve">Time </w:t>
      </w:r>
      <w:r w:rsidRPr="00A41506">
        <w:sym w:font="Wingdings" w:char="F0E0"/>
      </w:r>
      <w:r w:rsidRPr="00A41506">
        <w:t xml:space="preserve"> Owner gives invitation to tender </w:t>
      </w:r>
      <w:r w:rsidRPr="00A41506">
        <w:sym w:font="Wingdings" w:char="F0E0"/>
      </w:r>
      <w:r w:rsidRPr="00A41506">
        <w:t xml:space="preserve"> Bids are submitted </w:t>
      </w:r>
      <w:r w:rsidRPr="00A41506">
        <w:sym w:font="Wingdings" w:char="F0E0"/>
      </w:r>
      <w:r w:rsidRPr="00A41506">
        <w:t xml:space="preserve"> Owner chooses </w:t>
      </w:r>
      <w:r w:rsidRPr="00A41506">
        <w:sym w:font="Wingdings" w:char="F0E0"/>
      </w:r>
      <w:r w:rsidRPr="00A41506">
        <w:t xml:space="preserve"> Construction </w:t>
      </w:r>
    </w:p>
    <w:p w:rsidR="00A41506" w:rsidRDefault="00A41506" w:rsidP="008B1E2C">
      <w:pPr>
        <w:spacing w:line="360" w:lineRule="auto"/>
        <w:ind w:firstLine="360"/>
      </w:pPr>
      <w:r>
        <w:t xml:space="preserve">The tendering law </w:t>
      </w:r>
      <w:r w:rsidR="00B35C7E">
        <w:t xml:space="preserve">according to </w:t>
      </w:r>
      <w:proofErr w:type="gramStart"/>
      <w:r w:rsidR="00B35C7E">
        <w:t>belle river</w:t>
      </w:r>
      <w:proofErr w:type="gramEnd"/>
      <w:r w:rsidR="00B35C7E">
        <w:t xml:space="preserve"> was: </w:t>
      </w:r>
    </w:p>
    <w:p w:rsidR="00B35C7E" w:rsidRDefault="00B35C7E" w:rsidP="008B1E2C">
      <w:pPr>
        <w:pStyle w:val="ListParagraph"/>
        <w:numPr>
          <w:ilvl w:val="0"/>
          <w:numId w:val="1"/>
        </w:numPr>
        <w:spacing w:line="360" w:lineRule="auto"/>
      </w:pPr>
      <w:r>
        <w:t xml:space="preserve">Example of how used to look at the tendering process </w:t>
      </w:r>
      <w:r>
        <w:sym w:font="Wingdings" w:char="F0E0"/>
      </w:r>
      <w:r>
        <w:t xml:space="preserve"> they only saw that when a tender is submitted, an offer is made, the acceptance is when the owner selects the tender leading to a construction contract: O(ffer)+ A(ccepteance)= K (services and goods supplied)</w:t>
      </w:r>
    </w:p>
    <w:p w:rsidR="00B35C7E" w:rsidRDefault="00B35C7E" w:rsidP="008B1E2C">
      <w:pPr>
        <w:pStyle w:val="ListParagraph"/>
        <w:numPr>
          <w:ilvl w:val="0"/>
          <w:numId w:val="1"/>
        </w:numPr>
        <w:spacing w:line="360" w:lineRule="auto"/>
      </w:pPr>
      <w:r>
        <w:t>The mistake is always a part of the tenderer, because of that, it is a one-sided mistake or a Unilateral Mistake.</w:t>
      </w:r>
    </w:p>
    <w:p w:rsidR="00B35C7E" w:rsidRDefault="00B35C7E" w:rsidP="008B1E2C">
      <w:pPr>
        <w:pStyle w:val="ListParagraph"/>
        <w:numPr>
          <w:ilvl w:val="0"/>
          <w:numId w:val="1"/>
        </w:numPr>
        <w:spacing w:line="360" w:lineRule="auto"/>
      </w:pPr>
      <w:r>
        <w:t>The ‘obvious mistake’ was that the owner could have found the mistake on his own. It was named snapping up an offer where in contract law was accepting an offer knowing it is incorrect. Although the owner selected the party that made the mistake, because it was an obvious mistake the owner was not legally entitled to accept that offer. Therefore, tenderer had no liability.</w:t>
      </w:r>
    </w:p>
    <w:p w:rsidR="00B35C7E" w:rsidRDefault="00B35C7E" w:rsidP="008B1E2C">
      <w:pPr>
        <w:spacing w:line="360" w:lineRule="auto"/>
        <w:ind w:left="360"/>
      </w:pPr>
      <w:r>
        <w:t>But then Ron Engineering came along:</w:t>
      </w:r>
    </w:p>
    <w:p w:rsidR="008B1E2C" w:rsidRDefault="00B35C7E" w:rsidP="008B1E2C">
      <w:pPr>
        <w:pStyle w:val="ListParagraph"/>
        <w:numPr>
          <w:ilvl w:val="0"/>
          <w:numId w:val="2"/>
        </w:numPr>
        <w:spacing w:line="360" w:lineRule="auto"/>
      </w:pPr>
      <w:r>
        <w:t>The supreme court only saw that two contract</w:t>
      </w:r>
      <w:r w:rsidR="008B1E2C">
        <w:t>s</w:t>
      </w:r>
      <w:r>
        <w:t xml:space="preserve"> </w:t>
      </w:r>
      <w:r w:rsidR="008B1E2C">
        <w:t xml:space="preserve">being </w:t>
      </w:r>
      <w:r>
        <w:t>formed</w:t>
      </w:r>
      <w:r w:rsidR="008B1E2C">
        <w:t xml:space="preserve">. (before only one was seen) </w:t>
      </w:r>
    </w:p>
    <w:p w:rsidR="00B35C7E" w:rsidRDefault="008B1E2C" w:rsidP="008B1E2C">
      <w:pPr>
        <w:pStyle w:val="ListParagraph"/>
        <w:numPr>
          <w:ilvl w:val="0"/>
          <w:numId w:val="2"/>
        </w:numPr>
        <w:spacing w:line="360" w:lineRule="auto"/>
      </w:pPr>
      <w:r>
        <w:t>The new contract involves the tendering and selection process itself. The court said that when the owner puts out the information for submitting the tender, as soon as the tender is submitted, the rules are accepted. The court simply called it “contract A”</w:t>
      </w:r>
      <w:r w:rsidR="00B35C7E">
        <w:t xml:space="preserve"> </w:t>
      </w:r>
      <w:r>
        <w:t xml:space="preserve">which is about the tendering and selection process itself. However, contract B is the ultimate work contract. </w:t>
      </w:r>
    </w:p>
    <w:p w:rsidR="008B1E2C" w:rsidRDefault="008B1E2C" w:rsidP="008B1E2C">
      <w:pPr>
        <w:pStyle w:val="ListParagraph"/>
        <w:numPr>
          <w:ilvl w:val="0"/>
          <w:numId w:val="2"/>
        </w:numPr>
        <w:spacing w:line="360" w:lineRule="auto"/>
      </w:pPr>
      <w:r>
        <w:t xml:space="preserve">When you place a big, you accepted to be part of that tendering and selection process, following the rules set. You cannot withdraw from this process because it would be a breach of contract. </w:t>
      </w:r>
    </w:p>
    <w:p w:rsidR="008B1E2C" w:rsidRDefault="008B1E2C" w:rsidP="008B1E2C">
      <w:pPr>
        <w:pStyle w:val="ListParagraph"/>
        <w:numPr>
          <w:ilvl w:val="0"/>
          <w:numId w:val="2"/>
        </w:numPr>
        <w:spacing w:line="360" w:lineRule="auto"/>
      </w:pPr>
      <w:r>
        <w:t xml:space="preserve">There are as many contracts A as there are tenderers. </w:t>
      </w:r>
    </w:p>
    <w:p w:rsidR="008B1E2C" w:rsidRDefault="008B1E2C" w:rsidP="008B1E2C">
      <w:pPr>
        <w:pStyle w:val="ListParagraph"/>
        <w:numPr>
          <w:ilvl w:val="0"/>
          <w:numId w:val="2"/>
        </w:numPr>
        <w:spacing w:line="360" w:lineRule="auto"/>
      </w:pPr>
      <w:r>
        <w:t>“The unobvious mistake” is where the owner couldn’t independently discover the mistake. Recognition of contract A was remarkable. Formalized tendering process became a separately enforceable contract.</w:t>
      </w:r>
    </w:p>
    <w:p w:rsidR="008B1E2C" w:rsidRDefault="008B1E2C" w:rsidP="008B1E2C">
      <w:pPr>
        <w:spacing w:line="360" w:lineRule="auto"/>
      </w:pPr>
      <w:r>
        <w:lastRenderedPageBreak/>
        <w:t>From this we learnt hat when you set out a tender, you must:</w:t>
      </w:r>
    </w:p>
    <w:p w:rsidR="008B1E2C" w:rsidRDefault="008B1E2C" w:rsidP="008B1E2C">
      <w:pPr>
        <w:pStyle w:val="ListParagraph"/>
        <w:numPr>
          <w:ilvl w:val="0"/>
          <w:numId w:val="3"/>
        </w:numPr>
        <w:spacing w:line="360" w:lineRule="auto"/>
      </w:pPr>
      <w:r>
        <w:t>Carefully read the all the information and rules set out by the owner</w:t>
      </w:r>
    </w:p>
    <w:p w:rsidR="008B1E2C" w:rsidRDefault="008B1E2C" w:rsidP="008B1E2C">
      <w:pPr>
        <w:pStyle w:val="ListParagraph"/>
        <w:numPr>
          <w:ilvl w:val="0"/>
          <w:numId w:val="3"/>
        </w:numPr>
        <w:spacing w:line="360" w:lineRule="auto"/>
      </w:pPr>
      <w:r>
        <w:t xml:space="preserve">Make sure there is no unobvious mistake. </w:t>
      </w:r>
    </w:p>
    <w:p w:rsidR="008B1E2C" w:rsidRDefault="008B1E2C" w:rsidP="008B1E2C">
      <w:pPr>
        <w:pStyle w:val="Heading1"/>
        <w:spacing w:line="360" w:lineRule="auto"/>
        <w:rPr>
          <w:b/>
          <w:u w:val="single"/>
        </w:rPr>
      </w:pPr>
      <w:r>
        <w:rPr>
          <w:b/>
          <w:color w:val="auto"/>
          <w:u w:val="single"/>
        </w:rPr>
        <w:t>Q3</w:t>
      </w:r>
      <w:r w:rsidRPr="00A41506">
        <w:rPr>
          <w:b/>
          <w:color w:val="auto"/>
          <w:u w:val="single"/>
        </w:rPr>
        <w:t xml:space="preserve">: </w:t>
      </w:r>
      <w:r>
        <w:rPr>
          <w:b/>
          <w:color w:val="auto"/>
          <w:u w:val="single"/>
        </w:rPr>
        <w:t>Hypothetical (Negligence)</w:t>
      </w:r>
      <w:r w:rsidRPr="00A41506">
        <w:rPr>
          <w:b/>
          <w:color w:val="auto"/>
          <w:u w:val="single"/>
        </w:rPr>
        <w:t>:</w:t>
      </w:r>
      <w:r w:rsidRPr="00A41506">
        <w:rPr>
          <w:b/>
          <w:u w:val="single"/>
        </w:rPr>
        <w:t xml:space="preserve"> </w:t>
      </w:r>
    </w:p>
    <w:p w:rsidR="008B1E2C" w:rsidRDefault="008B1E2C" w:rsidP="008B1E2C">
      <w:pPr>
        <w:pStyle w:val="ListParagraph"/>
        <w:numPr>
          <w:ilvl w:val="0"/>
          <w:numId w:val="4"/>
        </w:numPr>
        <w:spacing w:line="360" w:lineRule="auto"/>
      </w:pPr>
      <w:r>
        <w:t>These facts raise the issue of unintentional tort (Negligence)</w:t>
      </w:r>
    </w:p>
    <w:p w:rsidR="008B1E2C" w:rsidRDefault="000814BD" w:rsidP="000814BD">
      <w:pPr>
        <w:pStyle w:val="ListParagraph"/>
        <w:numPr>
          <w:ilvl w:val="0"/>
          <w:numId w:val="4"/>
        </w:numPr>
        <w:spacing w:line="360" w:lineRule="auto"/>
      </w:pPr>
      <w:r>
        <w:t>Provided fault is found, the main goal is to compensate the victim, not punish the wrong dower</w:t>
      </w:r>
    </w:p>
    <w:p w:rsidR="008B1E2C" w:rsidRDefault="000814BD" w:rsidP="008B1E2C">
      <w:pPr>
        <w:pStyle w:val="ListParagraph"/>
        <w:numPr>
          <w:ilvl w:val="0"/>
          <w:numId w:val="4"/>
        </w:numPr>
        <w:spacing w:line="360" w:lineRule="auto"/>
      </w:pPr>
      <w:r>
        <w:t>The plaintiff is</w:t>
      </w:r>
      <w:r w:rsidR="007069D0">
        <w:t xml:space="preserve"> MC and the defendants are A &amp; XYZ. A &amp; XYZ</w:t>
      </w:r>
      <w:r>
        <w:t xml:space="preserve"> are potentially concurrent tortfeasors</w:t>
      </w:r>
      <w:r w:rsidR="007069D0">
        <w:t>, that is, they are both potentially liable to MC at the same time</w:t>
      </w:r>
    </w:p>
    <w:p w:rsidR="007069D0" w:rsidRDefault="007069D0" w:rsidP="008B1E2C">
      <w:pPr>
        <w:pStyle w:val="ListParagraph"/>
        <w:numPr>
          <w:ilvl w:val="0"/>
          <w:numId w:val="4"/>
        </w:numPr>
        <w:spacing w:line="360" w:lineRule="auto"/>
      </w:pPr>
      <w:r>
        <w:t>The plaintiff MC has to prove three things on a “balance of probabilities”</w:t>
      </w:r>
    </w:p>
    <w:p w:rsidR="007069D0" w:rsidRDefault="007069D0" w:rsidP="007069D0">
      <w:pPr>
        <w:pStyle w:val="ListParagraph"/>
        <w:numPr>
          <w:ilvl w:val="0"/>
          <w:numId w:val="5"/>
        </w:numPr>
        <w:spacing w:line="360" w:lineRule="auto"/>
      </w:pPr>
      <w:r>
        <w:t>Each A &amp; XYZ owe MC a duty of care</w:t>
      </w:r>
    </w:p>
    <w:p w:rsidR="007069D0" w:rsidRDefault="007069D0" w:rsidP="007069D0">
      <w:pPr>
        <w:pStyle w:val="ListParagraph"/>
        <w:numPr>
          <w:ilvl w:val="0"/>
          <w:numId w:val="5"/>
        </w:numPr>
        <w:spacing w:line="360" w:lineRule="auto"/>
      </w:pPr>
      <w:r>
        <w:t>A &amp; XYZ have breached their individual duty of care</w:t>
      </w:r>
    </w:p>
    <w:p w:rsidR="007069D0" w:rsidRDefault="007069D0" w:rsidP="007069D0">
      <w:pPr>
        <w:pStyle w:val="ListParagraph"/>
        <w:numPr>
          <w:ilvl w:val="0"/>
          <w:numId w:val="5"/>
        </w:numPr>
        <w:spacing w:line="360" w:lineRule="auto"/>
      </w:pPr>
      <w:r>
        <w:t>MC’s injuries are a direct result of these breach(</w:t>
      </w:r>
      <w:proofErr w:type="spellStart"/>
      <w:r>
        <w:t>es</w:t>
      </w:r>
      <w:proofErr w:type="spellEnd"/>
      <w:r>
        <w:t>)</w:t>
      </w:r>
    </w:p>
    <w:p w:rsidR="007069D0" w:rsidRDefault="007069D0" w:rsidP="007069D0">
      <w:pPr>
        <w:pStyle w:val="ListParagraph"/>
        <w:numPr>
          <w:ilvl w:val="0"/>
          <w:numId w:val="6"/>
        </w:numPr>
        <w:spacing w:line="360" w:lineRule="auto"/>
      </w:pPr>
      <w:r>
        <w:t>Each A &amp; XYZ owe MC a duty of care because it is reasonably foreseeable that MC could be injured as a result of their separate work. MC relied on each’s individual specialized skill, education and judgment as a professional (Hedley Byrne)</w:t>
      </w:r>
    </w:p>
    <w:p w:rsidR="007069D0" w:rsidRDefault="007069D0" w:rsidP="007069D0">
      <w:pPr>
        <w:pStyle w:val="ListParagraph"/>
        <w:numPr>
          <w:ilvl w:val="0"/>
          <w:numId w:val="6"/>
        </w:numPr>
        <w:spacing w:line="360" w:lineRule="auto"/>
      </w:pPr>
      <w:r>
        <w:t>To determine whether A &amp; XYZ have breached their duty of care, the court must first establish a standard of care, that is, what a reasonable person would have done in these circumstances</w:t>
      </w:r>
    </w:p>
    <w:p w:rsidR="007069D0" w:rsidRDefault="007069D0" w:rsidP="007069D0">
      <w:pPr>
        <w:pStyle w:val="ListParagraph"/>
        <w:spacing w:line="360" w:lineRule="auto"/>
        <w:ind w:firstLine="720"/>
      </w:pPr>
      <w:r>
        <w:t>A Reasonable architect would have spent the extra money to do the tests on the soil. It appears that A has fell below that standard of care, and therefore, breached their duty of care.</w:t>
      </w:r>
    </w:p>
    <w:p w:rsidR="007069D0" w:rsidRDefault="007069D0" w:rsidP="007069D0">
      <w:pPr>
        <w:pStyle w:val="ListParagraph"/>
        <w:spacing w:line="360" w:lineRule="auto"/>
      </w:pPr>
      <w:r>
        <w:tab/>
        <w:t>A Reasonable engineering firm would have not accepted to construct the building knowing the tests have not been done. It appears that XYZ also f</w:t>
      </w:r>
      <w:r w:rsidR="006515C2">
        <w:t>ell below that standard of care, and therefore, breached their duty of care.</w:t>
      </w:r>
    </w:p>
    <w:p w:rsidR="006515C2" w:rsidRDefault="006515C2" w:rsidP="006515C2">
      <w:pPr>
        <w:pStyle w:val="ListParagraph"/>
        <w:numPr>
          <w:ilvl w:val="0"/>
          <w:numId w:val="6"/>
        </w:numPr>
        <w:spacing w:line="360" w:lineRule="auto"/>
      </w:pPr>
      <w:r>
        <w:t xml:space="preserve">MC’s injuries were a direct result of A &amp; XYZ breaches, but for </w:t>
      </w:r>
      <w:proofErr w:type="gramStart"/>
      <w:r>
        <w:t>A</w:t>
      </w:r>
      <w:proofErr w:type="gramEnd"/>
      <w:r>
        <w:t xml:space="preserve"> not to have paid the extra money to do the test, and for E not to have constructed it anyway. The building would not have collapsed.</w:t>
      </w:r>
    </w:p>
    <w:p w:rsidR="006515C2" w:rsidRDefault="006515C2" w:rsidP="006515C2">
      <w:pPr>
        <w:pStyle w:val="ListParagraph"/>
        <w:numPr>
          <w:ilvl w:val="0"/>
          <w:numId w:val="6"/>
        </w:numPr>
        <w:spacing w:line="360" w:lineRule="auto"/>
      </w:pPr>
      <w:r>
        <w:t>Therefore, A &amp; XYZ are concurrent tortfeasors, and liable in negligence to MC. The court would be required to divide liability on relative degrees of fault. I believe XYZ is more at fault for going through with the construction even though the architect did not pay for the test. Therefore, I believe the court should give A 30% liability and XYZ 70% liability.</w:t>
      </w:r>
    </w:p>
    <w:p w:rsidR="006515C2" w:rsidRDefault="006515C2" w:rsidP="006515C2">
      <w:pPr>
        <w:pStyle w:val="ListParagraph"/>
        <w:numPr>
          <w:ilvl w:val="0"/>
          <w:numId w:val="6"/>
        </w:numPr>
        <w:spacing w:line="360" w:lineRule="auto"/>
      </w:pPr>
      <w:r>
        <w:lastRenderedPageBreak/>
        <w:t>MC is then entitled to reasonably foreseeable damages, in this case include</w:t>
      </w:r>
      <w:r w:rsidR="000C3FCC">
        <w:t xml:space="preserve"> all</w:t>
      </w:r>
      <w:r>
        <w:t xml:space="preserve"> the cost</w:t>
      </w:r>
      <w:r w:rsidR="000C3FCC">
        <w:t>s associated with the repairs of the building and lost profits during the shutdown</w:t>
      </w:r>
      <w:r>
        <w:t>.</w:t>
      </w:r>
    </w:p>
    <w:p w:rsidR="00503666" w:rsidRPr="00503666" w:rsidRDefault="00503666" w:rsidP="00503666">
      <w:pPr>
        <w:pStyle w:val="Heading1"/>
        <w:spacing w:line="360" w:lineRule="auto"/>
        <w:rPr>
          <w:b/>
          <w:color w:val="auto"/>
          <w:u w:val="single"/>
        </w:rPr>
      </w:pPr>
      <w:r>
        <w:rPr>
          <w:b/>
          <w:color w:val="auto"/>
          <w:u w:val="single"/>
        </w:rPr>
        <w:t>Q4</w:t>
      </w:r>
      <w:r w:rsidRPr="00A41506">
        <w:rPr>
          <w:b/>
          <w:color w:val="auto"/>
          <w:u w:val="single"/>
        </w:rPr>
        <w:t xml:space="preserve">: </w:t>
      </w:r>
      <w:r>
        <w:rPr>
          <w:b/>
          <w:color w:val="auto"/>
          <w:u w:val="single"/>
        </w:rPr>
        <w:t>Hypothetical (GP/EE</w:t>
      </w:r>
      <w:r>
        <w:rPr>
          <w:b/>
          <w:color w:val="auto"/>
          <w:u w:val="single"/>
        </w:rPr>
        <w:t>)</w:t>
      </w:r>
      <w:r w:rsidRPr="00A41506">
        <w:rPr>
          <w:b/>
          <w:color w:val="auto"/>
          <w:u w:val="single"/>
        </w:rPr>
        <w:t>:</w:t>
      </w:r>
      <w:r w:rsidRPr="00A41506">
        <w:rPr>
          <w:b/>
          <w:u w:val="single"/>
        </w:rPr>
        <w:t xml:space="preserve"> </w:t>
      </w:r>
    </w:p>
    <w:p w:rsidR="00B35C7E" w:rsidRDefault="00503666" w:rsidP="00503666">
      <w:pPr>
        <w:pStyle w:val="ListParagraph"/>
        <w:numPr>
          <w:ilvl w:val="0"/>
          <w:numId w:val="7"/>
        </w:numPr>
      </w:pPr>
      <w:r>
        <w:t>This situation is one where a deadline needs to be met.</w:t>
      </w:r>
    </w:p>
    <w:p w:rsidR="00503666" w:rsidRDefault="00113042" w:rsidP="00503666">
      <w:pPr>
        <w:pStyle w:val="ListParagraph"/>
        <w:numPr>
          <w:ilvl w:val="0"/>
          <w:numId w:val="7"/>
        </w:numPr>
      </w:pPr>
      <w:r>
        <w:t>These facts raise the issue if gratuitous promise and equitable estoppel.</w:t>
      </w:r>
    </w:p>
    <w:p w:rsidR="00113042" w:rsidRDefault="00113042" w:rsidP="00503666">
      <w:pPr>
        <w:pStyle w:val="ListParagraph"/>
        <w:numPr>
          <w:ilvl w:val="0"/>
          <w:numId w:val="7"/>
        </w:numPr>
      </w:pPr>
      <w:r>
        <w:t xml:space="preserve">A gratuitous promise is a promise where there is no consideration given in exchange and because of that in contract law it is not enforceable. </w:t>
      </w:r>
    </w:p>
    <w:p w:rsidR="00113042" w:rsidRDefault="00113042" w:rsidP="00503666">
      <w:pPr>
        <w:pStyle w:val="ListParagraph"/>
        <w:numPr>
          <w:ilvl w:val="0"/>
          <w:numId w:val="7"/>
        </w:numPr>
      </w:pPr>
      <w:r>
        <w:t>In this case, when omega and alpha were talking and omega promised an extension on the deadline of the payments with nothing in return. That would be considered a gratuitous promise. One could imagine the conversation between both parties is not enforceable therefore the owner is entitled to terminating the contract (Void contract).</w:t>
      </w:r>
    </w:p>
    <w:p w:rsidR="00113042" w:rsidRDefault="00113042" w:rsidP="00503666">
      <w:pPr>
        <w:pStyle w:val="ListParagraph"/>
        <w:numPr>
          <w:ilvl w:val="0"/>
          <w:numId w:val="7"/>
        </w:numPr>
      </w:pPr>
      <w:r>
        <w:t>However, Alpha would argue that equitable estoppel applies. Equitable estoppel, is a principle that is meant to protect the legitimate reasonable expectations of someone who believes that the understanding between the parties now different.</w:t>
      </w:r>
    </w:p>
    <w:p w:rsidR="00113042" w:rsidRDefault="00113042" w:rsidP="00503666">
      <w:pPr>
        <w:pStyle w:val="ListParagraph"/>
        <w:numPr>
          <w:ilvl w:val="0"/>
          <w:numId w:val="7"/>
        </w:numPr>
      </w:pPr>
      <w:r>
        <w:t>Alpha has to prove three things:</w:t>
      </w:r>
    </w:p>
    <w:p w:rsidR="00113042" w:rsidRDefault="00113042" w:rsidP="00113042">
      <w:pPr>
        <w:pStyle w:val="ListParagraph"/>
        <w:numPr>
          <w:ilvl w:val="0"/>
          <w:numId w:val="8"/>
        </w:numPr>
      </w:pPr>
      <w:r>
        <w:t>There is a pre-existing contract</w:t>
      </w:r>
    </w:p>
    <w:p w:rsidR="00113042" w:rsidRDefault="00113042" w:rsidP="00113042">
      <w:pPr>
        <w:pStyle w:val="ListParagraph"/>
        <w:numPr>
          <w:ilvl w:val="0"/>
          <w:numId w:val="8"/>
        </w:numPr>
      </w:pPr>
      <w:r>
        <w:t>They were promised or reasonably led to believe that the strict terms of the contract would not be enforced</w:t>
      </w:r>
    </w:p>
    <w:p w:rsidR="00113042" w:rsidRDefault="00113042" w:rsidP="00113042">
      <w:pPr>
        <w:pStyle w:val="ListParagraph"/>
        <w:numPr>
          <w:ilvl w:val="0"/>
          <w:numId w:val="8"/>
        </w:numPr>
      </w:pPr>
      <w:r>
        <w:t>They relied on that promise and it affected their behaviour</w:t>
      </w:r>
    </w:p>
    <w:p w:rsidR="00113042" w:rsidRDefault="00113042" w:rsidP="00113042">
      <w:pPr>
        <w:pStyle w:val="ListParagraph"/>
        <w:numPr>
          <w:ilvl w:val="0"/>
          <w:numId w:val="9"/>
        </w:numPr>
      </w:pPr>
      <w:r>
        <w:t>Alpha would need to be able to provide evidence of a pre-existing contract to pay the invoices with all the terms of the contract</w:t>
      </w:r>
    </w:p>
    <w:p w:rsidR="00113042" w:rsidRDefault="00113042" w:rsidP="00113042">
      <w:pPr>
        <w:pStyle w:val="ListParagraph"/>
        <w:numPr>
          <w:ilvl w:val="0"/>
          <w:numId w:val="9"/>
        </w:numPr>
      </w:pPr>
      <w:r>
        <w:t>Even though Omega never said the words “I promise”, alpha was reasonably led to believe that the option period to pay the invoices has been extended as a results of their conversation, and that is different from the 10 days limit.</w:t>
      </w:r>
    </w:p>
    <w:p w:rsidR="00113042" w:rsidRDefault="00113042" w:rsidP="00113042">
      <w:pPr>
        <w:pStyle w:val="ListParagraph"/>
        <w:numPr>
          <w:ilvl w:val="0"/>
          <w:numId w:val="9"/>
        </w:numPr>
      </w:pPr>
      <w:r>
        <w:t>Alpha would have taken financial steps to ensure all future bills would be paid within 10 days instead of 15. However, felt comfortable due to precisely the conversation between both parties. Therefore, alpha relied on omegas promise and their behaviour was affected</w:t>
      </w:r>
    </w:p>
    <w:p w:rsidR="00113042" w:rsidRDefault="00113042" w:rsidP="00113042">
      <w:pPr>
        <w:pStyle w:val="ListParagraph"/>
        <w:numPr>
          <w:ilvl w:val="0"/>
          <w:numId w:val="9"/>
        </w:numPr>
      </w:pPr>
      <w:r>
        <w:t xml:space="preserve">Therefore, it is unfair of omega to rely on the strict terms of the contract. Omega is then “estopped” from terminating the contract. </w:t>
      </w:r>
    </w:p>
    <w:p w:rsidR="00113042" w:rsidRPr="00A41506" w:rsidRDefault="00113042" w:rsidP="00113042">
      <w:pPr>
        <w:pStyle w:val="ListParagraph"/>
        <w:numPr>
          <w:ilvl w:val="0"/>
          <w:numId w:val="9"/>
        </w:numPr>
      </w:pPr>
      <w:r>
        <w:t>These facts and results are similar to the “Owen sound case”</w:t>
      </w:r>
    </w:p>
    <w:sectPr w:rsidR="00113042" w:rsidRPr="00A415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0105B"/>
    <w:multiLevelType w:val="hybridMultilevel"/>
    <w:tmpl w:val="5C163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971BBC"/>
    <w:multiLevelType w:val="hybridMultilevel"/>
    <w:tmpl w:val="5ED0CC2E"/>
    <w:lvl w:ilvl="0" w:tplc="7B1AF97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3817A25"/>
    <w:multiLevelType w:val="hybridMultilevel"/>
    <w:tmpl w:val="8372212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 w15:restartNumberingAfterBreak="0">
    <w:nsid w:val="15F46EF2"/>
    <w:multiLevelType w:val="hybridMultilevel"/>
    <w:tmpl w:val="22568534"/>
    <w:lvl w:ilvl="0" w:tplc="7F823BD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26374F9C"/>
    <w:multiLevelType w:val="hybridMultilevel"/>
    <w:tmpl w:val="CDC0C7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E297ED8"/>
    <w:multiLevelType w:val="hybridMultilevel"/>
    <w:tmpl w:val="B6AA4C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B1109E2"/>
    <w:multiLevelType w:val="hybridMultilevel"/>
    <w:tmpl w:val="868E6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DF83EB5"/>
    <w:multiLevelType w:val="hybridMultilevel"/>
    <w:tmpl w:val="148A449A"/>
    <w:lvl w:ilvl="0" w:tplc="A16EA5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613453B4"/>
    <w:multiLevelType w:val="hybridMultilevel"/>
    <w:tmpl w:val="F03E1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A324B6A"/>
    <w:multiLevelType w:val="hybridMultilevel"/>
    <w:tmpl w:val="E0467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2"/>
  </w:num>
  <w:num w:numId="4">
    <w:abstractNumId w:val="4"/>
  </w:num>
  <w:num w:numId="5">
    <w:abstractNumId w:val="7"/>
  </w:num>
  <w:num w:numId="6">
    <w:abstractNumId w:val="5"/>
  </w:num>
  <w:num w:numId="7">
    <w:abstractNumId w:val="8"/>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C6C"/>
    <w:rsid w:val="000814BD"/>
    <w:rsid w:val="000C3FCC"/>
    <w:rsid w:val="00113042"/>
    <w:rsid w:val="001311F6"/>
    <w:rsid w:val="001F7E6E"/>
    <w:rsid w:val="002C54E4"/>
    <w:rsid w:val="004C669E"/>
    <w:rsid w:val="00503666"/>
    <w:rsid w:val="005118FA"/>
    <w:rsid w:val="00512E72"/>
    <w:rsid w:val="00514C6C"/>
    <w:rsid w:val="006440F1"/>
    <w:rsid w:val="006515C2"/>
    <w:rsid w:val="007069D0"/>
    <w:rsid w:val="008B1E2C"/>
    <w:rsid w:val="008D7072"/>
    <w:rsid w:val="00A41506"/>
    <w:rsid w:val="00B35C7E"/>
    <w:rsid w:val="00C70659"/>
    <w:rsid w:val="00E95B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8416C4-C387-431F-AFA7-0FB75C1E2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15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50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35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1325</Words>
  <Characters>7556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Georgio Feghali</dc:creator>
  <cp:keywords/>
  <dc:description/>
  <cp:lastModifiedBy>Georgio Feghaly</cp:lastModifiedBy>
  <cp:revision>11</cp:revision>
  <dcterms:created xsi:type="dcterms:W3CDTF">2017-06-19T01:00:00Z</dcterms:created>
  <dcterms:modified xsi:type="dcterms:W3CDTF">2017-06-19T01:54:00Z</dcterms:modified>
</cp:coreProperties>
</file>