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00937D" w14:textId="77777777" w:rsidR="00322959" w:rsidRPr="008A596A" w:rsidRDefault="008A596A">
      <w:pPr>
        <w:rPr>
          <w:b/>
          <w:sz w:val="24"/>
          <w:szCs w:val="24"/>
        </w:rPr>
      </w:pPr>
      <w:r w:rsidRPr="008A596A">
        <w:rPr>
          <w:b/>
          <w:sz w:val="24"/>
          <w:szCs w:val="24"/>
        </w:rPr>
        <w:t>Chapter 14:  Managing Health Related Risks</w:t>
      </w:r>
    </w:p>
    <w:p w14:paraId="6726EAF0" w14:textId="77777777" w:rsidR="0001402F" w:rsidRDefault="0001402F">
      <w:r>
        <w:t xml:space="preserve">The </w:t>
      </w:r>
      <w:r>
        <w:rPr>
          <w:i/>
        </w:rPr>
        <w:t>Canada Health Act</w:t>
      </w:r>
      <w:r>
        <w:t xml:space="preserve"> sets out the criteria and conditions to be met by provincial programs in order to be eligible for the full federal contributions.  The criteria are as follows:</w:t>
      </w:r>
    </w:p>
    <w:p w14:paraId="5B0FF2CB" w14:textId="77777777" w:rsidR="0001402F" w:rsidRDefault="0001402F">
      <w:r>
        <w:t xml:space="preserve">   a) </w:t>
      </w:r>
      <w:r>
        <w:rPr>
          <w:b/>
        </w:rPr>
        <w:t>Pubic administration</w:t>
      </w:r>
      <w:r>
        <w:tab/>
      </w:r>
      <w:r>
        <w:br/>
        <w:t xml:space="preserve">        - administered on a non-profit basis by a public authority </w:t>
      </w:r>
      <w:r>
        <w:br/>
        <w:t xml:space="preserve">   b) </w:t>
      </w:r>
      <w:r>
        <w:rPr>
          <w:b/>
        </w:rPr>
        <w:t>Comprehensive</w:t>
      </w:r>
      <w:r>
        <w:tab/>
      </w:r>
      <w:r>
        <w:br/>
        <w:t xml:space="preserve">        - cover all necessary hospital and medical services and surgical-dental services rendered in hospitals</w:t>
      </w:r>
      <w:r>
        <w:br/>
        <w:t xml:space="preserve">   c) </w:t>
      </w:r>
      <w:r w:rsidR="00762E20">
        <w:rPr>
          <w:b/>
        </w:rPr>
        <w:t>Universal</w:t>
      </w:r>
      <w:r w:rsidR="00762E20">
        <w:br/>
        <w:t xml:space="preserve">        - 100% of the province’s residents must be entitled to insured health services</w:t>
      </w:r>
      <w:r w:rsidR="00762E20">
        <w:br/>
        <w:t xml:space="preserve">   d) </w:t>
      </w:r>
      <w:r w:rsidR="00762E20">
        <w:rPr>
          <w:b/>
        </w:rPr>
        <w:t>Portable</w:t>
      </w:r>
      <w:r w:rsidR="00762E20">
        <w:br/>
        <w:t xml:space="preserve">        - coverage must be portable from one province to another</w:t>
      </w:r>
      <w:r w:rsidR="00762E20">
        <w:br/>
        <w:t xml:space="preserve">   e) </w:t>
      </w:r>
      <w:r w:rsidR="00762E20">
        <w:rPr>
          <w:b/>
        </w:rPr>
        <w:t>Accessible</w:t>
      </w:r>
      <w:r w:rsidR="00762E20">
        <w:rPr>
          <w:b/>
        </w:rPr>
        <w:br/>
      </w:r>
      <w:r w:rsidR="00762E20">
        <w:t xml:space="preserve">        - insured services must be provided on uniform terms and conditions for all residents</w:t>
      </w:r>
    </w:p>
    <w:p w14:paraId="0DE24E62" w14:textId="77777777" w:rsidR="00762E20" w:rsidRDefault="00177940">
      <w:r>
        <w:rPr>
          <w:b/>
        </w:rPr>
        <w:t>Excessive Utilization</w:t>
      </w:r>
      <w:r>
        <w:t xml:space="preserve"> – occurring when a patient receives care for which the cost of providing the care exceeds the expected benefit to the patient</w:t>
      </w:r>
    </w:p>
    <w:p w14:paraId="3DE5CA03" w14:textId="77777777" w:rsidR="001D1156" w:rsidRDefault="001D1156">
      <w:r>
        <w:t xml:space="preserve">Many medical plans cap the maximum out-of-pocket cost for eligible expenses during the year using a </w:t>
      </w:r>
      <w:r w:rsidRPr="001D1156">
        <w:rPr>
          <w:b/>
        </w:rPr>
        <w:t>s</w:t>
      </w:r>
      <w:r>
        <w:rPr>
          <w:b/>
        </w:rPr>
        <w:t>top loss clause</w:t>
      </w:r>
      <w:r>
        <w:t xml:space="preserve"> which specifies that the medical plan will pay 100% of eligible expenses once the insured has paid a specified amount under the co-insurance clause.  </w:t>
      </w:r>
      <w:r w:rsidR="00C17AB9">
        <w:t xml:space="preserve">For example, the stop loss clause might limit the insured’s maximum out-of-pocket cost from the application of co-insurance to $1,500 in a year.  </w:t>
      </w:r>
    </w:p>
    <w:p w14:paraId="3383A8B6" w14:textId="77777777" w:rsidR="008E5EB5" w:rsidRDefault="008E5EB5">
      <w:r>
        <w:rPr>
          <w:b/>
        </w:rPr>
        <w:t>Disability Insurance</w:t>
      </w:r>
      <w:r>
        <w:t xml:space="preserve"> is very important since the chances of suffering a disability greatly outweigh the probability of dying prematurely.  It is an important risk to manage since expenses during a disability typically continue, yet income can be dramatically reduced.  </w:t>
      </w:r>
    </w:p>
    <w:p w14:paraId="5CEC1CDE" w14:textId="77777777" w:rsidR="003C3FA3" w:rsidRDefault="003C3FA3">
      <w:r>
        <w:rPr>
          <w:b/>
        </w:rPr>
        <w:t>Short-term disability income</w:t>
      </w:r>
      <w:r>
        <w:t xml:space="preserve"> (STDI) policies are for disabilities of durations typically between 6 and 12 months.  Long-term disability income (LTDI) policies cover disabilities after the coverage period of the STDI policy have been exhausted, typically up to age 65.  </w:t>
      </w:r>
    </w:p>
    <w:p w14:paraId="691C46D0" w14:textId="77777777" w:rsidR="00FB12B1" w:rsidRDefault="00FB12B1">
      <w:r>
        <w:rPr>
          <w:b/>
        </w:rPr>
        <w:t>Elimination period</w:t>
      </w:r>
      <w:r>
        <w:t xml:space="preserve"> – a time deductible that tends to be relatively short (typically 15 or 30 days) in STDI policies; for LTDI policies, the elimination period normally should not be longer than the maximum limit of the TDI policy</w:t>
      </w:r>
    </w:p>
    <w:p w14:paraId="7CD5956A" w14:textId="77777777" w:rsidR="00406079" w:rsidRDefault="00406079">
      <w:r>
        <w:t xml:space="preserve">Some policies are designed to pay </w:t>
      </w:r>
      <w:r>
        <w:rPr>
          <w:b/>
        </w:rPr>
        <w:t>partial benefits</w:t>
      </w:r>
      <w:r>
        <w:t xml:space="preserve"> when a person is unable to do all the duties of their job or is unable to work a full work week.  </w:t>
      </w:r>
      <w:r w:rsidR="00B34089">
        <w:t xml:space="preserve">When a person is considered partially disabled, and the policy provides these additional benefits, he will be paid some proportional amount under the disability policy that will help to make up the shortfall.  </w:t>
      </w:r>
    </w:p>
    <w:p w14:paraId="28D20D61" w14:textId="77777777" w:rsidR="000D25B6" w:rsidRDefault="000D25B6">
      <w:r>
        <w:rPr>
          <w:b/>
        </w:rPr>
        <w:t xml:space="preserve">Critical Illness (CI) </w:t>
      </w:r>
      <w:r>
        <w:t xml:space="preserve">insurance coverage was developed as a response to the need for additional protection associated with the financial costs and prolonged lifespan that accompany modern medical advances.  </w:t>
      </w:r>
    </w:p>
    <w:p w14:paraId="1D57FE1C" w14:textId="77777777" w:rsidR="000D25B6" w:rsidRDefault="000D25B6">
      <w:r>
        <w:lastRenderedPageBreak/>
        <w:t xml:space="preserve">A CI policy generally pays the entire face value of the policy after the diagnosis of one of the critical illnesses stated in the policy and after a post-diagnosis waiting period, commonly referred to as the </w:t>
      </w:r>
      <w:r>
        <w:rPr>
          <w:b/>
        </w:rPr>
        <w:t>survival period</w:t>
      </w:r>
      <w:r w:rsidR="006D7FB5">
        <w:t xml:space="preserve"> (usually 30 days).  </w:t>
      </w:r>
    </w:p>
    <w:p w14:paraId="53BC30AB" w14:textId="77777777" w:rsidR="001A41C6" w:rsidRDefault="001A41C6">
      <w:r>
        <w:rPr>
          <w:b/>
        </w:rPr>
        <w:t>Long-Term Care Insurance (LTC)</w:t>
      </w:r>
      <w:r>
        <w:t xml:space="preserve"> plans provide assistance </w:t>
      </w:r>
      <w:r w:rsidR="00593E29">
        <w:t>to the</w:t>
      </w:r>
      <w:r>
        <w:t xml:space="preserve"> aging population</w:t>
      </w:r>
      <w:r w:rsidR="00593E29">
        <w:t xml:space="preserve"> whose</w:t>
      </w:r>
      <w:r>
        <w:t xml:space="preserve"> i</w:t>
      </w:r>
      <w:r w:rsidR="00A307CA">
        <w:t xml:space="preserve">llnesses and disabilities </w:t>
      </w:r>
      <w:r>
        <w:t xml:space="preserve">often require ongoing care but not to a level requiring hospitalization.  </w:t>
      </w:r>
      <w:r w:rsidR="00FD7C7C">
        <w:t>T</w:t>
      </w:r>
      <w:r>
        <w:t>ypically</w:t>
      </w:r>
      <w:r w:rsidR="00FD7C7C">
        <w:t xml:space="preserve"> these plans</w:t>
      </w:r>
      <w:r>
        <w:t xml:space="preserve"> provide permanent coverage but require a premium payment for no more than twenty years.</w:t>
      </w:r>
    </w:p>
    <w:p w14:paraId="75A3E84F" w14:textId="77777777" w:rsidR="00451B6F" w:rsidRDefault="00451B6F">
      <w:r>
        <w:t>The two main components of a long term care insurance policy are payments toward:</w:t>
      </w:r>
    </w:p>
    <w:p w14:paraId="2C1416E3" w14:textId="77777777" w:rsidR="006B0BEB" w:rsidRPr="006B0BEB" w:rsidRDefault="00451B6F">
      <w:r>
        <w:t xml:space="preserve">a)  </w:t>
      </w:r>
      <w:r>
        <w:rPr>
          <w:b/>
        </w:rPr>
        <w:t>Home Care</w:t>
      </w:r>
      <w:r>
        <w:t xml:space="preserve"> – care that is provided to the insured in her home, assisting with activities of daily living</w:t>
      </w:r>
      <w:r>
        <w:br/>
      </w:r>
      <w:proofErr w:type="gramStart"/>
      <w:r>
        <w:t xml:space="preserve">b)  </w:t>
      </w:r>
      <w:r>
        <w:rPr>
          <w:b/>
        </w:rPr>
        <w:t>Facility</w:t>
      </w:r>
      <w:proofErr w:type="gramEnd"/>
      <w:r>
        <w:rPr>
          <w:b/>
        </w:rPr>
        <w:t xml:space="preserve"> Care</w:t>
      </w:r>
      <w:r>
        <w:t xml:space="preserve"> – care that is provided in a certified facility in the province, by trained and licensed staff</w:t>
      </w:r>
    </w:p>
    <w:p w14:paraId="19BEC36E" w14:textId="77777777" w:rsidR="006B0BEB" w:rsidRDefault="006B0BEB">
      <w:pPr>
        <w:rPr>
          <w:b/>
        </w:rPr>
      </w:pPr>
    </w:p>
    <w:p w14:paraId="465C18F2" w14:textId="77777777" w:rsidR="006B0BEB" w:rsidRDefault="006B0BEB">
      <w:pPr>
        <w:rPr>
          <w:b/>
        </w:rPr>
      </w:pPr>
      <w:r w:rsidRPr="006B0BEB">
        <w:rPr>
          <w:b/>
        </w:rPr>
        <w:t>Questions</w:t>
      </w:r>
    </w:p>
    <w:p w14:paraId="5635C86A" w14:textId="77777777" w:rsidR="006B0BEB" w:rsidRPr="00422E7E" w:rsidRDefault="006B0BEB" w:rsidP="006B0BEB">
      <w:pPr>
        <w:rPr>
          <w:rFonts w:ascii="Times New Roman" w:hAnsi="Times New Roman" w:cs="Times New Roman"/>
          <w:sz w:val="24"/>
          <w:szCs w:val="24"/>
        </w:rPr>
      </w:pPr>
      <w:r w:rsidRPr="00422E7E">
        <w:rPr>
          <w:rFonts w:ascii="Times New Roman" w:hAnsi="Times New Roman" w:cs="Times New Roman"/>
          <w:sz w:val="24"/>
          <w:szCs w:val="24"/>
        </w:rPr>
        <w:t>Why have health care costs increased?</w:t>
      </w:r>
    </w:p>
    <w:p w14:paraId="685675CE" w14:textId="77777777" w:rsidR="006B0BEB" w:rsidRPr="00422E7E" w:rsidRDefault="006B0BEB" w:rsidP="006B0BEB">
      <w:pPr>
        <w:spacing w:after="0" w:line="240" w:lineRule="auto"/>
        <w:rPr>
          <w:rFonts w:ascii="Times New Roman" w:hAnsi="Times New Roman" w:cs="Times New Roman"/>
          <w:sz w:val="24"/>
          <w:szCs w:val="24"/>
        </w:rPr>
      </w:pPr>
      <w:r w:rsidRPr="00422E7E">
        <w:rPr>
          <w:rFonts w:ascii="Times New Roman" w:hAnsi="Times New Roman" w:cs="Times New Roman"/>
          <w:iCs/>
          <w:sz w:val="24"/>
          <w:szCs w:val="24"/>
        </w:rPr>
        <w:t xml:space="preserve">M/C: The Canadian Health Act sets out criteria that provinces must meet </w:t>
      </w:r>
      <w:proofErr w:type="gramStart"/>
      <w:r w:rsidRPr="00422E7E">
        <w:rPr>
          <w:rFonts w:ascii="Times New Roman" w:hAnsi="Times New Roman" w:cs="Times New Roman"/>
          <w:iCs/>
          <w:sz w:val="24"/>
          <w:szCs w:val="24"/>
        </w:rPr>
        <w:t>in order to</w:t>
      </w:r>
      <w:proofErr w:type="gramEnd"/>
      <w:r w:rsidRPr="00422E7E">
        <w:rPr>
          <w:rFonts w:ascii="Times New Roman" w:hAnsi="Times New Roman" w:cs="Times New Roman"/>
          <w:iCs/>
          <w:sz w:val="24"/>
          <w:szCs w:val="24"/>
        </w:rPr>
        <w:t xml:space="preserve"> be eligible for full federal support. Which of the following is NOT one of the criteria that must be met?</w:t>
      </w:r>
    </w:p>
    <w:p w14:paraId="57F23DDF" w14:textId="77777777" w:rsidR="006B0BEB" w:rsidRPr="00422E7E" w:rsidRDefault="006B0BEB" w:rsidP="006B0BEB">
      <w:pPr>
        <w:numPr>
          <w:ilvl w:val="0"/>
          <w:numId w:val="1"/>
        </w:numPr>
        <w:spacing w:after="0" w:line="240" w:lineRule="auto"/>
        <w:rPr>
          <w:rFonts w:ascii="Times New Roman" w:hAnsi="Times New Roman" w:cs="Times New Roman"/>
          <w:sz w:val="24"/>
          <w:szCs w:val="24"/>
        </w:rPr>
      </w:pPr>
      <w:r w:rsidRPr="00422E7E">
        <w:rPr>
          <w:rFonts w:ascii="Times New Roman" w:hAnsi="Times New Roman" w:cs="Times New Roman"/>
          <w:iCs/>
          <w:sz w:val="24"/>
          <w:szCs w:val="24"/>
        </w:rPr>
        <w:t>Plans must be universal; 100% of each province’s residents and visitors must be entitled to insured health services.</w:t>
      </w:r>
    </w:p>
    <w:p w14:paraId="033C6C48" w14:textId="77777777" w:rsidR="006B0BEB" w:rsidRPr="00422E7E" w:rsidRDefault="006B0BEB" w:rsidP="006B0BEB">
      <w:pPr>
        <w:numPr>
          <w:ilvl w:val="0"/>
          <w:numId w:val="1"/>
        </w:numPr>
        <w:spacing w:after="0" w:line="240" w:lineRule="auto"/>
        <w:rPr>
          <w:rFonts w:ascii="Times New Roman" w:hAnsi="Times New Roman" w:cs="Times New Roman"/>
          <w:sz w:val="24"/>
          <w:szCs w:val="24"/>
        </w:rPr>
      </w:pPr>
      <w:r w:rsidRPr="00422E7E">
        <w:rPr>
          <w:rFonts w:ascii="Times New Roman" w:hAnsi="Times New Roman" w:cs="Times New Roman"/>
          <w:iCs/>
          <w:sz w:val="24"/>
          <w:szCs w:val="24"/>
        </w:rPr>
        <w:t>Provincial plans are comprehensive; plans cover all necessary hospital and medical services and surgical-dental services rendered in hospitals.</w:t>
      </w:r>
    </w:p>
    <w:p w14:paraId="4012B895" w14:textId="77777777" w:rsidR="006B0BEB" w:rsidRPr="00422E7E" w:rsidRDefault="006B0BEB" w:rsidP="006B0BEB">
      <w:pPr>
        <w:numPr>
          <w:ilvl w:val="0"/>
          <w:numId w:val="1"/>
        </w:numPr>
        <w:spacing w:after="0" w:line="240" w:lineRule="auto"/>
        <w:rPr>
          <w:rFonts w:ascii="Times New Roman" w:hAnsi="Times New Roman" w:cs="Times New Roman"/>
          <w:sz w:val="24"/>
          <w:szCs w:val="24"/>
        </w:rPr>
      </w:pPr>
      <w:r w:rsidRPr="00422E7E">
        <w:rPr>
          <w:rFonts w:ascii="Times New Roman" w:hAnsi="Times New Roman" w:cs="Times New Roman"/>
          <w:iCs/>
          <w:sz w:val="24"/>
          <w:szCs w:val="24"/>
        </w:rPr>
        <w:t>Provincial plans must be portable from one province to another with waiting periods for new residents of no greater than 3 months.</w:t>
      </w:r>
    </w:p>
    <w:p w14:paraId="29400F57" w14:textId="77777777" w:rsidR="006B0BEB" w:rsidRPr="00422E7E" w:rsidRDefault="006B0BEB" w:rsidP="006B0BEB">
      <w:pPr>
        <w:pStyle w:val="ListParagraph"/>
        <w:numPr>
          <w:ilvl w:val="0"/>
          <w:numId w:val="1"/>
        </w:numPr>
      </w:pPr>
      <w:r w:rsidRPr="00422E7E">
        <w:rPr>
          <w:iCs/>
        </w:rPr>
        <w:t>Plans must be accessible; services must be provided on uniform terms and conditions to all those eligible to receive insured services.</w:t>
      </w:r>
    </w:p>
    <w:p w14:paraId="1999339B" w14:textId="77777777" w:rsidR="006B0BEB" w:rsidRPr="00422E7E" w:rsidRDefault="006B0BEB" w:rsidP="006B0BEB">
      <w:pPr>
        <w:rPr>
          <w:rFonts w:ascii="Times New Roman" w:hAnsi="Times New Roman" w:cs="Times New Roman"/>
          <w:sz w:val="24"/>
          <w:szCs w:val="24"/>
        </w:rPr>
      </w:pPr>
    </w:p>
    <w:p w14:paraId="255D8139" w14:textId="77777777" w:rsidR="006B0BEB" w:rsidRPr="00422E7E" w:rsidRDefault="006B0BEB" w:rsidP="006B0BEB">
      <w:pPr>
        <w:spacing w:after="0" w:line="240" w:lineRule="auto"/>
        <w:rPr>
          <w:rFonts w:ascii="Times New Roman" w:hAnsi="Times New Roman" w:cs="Times New Roman"/>
          <w:sz w:val="24"/>
          <w:szCs w:val="24"/>
        </w:rPr>
      </w:pPr>
      <w:r w:rsidRPr="00422E7E">
        <w:rPr>
          <w:rFonts w:ascii="Times New Roman" w:hAnsi="Times New Roman" w:cs="Times New Roman"/>
          <w:sz w:val="24"/>
          <w:szCs w:val="24"/>
        </w:rPr>
        <w:t xml:space="preserve">S/A: </w:t>
      </w:r>
      <w:r w:rsidRPr="00422E7E">
        <w:rPr>
          <w:rFonts w:ascii="Times New Roman" w:hAnsi="Times New Roman" w:cs="Times New Roman"/>
          <w:iCs/>
          <w:sz w:val="24"/>
          <w:szCs w:val="24"/>
        </w:rPr>
        <w:t>Why does the separation of the provision of care and the provision of financing increase moral hazard in the health care market</w:t>
      </w:r>
      <w:r w:rsidRPr="00422E7E">
        <w:rPr>
          <w:rFonts w:ascii="Times New Roman" w:hAnsi="Times New Roman" w:cs="Times New Roman"/>
          <w:iCs/>
          <w:sz w:val="24"/>
          <w:szCs w:val="24"/>
          <w:lang w:val="en-GB"/>
        </w:rPr>
        <w:t xml:space="preserve">? </w:t>
      </w:r>
    </w:p>
    <w:p w14:paraId="0F333F3A" w14:textId="77777777" w:rsidR="006B0BEB" w:rsidRPr="006B0BEB" w:rsidRDefault="006B0BEB">
      <w:pPr>
        <w:rPr>
          <w:b/>
        </w:rPr>
      </w:pPr>
      <w:bookmarkStart w:id="0" w:name="_GoBack"/>
      <w:bookmarkEnd w:id="0"/>
    </w:p>
    <w:sectPr w:rsidR="006B0BEB" w:rsidRPr="006B0B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3A48D0"/>
    <w:multiLevelType w:val="hybridMultilevel"/>
    <w:tmpl w:val="1450C060"/>
    <w:lvl w:ilvl="0" w:tplc="D38E88AA">
      <w:start w:val="1"/>
      <w:numFmt w:val="lowerLetter"/>
      <w:lvlText w:val="%1."/>
      <w:lvlJc w:val="left"/>
      <w:pPr>
        <w:tabs>
          <w:tab w:val="num" w:pos="720"/>
        </w:tabs>
        <w:ind w:left="720" w:hanging="360"/>
      </w:pPr>
    </w:lvl>
    <w:lvl w:ilvl="1" w:tplc="5AC6E43A" w:tentative="1">
      <w:start w:val="1"/>
      <w:numFmt w:val="lowerLetter"/>
      <w:lvlText w:val="%2."/>
      <w:lvlJc w:val="left"/>
      <w:pPr>
        <w:tabs>
          <w:tab w:val="num" w:pos="1440"/>
        </w:tabs>
        <w:ind w:left="1440" w:hanging="360"/>
      </w:pPr>
    </w:lvl>
    <w:lvl w:ilvl="2" w:tplc="4406F236" w:tentative="1">
      <w:start w:val="1"/>
      <w:numFmt w:val="lowerLetter"/>
      <w:lvlText w:val="%3."/>
      <w:lvlJc w:val="left"/>
      <w:pPr>
        <w:tabs>
          <w:tab w:val="num" w:pos="2160"/>
        </w:tabs>
        <w:ind w:left="2160" w:hanging="360"/>
      </w:pPr>
    </w:lvl>
    <w:lvl w:ilvl="3" w:tplc="A8124416" w:tentative="1">
      <w:start w:val="1"/>
      <w:numFmt w:val="lowerLetter"/>
      <w:lvlText w:val="%4."/>
      <w:lvlJc w:val="left"/>
      <w:pPr>
        <w:tabs>
          <w:tab w:val="num" w:pos="2880"/>
        </w:tabs>
        <w:ind w:left="2880" w:hanging="360"/>
      </w:pPr>
    </w:lvl>
    <w:lvl w:ilvl="4" w:tplc="75329BDA" w:tentative="1">
      <w:start w:val="1"/>
      <w:numFmt w:val="lowerLetter"/>
      <w:lvlText w:val="%5."/>
      <w:lvlJc w:val="left"/>
      <w:pPr>
        <w:tabs>
          <w:tab w:val="num" w:pos="3600"/>
        </w:tabs>
        <w:ind w:left="3600" w:hanging="360"/>
      </w:pPr>
    </w:lvl>
    <w:lvl w:ilvl="5" w:tplc="A86CC2F2" w:tentative="1">
      <w:start w:val="1"/>
      <w:numFmt w:val="lowerLetter"/>
      <w:lvlText w:val="%6."/>
      <w:lvlJc w:val="left"/>
      <w:pPr>
        <w:tabs>
          <w:tab w:val="num" w:pos="4320"/>
        </w:tabs>
        <w:ind w:left="4320" w:hanging="360"/>
      </w:pPr>
    </w:lvl>
    <w:lvl w:ilvl="6" w:tplc="73342B56" w:tentative="1">
      <w:start w:val="1"/>
      <w:numFmt w:val="lowerLetter"/>
      <w:lvlText w:val="%7."/>
      <w:lvlJc w:val="left"/>
      <w:pPr>
        <w:tabs>
          <w:tab w:val="num" w:pos="5040"/>
        </w:tabs>
        <w:ind w:left="5040" w:hanging="360"/>
      </w:pPr>
    </w:lvl>
    <w:lvl w:ilvl="7" w:tplc="F5A8C244" w:tentative="1">
      <w:start w:val="1"/>
      <w:numFmt w:val="lowerLetter"/>
      <w:lvlText w:val="%8."/>
      <w:lvlJc w:val="left"/>
      <w:pPr>
        <w:tabs>
          <w:tab w:val="num" w:pos="5760"/>
        </w:tabs>
        <w:ind w:left="5760" w:hanging="360"/>
      </w:pPr>
    </w:lvl>
    <w:lvl w:ilvl="8" w:tplc="4164EFDC" w:tentative="1">
      <w:start w:val="1"/>
      <w:numFmt w:val="lowerLetter"/>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96A"/>
    <w:rsid w:val="0001402F"/>
    <w:rsid w:val="000D25B6"/>
    <w:rsid w:val="00177940"/>
    <w:rsid w:val="001A41C6"/>
    <w:rsid w:val="001D1156"/>
    <w:rsid w:val="00322959"/>
    <w:rsid w:val="003C3FA3"/>
    <w:rsid w:val="00406079"/>
    <w:rsid w:val="00451B6F"/>
    <w:rsid w:val="00593E29"/>
    <w:rsid w:val="006B0BEB"/>
    <w:rsid w:val="006D7FB5"/>
    <w:rsid w:val="00762E20"/>
    <w:rsid w:val="008A596A"/>
    <w:rsid w:val="008E5EB5"/>
    <w:rsid w:val="00900396"/>
    <w:rsid w:val="009567DF"/>
    <w:rsid w:val="00A307CA"/>
    <w:rsid w:val="00B34089"/>
    <w:rsid w:val="00C17AB9"/>
    <w:rsid w:val="00FB12B1"/>
    <w:rsid w:val="00FD7C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D45A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0BEB"/>
    <w:pPr>
      <w:spacing w:after="0" w:line="240" w:lineRule="auto"/>
      <w:ind w:left="720"/>
      <w:contextualSpacing/>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655</Words>
  <Characters>3740</Characters>
  <Application>Microsoft Macintosh Word</Application>
  <DocSecurity>0</DocSecurity>
  <Lines>31</Lines>
  <Paragraphs>8</Paragraphs>
  <ScaleCrop>false</ScaleCrop>
  <Company/>
  <LinksUpToDate>false</LinksUpToDate>
  <CharactersWithSpaces>4387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Microsoft Office User</cp:lastModifiedBy>
  <cp:revision>21</cp:revision>
  <dcterms:created xsi:type="dcterms:W3CDTF">2013-07-08T03:58:00Z</dcterms:created>
  <dcterms:modified xsi:type="dcterms:W3CDTF">2019-07-23T18:33:00Z</dcterms:modified>
</cp:coreProperties>
</file>