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2659" w:rsidRPr="00C62659" w:rsidRDefault="00C62659" w:rsidP="00C62659">
      <w:pPr>
        <w:spacing w:before="100" w:beforeAutospacing="1" w:after="100" w:afterAutospacing="1"/>
        <w:jc w:val="center"/>
        <w:outlineLvl w:val="1"/>
        <w:rPr>
          <w:rFonts w:ascii="-webkit-standard" w:eastAsia="Times New Roman" w:hAnsi="-webkit-standard" w:cs="Times New Roman"/>
          <w:b/>
          <w:bCs/>
          <w:color w:val="003835"/>
          <w:sz w:val="36"/>
          <w:szCs w:val="36"/>
          <w:u w:val="single"/>
          <w:lang w:val="en-CA"/>
        </w:rPr>
      </w:pPr>
      <w:bookmarkStart w:id="0" w:name="_GoBack"/>
      <w:bookmarkEnd w:id="0"/>
      <w:r w:rsidRPr="00C62659">
        <w:rPr>
          <w:rFonts w:ascii="-webkit-standard" w:eastAsia="Times New Roman" w:hAnsi="-webkit-standard" w:cs="Times New Roman"/>
          <w:b/>
          <w:bCs/>
          <w:color w:val="003835"/>
          <w:sz w:val="36"/>
          <w:szCs w:val="36"/>
          <w:u w:val="single"/>
          <w:lang w:val="en-CA"/>
        </w:rPr>
        <w:t>Chapter 1</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t>LO1 – Define accounting.</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Accounting is the process of identifying, measuring, recording, and communicating an organization's economic activities to users for decision making. Internal users work for the organization while external users do not. Managerial accounting serves the decision-making needs of internal users. Financial accounting focuses on external reporting to meet the needs of external users.</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t>LO2 – Identify and describe the forms of business organization.</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The three forms of business organizations are a proprietorship, partnership, and corporation.</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The following chart summarizes the key characteristics of each form of business organization.</w:t>
      </w:r>
    </w:p>
    <w:tbl>
      <w:tblPr>
        <w:tblW w:w="0" w:type="auto"/>
        <w:tblCellMar>
          <w:top w:w="100" w:type="dxa"/>
          <w:left w:w="100" w:type="dxa"/>
          <w:bottom w:w="100" w:type="dxa"/>
          <w:right w:w="100" w:type="dxa"/>
        </w:tblCellMar>
        <w:tblLook w:val="04A0" w:firstRow="1" w:lastRow="0" w:firstColumn="1" w:lastColumn="0" w:noHBand="0" w:noVBand="1"/>
      </w:tblPr>
      <w:tblGrid>
        <w:gridCol w:w="4750"/>
        <w:gridCol w:w="1610"/>
        <w:gridCol w:w="1317"/>
        <w:gridCol w:w="1370"/>
      </w:tblGrid>
      <w:tr w:rsidR="00C62659" w:rsidRPr="00C62659" w:rsidTr="00C62659">
        <w:tc>
          <w:tcPr>
            <w:tcW w:w="0" w:type="auto"/>
            <w:tcBorders>
              <w:top w:val="single" w:sz="6" w:space="0" w:color="000000"/>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b/>
                <w:bCs/>
                <w:lang w:val="en-CA"/>
              </w:rPr>
              <w:t>Characteristic</w:t>
            </w:r>
          </w:p>
        </w:tc>
        <w:tc>
          <w:tcPr>
            <w:tcW w:w="0" w:type="auto"/>
            <w:tcBorders>
              <w:top w:val="single" w:sz="6" w:space="0" w:color="000000"/>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b/>
                <w:bCs/>
                <w:lang w:val="en-CA"/>
              </w:rPr>
              <w:t>Proprietorship</w:t>
            </w:r>
          </w:p>
        </w:tc>
        <w:tc>
          <w:tcPr>
            <w:tcW w:w="0" w:type="auto"/>
            <w:tcBorders>
              <w:top w:val="single" w:sz="6" w:space="0" w:color="000000"/>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b/>
                <w:bCs/>
                <w:lang w:val="en-CA"/>
              </w:rPr>
              <w:t>Partnership</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b/>
                <w:bCs/>
                <w:lang w:val="en-CA"/>
              </w:rPr>
              <w:t>Corporation</w:t>
            </w:r>
          </w:p>
        </w:tc>
      </w:tr>
      <w:tr w:rsidR="00C62659" w:rsidRPr="00C62659" w:rsidTr="00C62659">
        <w:tc>
          <w:tcPr>
            <w:tcW w:w="0" w:type="auto"/>
            <w:tcBorders>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Separate legal entity </w:t>
            </w:r>
          </w:p>
        </w:tc>
        <w:tc>
          <w:tcPr>
            <w:tcW w:w="0" w:type="auto"/>
            <w:tcBorders>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No </w:t>
            </w:r>
          </w:p>
        </w:tc>
        <w:tc>
          <w:tcPr>
            <w:tcW w:w="0" w:type="auto"/>
            <w:tcBorders>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No </w:t>
            </w:r>
          </w:p>
        </w:tc>
        <w:tc>
          <w:tcPr>
            <w:tcW w:w="0" w:type="auto"/>
            <w:tcBorders>
              <w:left w:val="single" w:sz="6" w:space="0" w:color="000000"/>
              <w:bottom w:val="single" w:sz="6" w:space="0" w:color="000000"/>
              <w:right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Yes </w:t>
            </w:r>
          </w:p>
        </w:tc>
      </w:tr>
      <w:tr w:rsidR="00C62659" w:rsidRPr="00C62659" w:rsidTr="00C62659">
        <w:tc>
          <w:tcPr>
            <w:tcW w:w="0" w:type="auto"/>
            <w:tcBorders>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Business income is taxed as part of the business </w:t>
            </w:r>
          </w:p>
        </w:tc>
        <w:tc>
          <w:tcPr>
            <w:tcW w:w="0" w:type="auto"/>
            <w:tcBorders>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No</w:t>
            </w:r>
            <w:hyperlink r:id="rId5" w:anchor="footnote3" w:history="1">
              <w:r w:rsidRPr="00C62659">
                <w:rPr>
                  <w:rFonts w:ascii="Times New Roman" w:eastAsia="Times New Roman" w:hAnsi="Times New Roman" w:cs="Times New Roman"/>
                  <w:color w:val="0000FF"/>
                  <w:sz w:val="19"/>
                  <w:szCs w:val="19"/>
                  <w:u w:val="single"/>
                  <w:vertAlign w:val="superscript"/>
                  <w:lang w:val="en-CA"/>
                </w:rPr>
                <w:t>3</w:t>
              </w:r>
            </w:hyperlink>
          </w:p>
        </w:tc>
        <w:tc>
          <w:tcPr>
            <w:tcW w:w="0" w:type="auto"/>
            <w:tcBorders>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No</w:t>
            </w:r>
            <w:hyperlink r:id="rId6" w:anchor="footnote4" w:history="1">
              <w:r w:rsidRPr="00C62659">
                <w:rPr>
                  <w:rFonts w:ascii="Times New Roman" w:eastAsia="Times New Roman" w:hAnsi="Times New Roman" w:cs="Times New Roman"/>
                  <w:color w:val="0000FF"/>
                  <w:sz w:val="19"/>
                  <w:szCs w:val="19"/>
                  <w:u w:val="single"/>
                  <w:vertAlign w:val="superscript"/>
                  <w:lang w:val="en-CA"/>
                </w:rPr>
                <w:t>4</w:t>
              </w:r>
            </w:hyperlink>
          </w:p>
        </w:tc>
        <w:tc>
          <w:tcPr>
            <w:tcW w:w="0" w:type="auto"/>
            <w:tcBorders>
              <w:left w:val="single" w:sz="6" w:space="0" w:color="000000"/>
              <w:bottom w:val="single" w:sz="6" w:space="0" w:color="000000"/>
              <w:right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Yes </w:t>
            </w:r>
          </w:p>
        </w:tc>
      </w:tr>
      <w:tr w:rsidR="00C62659" w:rsidRPr="00C62659" w:rsidTr="00C62659">
        <w:tc>
          <w:tcPr>
            <w:tcW w:w="0" w:type="auto"/>
            <w:tcBorders>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Unlimited liability </w:t>
            </w:r>
          </w:p>
        </w:tc>
        <w:tc>
          <w:tcPr>
            <w:tcW w:w="0" w:type="auto"/>
            <w:tcBorders>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Yes </w:t>
            </w:r>
          </w:p>
        </w:tc>
        <w:tc>
          <w:tcPr>
            <w:tcW w:w="0" w:type="auto"/>
            <w:tcBorders>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Yes </w:t>
            </w:r>
          </w:p>
        </w:tc>
        <w:tc>
          <w:tcPr>
            <w:tcW w:w="0" w:type="auto"/>
            <w:tcBorders>
              <w:left w:val="single" w:sz="6" w:space="0" w:color="000000"/>
              <w:bottom w:val="single" w:sz="6" w:space="0" w:color="000000"/>
              <w:right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No </w:t>
            </w:r>
          </w:p>
        </w:tc>
      </w:tr>
      <w:tr w:rsidR="00C62659" w:rsidRPr="00C62659" w:rsidTr="00C62659">
        <w:tc>
          <w:tcPr>
            <w:tcW w:w="0" w:type="auto"/>
            <w:tcBorders>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One owner permitted </w:t>
            </w:r>
          </w:p>
        </w:tc>
        <w:tc>
          <w:tcPr>
            <w:tcW w:w="0" w:type="auto"/>
            <w:tcBorders>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Yes </w:t>
            </w:r>
          </w:p>
        </w:tc>
        <w:tc>
          <w:tcPr>
            <w:tcW w:w="0" w:type="auto"/>
            <w:tcBorders>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No </w:t>
            </w:r>
          </w:p>
        </w:tc>
        <w:tc>
          <w:tcPr>
            <w:tcW w:w="0" w:type="auto"/>
            <w:tcBorders>
              <w:left w:val="single" w:sz="6" w:space="0" w:color="000000"/>
              <w:bottom w:val="single" w:sz="6" w:space="0" w:color="000000"/>
              <w:right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Yes</w:t>
            </w:r>
            <w:hyperlink r:id="rId7" w:anchor="footnote5" w:history="1">
              <w:r w:rsidRPr="00C62659">
                <w:rPr>
                  <w:rFonts w:ascii="Times New Roman" w:eastAsia="Times New Roman" w:hAnsi="Times New Roman" w:cs="Times New Roman"/>
                  <w:color w:val="0000FF"/>
                  <w:sz w:val="19"/>
                  <w:szCs w:val="19"/>
                  <w:u w:val="single"/>
                  <w:vertAlign w:val="superscript"/>
                  <w:lang w:val="en-CA"/>
                </w:rPr>
                <w:t>5</w:t>
              </w:r>
            </w:hyperlink>
          </w:p>
        </w:tc>
      </w:tr>
      <w:tr w:rsidR="00C62659" w:rsidRPr="00C62659" w:rsidTr="00C62659">
        <w:tc>
          <w:tcPr>
            <w:tcW w:w="0" w:type="auto"/>
            <w:tcBorders>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Board of Directors </w:t>
            </w:r>
          </w:p>
        </w:tc>
        <w:tc>
          <w:tcPr>
            <w:tcW w:w="0" w:type="auto"/>
            <w:tcBorders>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No </w:t>
            </w:r>
          </w:p>
        </w:tc>
        <w:tc>
          <w:tcPr>
            <w:tcW w:w="0" w:type="auto"/>
            <w:tcBorders>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No </w:t>
            </w:r>
          </w:p>
        </w:tc>
        <w:tc>
          <w:tcPr>
            <w:tcW w:w="0" w:type="auto"/>
            <w:tcBorders>
              <w:left w:val="single" w:sz="6" w:space="0" w:color="000000"/>
              <w:bottom w:val="single" w:sz="6" w:space="0" w:color="000000"/>
              <w:right w:val="single" w:sz="6" w:space="0" w:color="000000"/>
            </w:tcBorders>
            <w:tcMar>
              <w:top w:w="45" w:type="dxa"/>
              <w:left w:w="45" w:type="dxa"/>
              <w:bottom w:w="45" w:type="dxa"/>
              <w:right w:w="45" w:type="dxa"/>
            </w:tcMa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Yes </w:t>
            </w:r>
          </w:p>
        </w:tc>
      </w:tr>
    </w:tbl>
    <w:p w:rsidR="00C62659" w:rsidRPr="00C62659" w:rsidRDefault="00C62659" w:rsidP="00C62659">
      <w:pPr>
        <w:rPr>
          <w:rFonts w:ascii="-webkit-standard" w:eastAsia="Times New Roman" w:hAnsi="-webkit-standard" w:cs="Times New Roman"/>
          <w:color w:val="000000"/>
          <w:lang w:val="en-CA"/>
        </w:rPr>
      </w:pPr>
      <w:bookmarkStart w:id="1" w:name="footnote3"/>
      <w:r w:rsidRPr="00C62659">
        <w:rPr>
          <w:rFonts w:ascii="-webkit-standard" w:eastAsia="Times New Roman" w:hAnsi="-webkit-standard" w:cs="Times New Roman"/>
          <w:color w:val="000000"/>
          <w:lang w:val="en-CA"/>
        </w:rPr>
        <w:t>3.</w:t>
      </w:r>
      <w:bookmarkEnd w:id="1"/>
      <w:r w:rsidRPr="00C62659">
        <w:rPr>
          <w:rFonts w:ascii="-webkit-standard" w:eastAsia="Times New Roman" w:hAnsi="-webkit-standard" w:cs="Times New Roman"/>
          <w:color w:val="000000"/>
          <w:lang w:val="en-CA"/>
        </w:rPr>
        <w:t> Business income is added to the owner's personal income and the owner pays tax on the sum of the two.</w:t>
      </w:r>
    </w:p>
    <w:p w:rsidR="00C62659" w:rsidRPr="00C62659" w:rsidRDefault="00C62659" w:rsidP="00C62659">
      <w:pPr>
        <w:rPr>
          <w:rFonts w:ascii="-webkit-standard" w:eastAsia="Times New Roman" w:hAnsi="-webkit-standard" w:cs="Times New Roman"/>
          <w:color w:val="000000"/>
          <w:lang w:val="en-CA"/>
        </w:rPr>
      </w:pPr>
      <w:bookmarkStart w:id="2" w:name="footnote4"/>
      <w:r w:rsidRPr="00C62659">
        <w:rPr>
          <w:rFonts w:ascii="-webkit-standard" w:eastAsia="Times New Roman" w:hAnsi="-webkit-standard" w:cs="Times New Roman"/>
          <w:color w:val="000000"/>
          <w:lang w:val="en-CA"/>
        </w:rPr>
        <w:t>4.</w:t>
      </w:r>
      <w:bookmarkEnd w:id="2"/>
      <w:r w:rsidRPr="00C62659">
        <w:rPr>
          <w:rFonts w:ascii="-webkit-standard" w:eastAsia="Times New Roman" w:hAnsi="-webkit-standard" w:cs="Times New Roman"/>
          <w:color w:val="000000"/>
          <w:lang w:val="en-CA"/>
        </w:rPr>
        <w:t> Business income is added to the owner's personal income and the owner pays tax on the sum of the two.</w:t>
      </w:r>
    </w:p>
    <w:p w:rsidR="00C62659" w:rsidRPr="00C62659" w:rsidRDefault="00C62659" w:rsidP="00C62659">
      <w:pPr>
        <w:rPr>
          <w:rFonts w:ascii="-webkit-standard" w:eastAsia="Times New Roman" w:hAnsi="-webkit-standard" w:cs="Times New Roman"/>
          <w:color w:val="000000"/>
          <w:lang w:val="en-CA"/>
        </w:rPr>
      </w:pPr>
      <w:bookmarkStart w:id="3" w:name="footnote5"/>
      <w:r w:rsidRPr="00C62659">
        <w:rPr>
          <w:rFonts w:ascii="-webkit-standard" w:eastAsia="Times New Roman" w:hAnsi="-webkit-standard" w:cs="Times New Roman"/>
          <w:color w:val="000000"/>
          <w:lang w:val="en-CA"/>
        </w:rPr>
        <w:t>5.</w:t>
      </w:r>
      <w:bookmarkEnd w:id="3"/>
      <w:r w:rsidRPr="00C62659">
        <w:rPr>
          <w:rFonts w:ascii="-webkit-standard" w:eastAsia="Times New Roman" w:hAnsi="-webkit-standard" w:cs="Times New Roman"/>
          <w:color w:val="000000"/>
          <w:lang w:val="en-CA"/>
        </w:rPr>
        <w:t> A corporation can have one or more owners.</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t>LO3 – Identify and explain the Generally Accepted Accounting Principles (GAAP).</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 xml:space="preserve">GAAP followed in Canada by PAEs (Publicly Accountable Enterprises) are based on IFRS (International Financial Reporting Standards). PEs (Private Enterprises) follow GAAP based on ASPE (Accounting Standards for Private Enterprises), a less onerous set of GAAP maintained by the </w:t>
      </w:r>
      <w:proofErr w:type="spellStart"/>
      <w:r w:rsidRPr="00C62659">
        <w:rPr>
          <w:rFonts w:ascii="-webkit-standard" w:eastAsia="Times New Roman" w:hAnsi="-webkit-standard" w:cs="Times New Roman"/>
          <w:color w:val="000000"/>
          <w:lang w:val="en-CA"/>
        </w:rPr>
        <w:t>AcSB</w:t>
      </w:r>
      <w:proofErr w:type="spellEnd"/>
      <w:r w:rsidRPr="00C62659">
        <w:rPr>
          <w:rFonts w:ascii="-webkit-standard" w:eastAsia="Times New Roman" w:hAnsi="-webkit-standard" w:cs="Times New Roman"/>
          <w:color w:val="000000"/>
          <w:lang w:val="en-CA"/>
        </w:rPr>
        <w:t xml:space="preserve"> (Accounting Standards Board). GAAP have qualitative characteristics (relevance, faithful representation, comparability, verifiability, timeliness, and understandability) and principles (business entity, consistency, cost, full disclosure, going concern, matching, materiality, monetary unit, and recognition).</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lastRenderedPageBreak/>
        <w:t>LO4 – Identify, explain, and prepare the financial statements.</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The four financial statements are: income statement, statement of changes in equity, balance sheet, and statement of cash flows. The income statement reports financial performance by detailing revenues less expenses to arrive at net income/loss for the period. The statement of changes in equity shows the changes during the period to each of the components of equity: share capital and retained earnings. The balance sheet identifies financial position at a point in time by listing assets, liabilities, and equity. Finally, the statement of cash flows details the sources and uses of cash during the period based on the three business activities: operating, investing, and financing.</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t>LO5 – Analyze transactions by using the accounting equation.</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The accounting equation, A = L + E, describes the asset investments (the left side of the equation) and the liabilities and equity that financed the assets (the right side of the equation). The accounting equation provides a system for processing and summarizing financial transactions resulting from a business's activities. A financial transaction is an economic exchange between two parties that impacts the accounting equation. The equation must always balance.</w:t>
      </w:r>
    </w:p>
    <w:p w:rsidR="00C62659" w:rsidRDefault="00C62659" w:rsidP="00C62659">
      <w:pPr>
        <w:pStyle w:val="Heading2"/>
        <w:rPr>
          <w:rFonts w:ascii="-webkit-standard" w:hAnsi="-webkit-standard"/>
          <w:color w:val="003835"/>
        </w:rPr>
      </w:pPr>
    </w:p>
    <w:p w:rsidR="00C62659" w:rsidRPr="00C62659" w:rsidRDefault="00C62659" w:rsidP="00C62659">
      <w:pPr>
        <w:pStyle w:val="Heading2"/>
        <w:jc w:val="center"/>
        <w:rPr>
          <w:rFonts w:ascii="-webkit-standard" w:hAnsi="-webkit-standard"/>
          <w:color w:val="003835"/>
          <w:u w:val="single"/>
        </w:rPr>
      </w:pPr>
      <w:r w:rsidRPr="00C62659">
        <w:rPr>
          <w:rFonts w:ascii="-webkit-standard" w:hAnsi="-webkit-standard"/>
          <w:color w:val="003835"/>
          <w:u w:val="single"/>
        </w:rPr>
        <w:t>Chapter 2</w:t>
      </w:r>
    </w:p>
    <w:p w:rsidR="00C62659" w:rsidRDefault="00C62659" w:rsidP="00C62659">
      <w:pPr>
        <w:pStyle w:val="Heading2"/>
        <w:rPr>
          <w:rFonts w:ascii="-webkit-standard" w:hAnsi="-webkit-standard"/>
          <w:color w:val="003835"/>
        </w:rPr>
      </w:pPr>
      <w:r>
        <w:rPr>
          <w:rFonts w:ascii="-webkit-standard" w:hAnsi="-webkit-standard"/>
          <w:color w:val="003835"/>
        </w:rPr>
        <w:t>LO1 – Describe asset, liability, and equity accounts, identifying the effect of debits and credits on each.</w:t>
      </w:r>
    </w:p>
    <w:p w:rsidR="00C62659" w:rsidRDefault="00C62659" w:rsidP="00C62659">
      <w:pPr>
        <w:pStyle w:val="NormalWeb"/>
        <w:rPr>
          <w:rFonts w:ascii="-webkit-standard" w:hAnsi="-webkit-standard"/>
          <w:color w:val="000000"/>
        </w:rPr>
      </w:pPr>
      <w:r>
        <w:rPr>
          <w:rFonts w:ascii="-webkit-standard" w:hAnsi="-webkit-standard"/>
          <w:color w:val="000000"/>
        </w:rPr>
        <w:t xml:space="preserve">Assets are resources that have future economic benefits such as cash, receivables, prepaids, and machinery. Increases in assets are recorded as debits and decreases as credits. Liabilities represent an obligation to pay an asset in the future and include payables and unearned revenues. </w:t>
      </w:r>
      <w:proofErr w:type="spellStart"/>
      <w:r>
        <w:rPr>
          <w:rFonts w:ascii="-webkit-standard" w:hAnsi="-webkit-standard"/>
          <w:color w:val="000000"/>
        </w:rPr>
        <w:t>Inceases</w:t>
      </w:r>
      <w:proofErr w:type="spellEnd"/>
      <w:r>
        <w:rPr>
          <w:rFonts w:ascii="-webkit-standard" w:hAnsi="-webkit-standard"/>
          <w:color w:val="000000"/>
        </w:rPr>
        <w:t xml:space="preserve"> in liabilities are recorded as credits and decreases as debits. Equity represents the net assets owned by the owners and includes share capital, dividends, revenues, and expenses. Increases in equity, caused by the issuance of shares and revenues, are recorded as credits, and decreases in equity, caused by dividends and expenses, are recorded as debits. The following summary can be used to show how debits and credits impact the types of accounts.</w:t>
      </w:r>
    </w:p>
    <w:p w:rsidR="00C62659" w:rsidRDefault="00C62659" w:rsidP="00C62659">
      <w:pPr>
        <w:pStyle w:val="Heading2"/>
        <w:rPr>
          <w:rFonts w:ascii="-webkit-standard" w:hAnsi="-webkit-standard"/>
          <w:color w:val="003835"/>
        </w:rPr>
      </w:pPr>
      <w:r>
        <w:rPr>
          <w:rFonts w:ascii="-webkit-standard" w:hAnsi="-webkit-standard"/>
          <w:color w:val="003835"/>
        </w:rPr>
        <w:t>LO2 – Analyze transactions using double-entry accounting.</w:t>
      </w:r>
    </w:p>
    <w:p w:rsidR="00C62659" w:rsidRDefault="00C62659" w:rsidP="00C62659">
      <w:pPr>
        <w:pStyle w:val="NormalWeb"/>
        <w:rPr>
          <w:rFonts w:ascii="-webkit-standard" w:hAnsi="-webkit-standard"/>
          <w:color w:val="000000"/>
        </w:rPr>
      </w:pPr>
      <w:r>
        <w:rPr>
          <w:rFonts w:ascii="-webkit-standard" w:hAnsi="-webkit-standard"/>
          <w:color w:val="000000"/>
        </w:rPr>
        <w:lastRenderedPageBreak/>
        <w:t>Double-entry accounting requires that each transaction be recorded in at least two accounts where the total debits always equal the total credits. The double-entry accounting rule is rooted in the accounting equation: Assets = Liabilities + Equity.</w:t>
      </w:r>
    </w:p>
    <w:p w:rsidR="00C62659" w:rsidRDefault="00C62659" w:rsidP="00C62659">
      <w:pPr>
        <w:pStyle w:val="Heading2"/>
        <w:rPr>
          <w:rFonts w:ascii="-webkit-standard" w:hAnsi="-webkit-standard"/>
          <w:color w:val="003835"/>
        </w:rPr>
      </w:pPr>
      <w:r>
        <w:rPr>
          <w:rFonts w:ascii="-webkit-standard" w:hAnsi="-webkit-standard"/>
          <w:color w:val="003835"/>
        </w:rPr>
        <w:t>LO3 – Prepare a trial balance and explain its use.</w:t>
      </w:r>
    </w:p>
    <w:p w:rsidR="00C62659" w:rsidRDefault="00C62659" w:rsidP="00C62659">
      <w:pPr>
        <w:pStyle w:val="NormalWeb"/>
        <w:rPr>
          <w:rFonts w:ascii="-webkit-standard" w:hAnsi="-webkit-standard"/>
          <w:color w:val="000000"/>
        </w:rPr>
      </w:pPr>
      <w:r>
        <w:rPr>
          <w:rFonts w:ascii="-webkit-standard" w:hAnsi="-webkit-standard"/>
          <w:color w:val="000000"/>
        </w:rPr>
        <w:t>To help prove the accounting equation is in balance, a trial balance is prepared. The trial balance is an internal document that lists all the account balances at a point in time. The total debits must equal total credits on the trial balance. The trial balance is used in the preparation of financial statements.</w:t>
      </w:r>
    </w:p>
    <w:p w:rsidR="00C62659" w:rsidRDefault="00C62659" w:rsidP="00C62659">
      <w:pPr>
        <w:pStyle w:val="Heading2"/>
        <w:rPr>
          <w:rFonts w:ascii="-webkit-standard" w:hAnsi="-webkit-standard"/>
          <w:color w:val="003835"/>
        </w:rPr>
      </w:pPr>
      <w:r>
        <w:rPr>
          <w:rFonts w:ascii="-webkit-standard" w:hAnsi="-webkit-standard"/>
          <w:color w:val="003835"/>
        </w:rPr>
        <w:t>LO4 – Record transactions in a general journal and post in a general ledger.</w:t>
      </w:r>
    </w:p>
    <w:p w:rsidR="00C62659" w:rsidRDefault="00C62659" w:rsidP="00C62659">
      <w:pPr>
        <w:pStyle w:val="NormalWeb"/>
        <w:rPr>
          <w:rFonts w:ascii="-webkit-standard" w:hAnsi="-webkit-standard"/>
          <w:color w:val="000000"/>
        </w:rPr>
      </w:pPr>
      <w:r>
        <w:rPr>
          <w:rFonts w:ascii="-webkit-standard" w:hAnsi="-webkit-standard"/>
          <w:color w:val="000000"/>
        </w:rPr>
        <w:t>The recording of financial transactions was introduced in this chapter using T-accounts, an illustrative tool. A business actually records transactions in a general journal, a document which chronologically lists each debit and credit journal entry. To summarize the debit and credit entries by account, the entries in the general journal are posted (or transferred) to the general ledger. The account balances in the general ledger are used to prepare the trial balance.</w:t>
      </w:r>
    </w:p>
    <w:p w:rsidR="00C62659" w:rsidRDefault="00C62659" w:rsidP="00C62659">
      <w:pPr>
        <w:pStyle w:val="Heading2"/>
        <w:rPr>
          <w:rFonts w:ascii="-webkit-standard" w:hAnsi="-webkit-standard"/>
          <w:color w:val="003835"/>
        </w:rPr>
      </w:pPr>
      <w:r>
        <w:rPr>
          <w:rFonts w:ascii="-webkit-standard" w:hAnsi="-webkit-standard"/>
          <w:color w:val="003835"/>
        </w:rPr>
        <w:t>LO5 – Define the accounting cycle.</w:t>
      </w:r>
    </w:p>
    <w:p w:rsidR="00C62659" w:rsidRDefault="00C62659" w:rsidP="00C62659">
      <w:pPr>
        <w:pStyle w:val="NormalWeb"/>
        <w:rPr>
          <w:rFonts w:ascii="-webkit-standard" w:hAnsi="-webkit-standard"/>
          <w:color w:val="000000"/>
        </w:rPr>
      </w:pPr>
      <w:r>
        <w:rPr>
          <w:rFonts w:ascii="-webkit-standard" w:hAnsi="-webkit-standard"/>
          <w:color w:val="000000"/>
        </w:rPr>
        <w:t>Analyzing transactions, journalizing them in the general journal, posting from the general journal into the general ledger, preparing the trial balance, and generating financial statements are steps followed each accounting period. These steps form the core of the accounting cycle. Additional steps involved in the accounting cycle will be introduced in Chapter </w:t>
      </w:r>
      <w:hyperlink r:id="rId8" w:tgtFrame="mainRelease" w:history="1">
        <w:r>
          <w:rPr>
            <w:rStyle w:val="Hyperlink"/>
            <w:rFonts w:ascii="-webkit-standard" w:hAnsi="-webkit-standard"/>
          </w:rPr>
          <w:t>3</w:t>
        </w:r>
      </w:hyperlink>
      <w:r>
        <w:rPr>
          <w:rFonts w:ascii="-webkit-standard" w:hAnsi="-webkit-standard"/>
          <w:color w:val="000000"/>
        </w:rPr>
        <w:t>.</w:t>
      </w:r>
    </w:p>
    <w:p w:rsidR="00C62659" w:rsidRPr="00C62659" w:rsidRDefault="00C62659" w:rsidP="00C62659">
      <w:pPr>
        <w:pStyle w:val="Heading2"/>
        <w:jc w:val="center"/>
        <w:rPr>
          <w:rFonts w:ascii="-webkit-standard" w:hAnsi="-webkit-standard"/>
          <w:color w:val="003835"/>
          <w:u w:val="single"/>
        </w:rPr>
      </w:pPr>
      <w:r w:rsidRPr="00C62659">
        <w:rPr>
          <w:rFonts w:ascii="-webkit-standard" w:hAnsi="-webkit-standard"/>
          <w:color w:val="003835"/>
          <w:u w:val="single"/>
        </w:rPr>
        <w:t>Chapter 3</w:t>
      </w:r>
    </w:p>
    <w:p w:rsidR="00C62659" w:rsidRDefault="00C62659" w:rsidP="00C62659">
      <w:pPr>
        <w:pStyle w:val="Heading2"/>
        <w:rPr>
          <w:rFonts w:ascii="-webkit-standard" w:hAnsi="-webkit-standard"/>
          <w:color w:val="003835"/>
        </w:rPr>
      </w:pPr>
      <w:r>
        <w:rPr>
          <w:rFonts w:ascii="-webkit-standard" w:hAnsi="-webkit-standard"/>
          <w:color w:val="003835"/>
        </w:rPr>
        <w:t>LO1 – Explain how the timeliness, matching, and recognition GAAP require the recording of adjusting entries.</w:t>
      </w:r>
    </w:p>
    <w:p w:rsidR="00C62659" w:rsidRDefault="00C62659" w:rsidP="00C62659">
      <w:pPr>
        <w:pStyle w:val="NormalWeb"/>
        <w:rPr>
          <w:rFonts w:ascii="-webkit-standard" w:hAnsi="-webkit-standard"/>
          <w:color w:val="000000"/>
        </w:rPr>
      </w:pPr>
      <w:r>
        <w:rPr>
          <w:rFonts w:ascii="-webkit-standard" w:hAnsi="-webkit-standard"/>
          <w:color w:val="000000"/>
        </w:rPr>
        <w:t>Financial statements must be prepared in a timely manner, at minimum, once per fiscal year. For statements to reflect activities accurately, revenues and expenses must be recognized and reported in the appropriate accounting period. In order to achieve this type of matching, adjusting entries need to be prepared.</w:t>
      </w:r>
    </w:p>
    <w:p w:rsidR="00C62659" w:rsidRDefault="00C62659" w:rsidP="00C62659">
      <w:pPr>
        <w:pStyle w:val="Heading2"/>
        <w:rPr>
          <w:rFonts w:ascii="-webkit-standard" w:hAnsi="-webkit-standard"/>
          <w:color w:val="003835"/>
        </w:rPr>
      </w:pPr>
      <w:r>
        <w:rPr>
          <w:rFonts w:ascii="-webkit-standard" w:hAnsi="-webkit-standard"/>
          <w:color w:val="003835"/>
        </w:rPr>
        <w:lastRenderedPageBreak/>
        <w:t>LO2 – Explain the use of and prepare the adjusting entries required for prepaid expenses, depreciation, unearned revenues, accrued revenues, and accrued expenses.</w:t>
      </w:r>
    </w:p>
    <w:p w:rsidR="00C62659" w:rsidRDefault="00C62659" w:rsidP="00C62659">
      <w:pPr>
        <w:pStyle w:val="NormalWeb"/>
        <w:rPr>
          <w:rFonts w:ascii="-webkit-standard" w:hAnsi="-webkit-standard"/>
          <w:color w:val="000000"/>
        </w:rPr>
      </w:pPr>
      <w:r>
        <w:rPr>
          <w:rFonts w:ascii="-webkit-standard" w:hAnsi="-webkit-standard"/>
          <w:color w:val="000000"/>
        </w:rPr>
        <w:t>Adjusting entries are prepared at the end of an accounting period. They allocate revenues and expenses to the appropriate accounting period regardless of when cash was received/paid. The five types of adjustments are:</w:t>
      </w:r>
    </w:p>
    <w:p w:rsidR="00C62659" w:rsidRDefault="00C62659" w:rsidP="00C62659">
      <w:pPr>
        <w:pStyle w:val="NormalWeb"/>
        <w:rPr>
          <w:rFonts w:ascii="-webkit-standard" w:hAnsi="-webkit-standard"/>
          <w:color w:val="000000"/>
        </w:rPr>
      </w:pPr>
      <w:r>
        <w:rPr>
          <w:rFonts w:ascii="-webkit-standard" w:hAnsi="-webkit-standard"/>
          <w:color w:val="000000"/>
        </w:rPr>
        <w:fldChar w:fldCharType="begin"/>
      </w:r>
      <w:r>
        <w:rPr>
          <w:rFonts w:ascii="-webkit-standard" w:hAnsi="-webkit-standard"/>
          <w:color w:val="000000"/>
        </w:rPr>
        <w:instrText xml:space="preserve"> INCLUDEPICTURE "/var/folders/sb/04_tkfnx081gmmrthyzwqbxh0000gn/T/com.microsoft.Word/WebArchiveCopyPasteTempFiles/imga.png" \* MERGEFORMATINET </w:instrText>
      </w:r>
      <w:r>
        <w:rPr>
          <w:rFonts w:ascii="-webkit-standard" w:hAnsi="-webkit-standard"/>
          <w:color w:val="000000"/>
        </w:rPr>
        <w:fldChar w:fldCharType="separate"/>
      </w:r>
      <w:r>
        <w:rPr>
          <w:rFonts w:ascii="-webkit-standard" w:hAnsi="-webkit-standard"/>
          <w:noProof/>
          <w:color w:val="000000"/>
        </w:rPr>
        <w:drawing>
          <wp:inline distT="0" distB="0" distL="0" distR="0">
            <wp:extent cx="5943600" cy="2062480"/>
            <wp:effectExtent l="0" t="0" r="0" b="0"/>
            <wp:docPr id="2" name="Picture 2" descr="/var/folders/sb/04_tkfnx081gmmrthyzwqbxh0000gn/T/com.microsoft.Word/WebArchiveCopyPasteTempFiles/im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sb/04_tkfnx081gmmrthyzwqbxh0000gn/T/com.microsoft.Word/WebArchiveCopyPasteTempFiles/imga.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062480"/>
                    </a:xfrm>
                    <a:prstGeom prst="rect">
                      <a:avLst/>
                    </a:prstGeom>
                    <a:noFill/>
                    <a:ln>
                      <a:noFill/>
                    </a:ln>
                  </pic:spPr>
                </pic:pic>
              </a:graphicData>
            </a:graphic>
          </wp:inline>
        </w:drawing>
      </w:r>
      <w:r>
        <w:rPr>
          <w:rFonts w:ascii="-webkit-standard" w:hAnsi="-webkit-standard"/>
          <w:color w:val="000000"/>
        </w:rPr>
        <w:fldChar w:fldCharType="end"/>
      </w:r>
    </w:p>
    <w:p w:rsidR="00C62659" w:rsidRDefault="00C62659" w:rsidP="00C62659">
      <w:pPr>
        <w:pStyle w:val="Heading2"/>
        <w:rPr>
          <w:rFonts w:ascii="-webkit-standard" w:hAnsi="-webkit-standard"/>
          <w:color w:val="003835"/>
        </w:rPr>
      </w:pPr>
      <w:r>
        <w:rPr>
          <w:rFonts w:ascii="-webkit-standard" w:hAnsi="-webkit-standard"/>
          <w:color w:val="003835"/>
        </w:rPr>
        <w:t>LO3 – Prepare an adjusted trial balance and explain its use.</w:t>
      </w:r>
    </w:p>
    <w:p w:rsidR="00C62659" w:rsidRDefault="00C62659" w:rsidP="00C62659">
      <w:pPr>
        <w:pStyle w:val="NormalWeb"/>
        <w:rPr>
          <w:rFonts w:ascii="-webkit-standard" w:hAnsi="-webkit-standard"/>
          <w:color w:val="000000"/>
        </w:rPr>
      </w:pPr>
      <w:r>
        <w:rPr>
          <w:rFonts w:ascii="-webkit-standard" w:hAnsi="-webkit-standard"/>
          <w:color w:val="000000"/>
        </w:rPr>
        <w:t>The adjusted trial balance is prepared using the account balances in the general ledger after adjusting entries have been posted. Debits must equal credits. The adjusted trial balance is used to prepare the financial statements.</w:t>
      </w:r>
    </w:p>
    <w:p w:rsidR="00C62659" w:rsidRDefault="00C62659" w:rsidP="00C62659">
      <w:pPr>
        <w:pStyle w:val="Heading2"/>
        <w:rPr>
          <w:rFonts w:ascii="-webkit-standard" w:hAnsi="-webkit-standard"/>
          <w:color w:val="003835"/>
        </w:rPr>
      </w:pPr>
      <w:r>
        <w:rPr>
          <w:rFonts w:ascii="-webkit-standard" w:hAnsi="-webkit-standard"/>
          <w:color w:val="003835"/>
        </w:rPr>
        <w:t>LO4 – Use an adjusted trial balance to prepare financial statements.</w:t>
      </w:r>
    </w:p>
    <w:p w:rsidR="00C62659" w:rsidRDefault="00C62659" w:rsidP="00C62659">
      <w:pPr>
        <w:pStyle w:val="NormalWeb"/>
        <w:rPr>
          <w:rFonts w:ascii="-webkit-standard" w:hAnsi="-webkit-standard"/>
          <w:color w:val="000000"/>
        </w:rPr>
      </w:pPr>
      <w:r>
        <w:rPr>
          <w:rFonts w:ascii="-webkit-standard" w:hAnsi="-webkit-standard"/>
          <w:color w:val="000000"/>
        </w:rPr>
        <w:t>Financial statements are prepared based on adjusted account balances.</w:t>
      </w:r>
    </w:p>
    <w:p w:rsidR="00C62659" w:rsidRDefault="00C62659" w:rsidP="00C62659">
      <w:pPr>
        <w:pStyle w:val="Heading2"/>
        <w:rPr>
          <w:rFonts w:ascii="-webkit-standard" w:hAnsi="-webkit-standard"/>
          <w:color w:val="003835"/>
        </w:rPr>
      </w:pPr>
      <w:r>
        <w:rPr>
          <w:rFonts w:ascii="-webkit-standard" w:hAnsi="-webkit-standard"/>
          <w:color w:val="003835"/>
        </w:rPr>
        <w:t>LO5 – Identify and explain the steps in the accounting cycle.</w:t>
      </w:r>
    </w:p>
    <w:p w:rsidR="00C62659" w:rsidRDefault="00C62659" w:rsidP="00C62659">
      <w:pPr>
        <w:pStyle w:val="NormalWeb"/>
        <w:rPr>
          <w:rFonts w:ascii="-webkit-standard" w:hAnsi="-webkit-standard"/>
          <w:color w:val="000000"/>
        </w:rPr>
      </w:pPr>
      <w:r>
        <w:rPr>
          <w:rFonts w:ascii="-webkit-standard" w:hAnsi="-webkit-standard"/>
          <w:color w:val="000000"/>
        </w:rPr>
        <w:t>The steps in the accounting cycle are followed each accounting period in the recording and reporting of financial transactions. The steps are:</w:t>
      </w:r>
    </w:p>
    <w:p w:rsidR="00C62659" w:rsidRDefault="00C62659" w:rsidP="00C62659">
      <w:pPr>
        <w:pStyle w:val="NormalWeb"/>
        <w:numPr>
          <w:ilvl w:val="0"/>
          <w:numId w:val="1"/>
        </w:numPr>
        <w:rPr>
          <w:rFonts w:ascii="-webkit-standard" w:hAnsi="-webkit-standard"/>
          <w:color w:val="000000"/>
        </w:rPr>
      </w:pPr>
      <w:r>
        <w:rPr>
          <w:rFonts w:ascii="-webkit-standard" w:hAnsi="-webkit-standard"/>
          <w:color w:val="000000"/>
        </w:rPr>
        <w:t>Transactions are analyzed and recorded in the general journal.</w:t>
      </w:r>
    </w:p>
    <w:p w:rsidR="00C62659" w:rsidRDefault="00C62659" w:rsidP="00C62659">
      <w:pPr>
        <w:pStyle w:val="NormalWeb"/>
        <w:numPr>
          <w:ilvl w:val="0"/>
          <w:numId w:val="1"/>
        </w:numPr>
        <w:rPr>
          <w:rFonts w:ascii="-webkit-standard" w:hAnsi="-webkit-standard"/>
          <w:color w:val="000000"/>
        </w:rPr>
      </w:pPr>
      <w:r>
        <w:rPr>
          <w:rFonts w:ascii="-webkit-standard" w:hAnsi="-webkit-standard"/>
          <w:color w:val="000000"/>
        </w:rPr>
        <w:lastRenderedPageBreak/>
        <w:t>The journal entries in the general journal are posted to accounts in the general ledger.</w:t>
      </w:r>
    </w:p>
    <w:p w:rsidR="00C62659" w:rsidRDefault="00C62659" w:rsidP="00C62659">
      <w:pPr>
        <w:pStyle w:val="NormalWeb"/>
        <w:numPr>
          <w:ilvl w:val="0"/>
          <w:numId w:val="1"/>
        </w:numPr>
        <w:rPr>
          <w:rFonts w:ascii="-webkit-standard" w:hAnsi="-webkit-standard"/>
          <w:color w:val="000000"/>
        </w:rPr>
      </w:pPr>
      <w:r>
        <w:rPr>
          <w:rFonts w:ascii="-webkit-standard" w:hAnsi="-webkit-standard"/>
          <w:color w:val="000000"/>
        </w:rPr>
        <w:t>An unadjusted trial balance is prepared to ensure total debits equal total credits.</w:t>
      </w:r>
    </w:p>
    <w:p w:rsidR="00C62659" w:rsidRDefault="00C62659" w:rsidP="00C62659">
      <w:pPr>
        <w:pStyle w:val="NormalWeb"/>
        <w:numPr>
          <w:ilvl w:val="0"/>
          <w:numId w:val="1"/>
        </w:numPr>
        <w:rPr>
          <w:rFonts w:ascii="-webkit-standard" w:hAnsi="-webkit-standard"/>
          <w:color w:val="000000"/>
        </w:rPr>
      </w:pPr>
      <w:r>
        <w:rPr>
          <w:rFonts w:ascii="-webkit-standard" w:hAnsi="-webkit-standard"/>
          <w:color w:val="000000"/>
        </w:rPr>
        <w:t>The unadjusted account balances are analyzed, and adjusting entries are journalized in the general journal and posted to the general ledger.</w:t>
      </w:r>
    </w:p>
    <w:p w:rsidR="00C62659" w:rsidRDefault="00C62659" w:rsidP="00C62659">
      <w:pPr>
        <w:pStyle w:val="NormalWeb"/>
        <w:numPr>
          <w:ilvl w:val="0"/>
          <w:numId w:val="1"/>
        </w:numPr>
        <w:rPr>
          <w:rFonts w:ascii="-webkit-standard" w:hAnsi="-webkit-standard"/>
          <w:color w:val="000000"/>
        </w:rPr>
      </w:pPr>
      <w:r>
        <w:rPr>
          <w:rFonts w:ascii="-webkit-standard" w:hAnsi="-webkit-standard"/>
          <w:color w:val="000000"/>
        </w:rPr>
        <w:t>An adjusted trial balance is prepared to prove the equality of debits and credits.</w:t>
      </w:r>
    </w:p>
    <w:p w:rsidR="00C62659" w:rsidRDefault="00C62659" w:rsidP="00C62659">
      <w:pPr>
        <w:pStyle w:val="NormalWeb"/>
        <w:numPr>
          <w:ilvl w:val="0"/>
          <w:numId w:val="1"/>
        </w:numPr>
        <w:rPr>
          <w:rFonts w:ascii="-webkit-standard" w:hAnsi="-webkit-standard"/>
          <w:color w:val="000000"/>
        </w:rPr>
      </w:pPr>
      <w:r>
        <w:rPr>
          <w:rFonts w:ascii="-webkit-standard" w:hAnsi="-webkit-standard"/>
          <w:color w:val="000000"/>
        </w:rPr>
        <w:t>The adjusted trial balance is used to prepare financial statements.</w:t>
      </w:r>
    </w:p>
    <w:p w:rsidR="00C62659" w:rsidRDefault="00C62659" w:rsidP="00C62659">
      <w:pPr>
        <w:pStyle w:val="NormalWeb"/>
        <w:numPr>
          <w:ilvl w:val="0"/>
          <w:numId w:val="1"/>
        </w:numPr>
        <w:rPr>
          <w:rFonts w:ascii="-webkit-standard" w:hAnsi="-webkit-standard"/>
          <w:color w:val="000000"/>
        </w:rPr>
      </w:pPr>
      <w:r>
        <w:rPr>
          <w:rFonts w:ascii="-webkit-standard" w:hAnsi="-webkit-standard"/>
          <w:color w:val="000000"/>
        </w:rPr>
        <w:t>Closing entries are journalized and posted.</w:t>
      </w:r>
    </w:p>
    <w:p w:rsidR="00C62659" w:rsidRDefault="00C62659" w:rsidP="00C62659">
      <w:pPr>
        <w:pStyle w:val="NormalWeb"/>
        <w:numPr>
          <w:ilvl w:val="0"/>
          <w:numId w:val="1"/>
        </w:numPr>
        <w:rPr>
          <w:rFonts w:ascii="-webkit-standard" w:hAnsi="-webkit-standard"/>
          <w:color w:val="000000"/>
        </w:rPr>
      </w:pPr>
      <w:r>
        <w:rPr>
          <w:rFonts w:ascii="-webkit-standard" w:hAnsi="-webkit-standard"/>
          <w:color w:val="000000"/>
        </w:rPr>
        <w:t>Prepare a post-closing trial balance.</w:t>
      </w:r>
    </w:p>
    <w:p w:rsidR="00C62659" w:rsidRDefault="00C62659" w:rsidP="00C62659">
      <w:pPr>
        <w:pStyle w:val="Heading2"/>
        <w:rPr>
          <w:rFonts w:ascii="-webkit-standard" w:hAnsi="-webkit-standard"/>
          <w:color w:val="003835"/>
        </w:rPr>
      </w:pPr>
      <w:r>
        <w:rPr>
          <w:rFonts w:ascii="-webkit-standard" w:hAnsi="-webkit-standard"/>
          <w:color w:val="003835"/>
        </w:rPr>
        <w:t>LO6 – Explain the use of and prepare closing entries and a post-closing trial balance.</w:t>
      </w:r>
    </w:p>
    <w:p w:rsidR="00C62659" w:rsidRDefault="00C62659" w:rsidP="00C62659">
      <w:pPr>
        <w:pStyle w:val="NormalWeb"/>
        <w:rPr>
          <w:rFonts w:ascii="-webkit-standard" w:hAnsi="-webkit-standard"/>
          <w:color w:val="000000"/>
        </w:rPr>
      </w:pPr>
      <w:r>
        <w:rPr>
          <w:rFonts w:ascii="-webkit-standard" w:hAnsi="-webkit-standard"/>
          <w:color w:val="000000"/>
        </w:rPr>
        <w:t>After the financial statements have been prepared, the temporary account balances (revenues, expenses, and dividends) are transferred to retained earnings, a permanent account, via closing entries. The result is that the temporary accounts will have a zero balance and will be ready to accumulate transactions for the next accounting period. The four closing entries are:</w:t>
      </w:r>
    </w:p>
    <w:p w:rsidR="00C62659" w:rsidRDefault="00C62659" w:rsidP="00C62659">
      <w:pPr>
        <w:pStyle w:val="NormalWeb"/>
        <w:rPr>
          <w:rFonts w:ascii="-webkit-standard" w:hAnsi="-webkit-standard"/>
          <w:color w:val="000000"/>
        </w:rPr>
      </w:pPr>
      <w:r>
        <w:rPr>
          <w:rFonts w:ascii="-webkit-standard" w:hAnsi="-webkit-standard"/>
          <w:color w:val="000000"/>
        </w:rPr>
        <w:fldChar w:fldCharType="begin"/>
      </w:r>
      <w:r>
        <w:rPr>
          <w:rFonts w:ascii="-webkit-standard" w:hAnsi="-webkit-standard"/>
          <w:color w:val="000000"/>
        </w:rPr>
        <w:instrText xml:space="preserve"> INCLUDEPICTURE "/var/folders/sb/04_tkfnx081gmmrthyzwqbxh0000gn/T/com.microsoft.Word/WebArchiveCopyPasteTempFiles/imgb.png" \* MERGEFORMATINET </w:instrText>
      </w:r>
      <w:r>
        <w:rPr>
          <w:rFonts w:ascii="-webkit-standard" w:hAnsi="-webkit-standard"/>
          <w:color w:val="000000"/>
        </w:rPr>
        <w:fldChar w:fldCharType="separate"/>
      </w:r>
      <w:r>
        <w:rPr>
          <w:rFonts w:ascii="-webkit-standard" w:hAnsi="-webkit-standard"/>
          <w:noProof/>
          <w:color w:val="000000"/>
        </w:rPr>
        <w:drawing>
          <wp:inline distT="0" distB="0" distL="0" distR="0">
            <wp:extent cx="5943600" cy="2680970"/>
            <wp:effectExtent l="0" t="0" r="0" b="0"/>
            <wp:docPr id="1" name="Picture 1" descr="/var/folders/sb/04_tkfnx081gmmrthyzwqbxh0000gn/T/com.microsoft.Word/WebArchiveCopyPasteTempFiles/im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sb/04_tkfnx081gmmrthyzwqbxh0000gn/T/com.microsoft.Word/WebArchiveCopyPasteTempFiles/imgb.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680970"/>
                    </a:xfrm>
                    <a:prstGeom prst="rect">
                      <a:avLst/>
                    </a:prstGeom>
                    <a:noFill/>
                    <a:ln>
                      <a:noFill/>
                    </a:ln>
                  </pic:spPr>
                </pic:pic>
              </a:graphicData>
            </a:graphic>
          </wp:inline>
        </w:drawing>
      </w:r>
      <w:r>
        <w:rPr>
          <w:rFonts w:ascii="-webkit-standard" w:hAnsi="-webkit-standard"/>
          <w:color w:val="000000"/>
        </w:rPr>
        <w:fldChar w:fldCharType="end"/>
      </w:r>
    </w:p>
    <w:p w:rsidR="00C62659" w:rsidRDefault="00C62659" w:rsidP="00C62659">
      <w:pPr>
        <w:pStyle w:val="NormalWeb"/>
        <w:rPr>
          <w:rFonts w:ascii="-webkit-standard" w:hAnsi="-webkit-standard"/>
          <w:color w:val="000000"/>
        </w:rPr>
      </w:pPr>
      <w:r>
        <w:rPr>
          <w:rFonts w:ascii="-webkit-standard" w:hAnsi="-webkit-standard"/>
          <w:color w:val="000000"/>
        </w:rPr>
        <w:t>The post-closing trial balance is prepared after the closing entries have been posted to the general ledger. The post-closing trial balance will contain only permanent accounts because all the temporary accounts have been closed.</w:t>
      </w:r>
    </w:p>
    <w:p w:rsidR="00C62659" w:rsidRPr="00C62659" w:rsidRDefault="00C62659" w:rsidP="00C62659">
      <w:pPr>
        <w:spacing w:before="100" w:beforeAutospacing="1" w:after="100" w:afterAutospacing="1"/>
        <w:jc w:val="center"/>
        <w:outlineLvl w:val="1"/>
        <w:rPr>
          <w:rFonts w:ascii="-webkit-standard" w:eastAsia="Times New Roman" w:hAnsi="-webkit-standard" w:cs="Times New Roman"/>
          <w:b/>
          <w:bCs/>
          <w:color w:val="003835"/>
          <w:sz w:val="36"/>
          <w:szCs w:val="36"/>
          <w:u w:val="single"/>
          <w:lang w:val="en-CA"/>
        </w:rPr>
      </w:pPr>
      <w:r w:rsidRPr="00C62659">
        <w:rPr>
          <w:rFonts w:ascii="-webkit-standard" w:eastAsia="Times New Roman" w:hAnsi="-webkit-standard" w:cs="Times New Roman"/>
          <w:b/>
          <w:bCs/>
          <w:color w:val="003835"/>
          <w:sz w:val="36"/>
          <w:szCs w:val="36"/>
          <w:u w:val="single"/>
          <w:lang w:val="en-CA"/>
        </w:rPr>
        <w:t>Chapter 4</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t>LO1 – Explain the importance of and challenges related to basic financial statement disclosure.</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lastRenderedPageBreak/>
        <w:t>The objective of financial statements is to communicate information to meet the needs of external users. In addition to recording and reporting verifiable financial information, accountants make decisions regarding how to measure transactions. Applying GAAP can present challenges when judgment must be applied as in the case of cost-benefit decisions and materiality.</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t>LO2 – Explain and prepare a classified balance sheet.</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A classified balance sheet groups assets and liabilities as follows:</w:t>
      </w:r>
    </w:p>
    <w:tbl>
      <w:tblPr>
        <w:tblW w:w="0" w:type="auto"/>
        <w:tblCellMar>
          <w:top w:w="100" w:type="dxa"/>
          <w:left w:w="100" w:type="dxa"/>
          <w:bottom w:w="100" w:type="dxa"/>
          <w:right w:w="100" w:type="dxa"/>
        </w:tblCellMar>
        <w:tblLook w:val="04A0" w:firstRow="1" w:lastRow="0" w:firstColumn="1" w:lastColumn="0" w:noHBand="0" w:noVBand="1"/>
      </w:tblPr>
      <w:tblGrid>
        <w:gridCol w:w="3777"/>
        <w:gridCol w:w="3543"/>
      </w:tblGrid>
      <w:tr w:rsidR="00C62659" w:rsidRPr="00C62659" w:rsidTr="00C62659">
        <w:tc>
          <w:tcPr>
            <w:tcW w:w="0" w:type="auto"/>
            <w:tcBorders>
              <w:top w:val="single" w:sz="6" w:space="0" w:color="000000"/>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b/>
                <w:bCs/>
                <w:lang w:val="en-CA"/>
              </w:rPr>
              <w:t>Assets:</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b/>
                <w:bCs/>
                <w:lang w:val="en-CA"/>
              </w:rPr>
              <w:t>Liabilities:</w:t>
            </w:r>
          </w:p>
        </w:tc>
      </w:tr>
      <w:tr w:rsidR="00C62659" w:rsidRPr="00C62659" w:rsidTr="00C62659">
        <w:tc>
          <w:tcPr>
            <w:tcW w:w="0" w:type="auto"/>
            <w:tcBorders>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Current assets </w:t>
            </w:r>
          </w:p>
        </w:tc>
        <w:tc>
          <w:tcPr>
            <w:tcW w:w="0" w:type="auto"/>
            <w:tcBorders>
              <w:left w:val="single" w:sz="6" w:space="0" w:color="000000"/>
              <w:bottom w:val="single" w:sz="6" w:space="0" w:color="000000"/>
              <w:right w:val="single" w:sz="6" w:space="0" w:color="000000"/>
            </w:tcBorders>
            <w:tcMar>
              <w:top w:w="45" w:type="dxa"/>
              <w:left w:w="45" w:type="dxa"/>
              <w:bottom w:w="45" w:type="dxa"/>
              <w:right w:w="45" w:type="dxa"/>
            </w:tcMa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Current liabilities </w:t>
            </w:r>
          </w:p>
        </w:tc>
      </w:tr>
      <w:tr w:rsidR="00C62659" w:rsidRPr="00C62659" w:rsidTr="00C62659">
        <w:tc>
          <w:tcPr>
            <w:tcW w:w="0" w:type="auto"/>
            <w:tcBorders>
              <w:left w:val="single" w:sz="6" w:space="0" w:color="000000"/>
              <w:bottom w:val="single" w:sz="6" w:space="0" w:color="000000"/>
            </w:tcBorders>
            <w:tcMar>
              <w:top w:w="45" w:type="dxa"/>
              <w:left w:w="45" w:type="dxa"/>
              <w:bottom w:w="45" w:type="dxa"/>
              <w:right w:w="45" w:type="dxa"/>
            </w:tcMa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Non-current assets: </w:t>
            </w:r>
            <w:r w:rsidRPr="00C62659">
              <w:rPr>
                <w:rFonts w:ascii="Times New Roman" w:eastAsia="Times New Roman" w:hAnsi="Times New Roman" w:cs="Times New Roman"/>
                <w:lang w:val="en-CA"/>
              </w:rPr>
              <w:br/>
            </w:r>
          </w:p>
          <w:p w:rsidR="00C62659" w:rsidRPr="00C62659" w:rsidRDefault="00C62659" w:rsidP="00C62659">
            <w:pPr>
              <w:numPr>
                <w:ilvl w:val="0"/>
                <w:numId w:val="2"/>
              </w:numPr>
              <w:spacing w:before="100" w:beforeAutospacing="1" w:after="100" w:afterAutospacing="1"/>
              <w:rPr>
                <w:rFonts w:ascii="Times New Roman" w:eastAsia="Times New Roman" w:hAnsi="Times New Roman" w:cs="Times New Roman"/>
                <w:lang w:val="en-CA"/>
              </w:rPr>
            </w:pPr>
            <w:r w:rsidRPr="00C62659">
              <w:rPr>
                <w:rFonts w:ascii="Times New Roman" w:eastAsia="Times New Roman" w:hAnsi="Times New Roman" w:cs="Times New Roman"/>
                <w:lang w:val="en-CA"/>
              </w:rPr>
              <w:t>Property, plant, and equipment</w:t>
            </w:r>
          </w:p>
          <w:p w:rsidR="00C62659" w:rsidRPr="00C62659" w:rsidRDefault="00C62659" w:rsidP="00C62659">
            <w:pPr>
              <w:numPr>
                <w:ilvl w:val="0"/>
                <w:numId w:val="2"/>
              </w:numPr>
              <w:spacing w:before="100" w:beforeAutospacing="1" w:after="100" w:afterAutospacing="1"/>
              <w:rPr>
                <w:rFonts w:ascii="Times New Roman" w:eastAsia="Times New Roman" w:hAnsi="Times New Roman" w:cs="Times New Roman"/>
                <w:lang w:val="en-CA"/>
              </w:rPr>
            </w:pPr>
            <w:r w:rsidRPr="00C62659">
              <w:rPr>
                <w:rFonts w:ascii="Times New Roman" w:eastAsia="Times New Roman" w:hAnsi="Times New Roman" w:cs="Times New Roman"/>
                <w:lang w:val="en-CA"/>
              </w:rPr>
              <w:t>Long-term investments</w:t>
            </w:r>
          </w:p>
          <w:p w:rsidR="00C62659" w:rsidRPr="00C62659" w:rsidRDefault="00C62659" w:rsidP="00C62659">
            <w:pPr>
              <w:numPr>
                <w:ilvl w:val="0"/>
                <w:numId w:val="2"/>
              </w:numPr>
              <w:spacing w:before="100" w:beforeAutospacing="1" w:after="100" w:afterAutospacing="1"/>
              <w:rPr>
                <w:rFonts w:ascii="Times New Roman" w:eastAsia="Times New Roman" w:hAnsi="Times New Roman" w:cs="Times New Roman"/>
                <w:lang w:val="en-CA"/>
              </w:rPr>
            </w:pPr>
            <w:r w:rsidRPr="00C62659">
              <w:rPr>
                <w:rFonts w:ascii="Times New Roman" w:eastAsia="Times New Roman" w:hAnsi="Times New Roman" w:cs="Times New Roman"/>
                <w:lang w:val="en-CA"/>
              </w:rPr>
              <w:t>Intangible assets</w:t>
            </w:r>
          </w:p>
        </w:tc>
        <w:tc>
          <w:tcPr>
            <w:tcW w:w="0" w:type="auto"/>
            <w:tcBorders>
              <w:left w:val="single" w:sz="6" w:space="0" w:color="000000"/>
              <w:bottom w:val="single" w:sz="6" w:space="0" w:color="000000"/>
              <w:right w:val="single" w:sz="6" w:space="0" w:color="000000"/>
            </w:tcBorders>
            <w:tcMar>
              <w:top w:w="45" w:type="dxa"/>
              <w:left w:w="45" w:type="dxa"/>
              <w:bottom w:w="45" w:type="dxa"/>
              <w:right w:w="45" w:type="dxa"/>
            </w:tcMa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Non-current or long-term liabilities </w:t>
            </w:r>
          </w:p>
        </w:tc>
      </w:tr>
    </w:tbl>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Current assets are those that are used within one year or one operating cycle, whichever is longer, and include cash, accounts receivables, and supplies. Non-current assets are used beyond one year or one operating cycle. There are three types of non-current assets: property, plant, and equipment (PPE), long-term investments, and intangible assets. Long-term investments include investments in shares and bonds. Intangible assets are rights held by the owner and do not have a physical substance; they include copyrights, patents, franchises, and trademarks. Current liabilities must be paid within one year or one operating cycle, whichever is longer. Long-term liabilities are paid beyond one year or one operating cycle. Income statements are also classified (discussed in Chapter </w:t>
      </w:r>
      <w:hyperlink r:id="rId11" w:tgtFrame="mainRelease" w:history="1">
        <w:r w:rsidRPr="00C62659">
          <w:rPr>
            <w:rFonts w:ascii="-webkit-standard" w:eastAsia="Times New Roman" w:hAnsi="-webkit-standard" w:cs="Times New Roman"/>
            <w:color w:val="0000FF"/>
            <w:u w:val="single"/>
            <w:lang w:val="en-CA"/>
          </w:rPr>
          <w:t>5</w:t>
        </w:r>
      </w:hyperlink>
      <w:r w:rsidRPr="00C62659">
        <w:rPr>
          <w:rFonts w:ascii="-webkit-standard" w:eastAsia="Times New Roman" w:hAnsi="-webkit-standard" w:cs="Times New Roman"/>
          <w:color w:val="000000"/>
          <w:lang w:val="en-CA"/>
        </w:rPr>
        <w:t>).</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t>LO3 – Explain the purpose and content of notes to financial statements.</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In accordance with the GAAP principle of full disclosure, relevant details not contained in the body of financial statements are included in the accompanying notes to financial statements. Notes would include a summary of accounting policies, details regarding property, plant, and equipment assets, and specifics about liabilities such as the interest rates and repayment terms.</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t>LO4 – Explain the purpose and content of the auditor's report.</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lastRenderedPageBreak/>
        <w:t>An audit as it relates to the auditor's report is an external examination of a company's financial statement information and its system of internal controls. Internal controls are the processes instituted by management of a company to direct, monitor, and measure the accomplishment of its objectives including the prevention and detection of fraud and error. The auditor's report provides some assurance that the financial statements are trustworthy. In simple terms, an unqualified auditor's report indicates that the financial statements are truthful and a qualified auditor's report is one that indicates the financial statements are not or may not be truthful.</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t>LO5 – Explain the purpose and content of the report that describes management's responsibility for financial statements.</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This report makes a statement describing management's responsibility for the accurate preparation and presentation of financial statements.</w:t>
      </w:r>
    </w:p>
    <w:p w:rsidR="00C62659" w:rsidRPr="00C62659" w:rsidRDefault="00C62659" w:rsidP="00C62659">
      <w:pPr>
        <w:pStyle w:val="Heading2"/>
        <w:jc w:val="center"/>
        <w:rPr>
          <w:rFonts w:ascii="-webkit-standard" w:hAnsi="-webkit-standard"/>
          <w:color w:val="003835"/>
          <w:u w:val="single"/>
        </w:rPr>
      </w:pPr>
      <w:r w:rsidRPr="00C62659">
        <w:rPr>
          <w:rFonts w:ascii="-webkit-standard" w:hAnsi="-webkit-standard"/>
          <w:color w:val="003835"/>
          <w:u w:val="single"/>
        </w:rPr>
        <w:t>Chapter 5</w:t>
      </w:r>
    </w:p>
    <w:p w:rsidR="00C62659" w:rsidRDefault="00C62659" w:rsidP="00C62659">
      <w:pPr>
        <w:pStyle w:val="Heading2"/>
        <w:rPr>
          <w:rFonts w:ascii="-webkit-standard" w:hAnsi="-webkit-standard"/>
          <w:color w:val="003835"/>
        </w:rPr>
      </w:pPr>
      <w:r>
        <w:rPr>
          <w:rFonts w:ascii="-webkit-standard" w:hAnsi="-webkit-standard"/>
          <w:color w:val="003835"/>
        </w:rPr>
        <w:t>LO1 – Describe merchandising and explain the financial statement components of sales, cost of goods sold, merchandise inventory, and gross profit; differentiate between the perpetual and periodic inventory systems.</w:t>
      </w:r>
    </w:p>
    <w:p w:rsidR="00C62659" w:rsidRDefault="00C62659" w:rsidP="00C62659">
      <w:pPr>
        <w:pStyle w:val="NormalWeb"/>
        <w:rPr>
          <w:rFonts w:ascii="-webkit-standard" w:hAnsi="-webkit-standard"/>
          <w:color w:val="000000"/>
        </w:rPr>
      </w:pPr>
      <w:r>
        <w:rPr>
          <w:rFonts w:ascii="-webkit-standard" w:hAnsi="-webkit-standard"/>
          <w:color w:val="000000"/>
        </w:rPr>
        <w:t>Merchandisers buy and resell products. Merchandise inventory, an asset, is purchased from suppliers and resold to customers to generate sales revenue. The cost of the merchandise inventory sold is an expense called cost of goods sold. The profit realized on the sale of merchandise inventory before considering any other expenses is called gross profit. Gross profit may be expressed as a dollar amount or as a percentage. To track merchandise inventory and cost of goods sold in real time, a perpetual inventory system is used; the balance in each of Merchandise Inventory and Cost of Goods Sold is always up-to-date. In a periodic inventory system, a physical count of the inventory must be performed in order to determine the balance in Merchandise Inventory and Cost of Goods Sold.</w:t>
      </w:r>
    </w:p>
    <w:p w:rsidR="00C62659" w:rsidRDefault="00C62659" w:rsidP="00C62659">
      <w:pPr>
        <w:pStyle w:val="Heading2"/>
        <w:rPr>
          <w:rFonts w:ascii="-webkit-standard" w:hAnsi="-webkit-standard"/>
          <w:color w:val="003835"/>
        </w:rPr>
      </w:pPr>
      <w:r>
        <w:rPr>
          <w:rFonts w:ascii="-webkit-standard" w:hAnsi="-webkit-standard"/>
          <w:color w:val="003835"/>
        </w:rPr>
        <w:t>LO2 – Analyze and record purchase transactions for a merchandiser.</w:t>
      </w:r>
    </w:p>
    <w:p w:rsidR="00C62659" w:rsidRDefault="00C62659" w:rsidP="00C62659">
      <w:pPr>
        <w:pStyle w:val="NormalWeb"/>
        <w:rPr>
          <w:rFonts w:ascii="-webkit-standard" w:hAnsi="-webkit-standard"/>
          <w:color w:val="000000"/>
        </w:rPr>
      </w:pPr>
      <w:r>
        <w:rPr>
          <w:rFonts w:ascii="-webkit-standard" w:hAnsi="-webkit-standard"/>
          <w:color w:val="000000"/>
        </w:rPr>
        <w:t>In a perpetual inventory system, a merchandiser debits Merchandise Inventory regarding the purchase of merchandise for resale from a supplier. Any purchase returns and allowances or purchase discounts are credited to Merchandise Inventory as they occur to keep the accounts up-to-date.</w:t>
      </w:r>
    </w:p>
    <w:p w:rsidR="00C62659" w:rsidRDefault="00C62659" w:rsidP="00C62659">
      <w:pPr>
        <w:pStyle w:val="Heading2"/>
        <w:rPr>
          <w:rFonts w:ascii="-webkit-standard" w:hAnsi="-webkit-standard"/>
          <w:color w:val="003835"/>
        </w:rPr>
      </w:pPr>
      <w:r>
        <w:rPr>
          <w:rFonts w:ascii="-webkit-standard" w:hAnsi="-webkit-standard"/>
          <w:color w:val="003835"/>
        </w:rPr>
        <w:lastRenderedPageBreak/>
        <w:t>LO3 – Analyze and record sales transactions for a merchandiser.</w:t>
      </w:r>
    </w:p>
    <w:p w:rsidR="00C62659" w:rsidRDefault="00C62659" w:rsidP="00C62659">
      <w:pPr>
        <w:pStyle w:val="NormalWeb"/>
        <w:rPr>
          <w:rFonts w:ascii="-webkit-standard" w:hAnsi="-webkit-standard"/>
          <w:color w:val="000000"/>
        </w:rPr>
      </w:pPr>
      <w:r>
        <w:rPr>
          <w:rFonts w:ascii="-webkit-standard" w:hAnsi="-webkit-standard"/>
          <w:color w:val="000000"/>
        </w:rPr>
        <w:t>In a perpetual inventory system, a merchandiser records two entries at the time of sale: one to record the sale and a second to record the cost of the sale. Sales returns that are returned to inventory also require two entries: one to reverse the sale by debiting a sales returns and allowances account and a second to restore the merchandise to inventory by debiting Merchandise Inventory and crediting Cost of Goods Sold. Sales returns not restored to inventory as well as sales allowances are recorded with one entry: debit sales returns and allowances and credit cash or accounts receivable. Sales discounts are recorded when a credit customer submits their payment within the discount period specified.</w:t>
      </w:r>
    </w:p>
    <w:p w:rsidR="00C62659" w:rsidRDefault="00C62659" w:rsidP="00C62659">
      <w:pPr>
        <w:pStyle w:val="Heading2"/>
        <w:rPr>
          <w:rFonts w:ascii="-webkit-standard" w:hAnsi="-webkit-standard"/>
          <w:color w:val="003835"/>
        </w:rPr>
      </w:pPr>
      <w:r>
        <w:rPr>
          <w:rFonts w:ascii="-webkit-standard" w:hAnsi="-webkit-standard"/>
          <w:color w:val="003835"/>
        </w:rPr>
        <w:t>LO4 – Record adjustments to merchandise inventory.</w:t>
      </w:r>
    </w:p>
    <w:p w:rsidR="00C62659" w:rsidRDefault="00C62659" w:rsidP="00C62659">
      <w:pPr>
        <w:pStyle w:val="NormalWeb"/>
        <w:rPr>
          <w:rFonts w:ascii="-webkit-standard" w:hAnsi="-webkit-standard"/>
          <w:color w:val="000000"/>
        </w:rPr>
      </w:pPr>
      <w:r>
        <w:rPr>
          <w:rFonts w:ascii="-webkit-standard" w:hAnsi="-webkit-standard"/>
          <w:color w:val="000000"/>
        </w:rPr>
        <w:t>A physical count of merchandise inventory is performed and the total compared to the general ledger balance of Merchandise Inventory. Discrepancies are recorded as an adjusting entry that debits cost of goods sold and credits Merchandise Inventory.</w:t>
      </w:r>
    </w:p>
    <w:p w:rsidR="00C62659" w:rsidRDefault="00C62659" w:rsidP="00C62659">
      <w:pPr>
        <w:pStyle w:val="Heading2"/>
        <w:rPr>
          <w:rFonts w:ascii="-webkit-standard" w:hAnsi="-webkit-standard"/>
          <w:color w:val="003835"/>
        </w:rPr>
      </w:pPr>
      <w:r>
        <w:rPr>
          <w:rFonts w:ascii="-webkit-standard" w:hAnsi="-webkit-standard"/>
          <w:color w:val="003835"/>
        </w:rPr>
        <w:t>LO5 – Explain and prepare a classified multiple-step income statement for a merchandiser.</w:t>
      </w:r>
    </w:p>
    <w:p w:rsidR="00C62659" w:rsidRDefault="00C62659" w:rsidP="00C62659">
      <w:pPr>
        <w:pStyle w:val="NormalWeb"/>
        <w:rPr>
          <w:rFonts w:ascii="-webkit-standard" w:hAnsi="-webkit-standard"/>
          <w:color w:val="000000"/>
        </w:rPr>
      </w:pPr>
      <w:r>
        <w:rPr>
          <w:rFonts w:ascii="-webkit-standard" w:hAnsi="-webkit-standard"/>
          <w:color w:val="000000"/>
        </w:rPr>
        <w:t>A classified multiple-step income statement for a merchandiser is for internal use because of the detail provided. Sales, less sales returns and allowances and sales discounts, results in net sales. Net sales less cost of goods sold equals gross profit. Expenses are shown based on both their function and nature. The functional or group headings are: operating expenses, selling expenses, and general and administrative expenses. Within each grouping, the nature of expenses is detailed including: depreciation, salaries, advertising, wages, and insurance. A specific expense can be divided between groupings.</w:t>
      </w:r>
    </w:p>
    <w:p w:rsidR="00C62659" w:rsidRDefault="00C62659" w:rsidP="00C62659">
      <w:pPr>
        <w:pStyle w:val="Heading2"/>
        <w:rPr>
          <w:rFonts w:ascii="-webkit-standard" w:hAnsi="-webkit-standard"/>
          <w:color w:val="003835"/>
        </w:rPr>
      </w:pPr>
      <w:r>
        <w:rPr>
          <w:rFonts w:ascii="-webkit-standard" w:hAnsi="-webkit-standard"/>
          <w:color w:val="003835"/>
        </w:rPr>
        <w:t>LO6 – Explain the closing process for a merchandiser.</w:t>
      </w:r>
    </w:p>
    <w:p w:rsidR="00C62659" w:rsidRDefault="00C62659" w:rsidP="00C62659">
      <w:pPr>
        <w:pStyle w:val="NormalWeb"/>
        <w:rPr>
          <w:rFonts w:ascii="-webkit-standard" w:hAnsi="-webkit-standard"/>
          <w:color w:val="000000"/>
        </w:rPr>
      </w:pPr>
      <w:r>
        <w:rPr>
          <w:rFonts w:ascii="-webkit-standard" w:hAnsi="-webkit-standard"/>
          <w:color w:val="000000"/>
        </w:rPr>
        <w:t>The steps in preparing closing entries for a merchandiser are the same as for a service company. The difference is that a merchandiser will need to close income statement accounts unique to merchandising such as: Sales, Sales Returns and Allowances, Sales Discounts, and Cost of Goods Sold.</w:t>
      </w:r>
    </w:p>
    <w:p w:rsidR="00C62659" w:rsidRDefault="00C62659" w:rsidP="00C62659">
      <w:pPr>
        <w:pStyle w:val="Heading2"/>
        <w:rPr>
          <w:rFonts w:ascii="-webkit-standard" w:hAnsi="-webkit-standard"/>
          <w:color w:val="003835"/>
        </w:rPr>
      </w:pPr>
      <w:r>
        <w:rPr>
          <w:rFonts w:ascii="-webkit-standard" w:hAnsi="-webkit-standard"/>
          <w:color w:val="003835"/>
        </w:rPr>
        <w:t>LO7 – Explain and identify the entries regarding purchase and sales transactions in a periodic inventory system.</w:t>
      </w:r>
    </w:p>
    <w:p w:rsidR="00C62659" w:rsidRDefault="00C62659" w:rsidP="00C62659">
      <w:pPr>
        <w:pStyle w:val="NormalWeb"/>
        <w:rPr>
          <w:rFonts w:ascii="-webkit-standard" w:hAnsi="-webkit-standard"/>
          <w:color w:val="000000"/>
        </w:rPr>
      </w:pPr>
      <w:r>
        <w:rPr>
          <w:rFonts w:ascii="-webkit-standard" w:hAnsi="-webkit-standard"/>
          <w:color w:val="000000"/>
        </w:rPr>
        <w:lastRenderedPageBreak/>
        <w:t>A periodic inventory system maintains a Merchandise Inventory account but does not have a Cost of Goods Sold account. The Merchandise Inventory account is updated at the end of the accounting period as a result of a physical inventory count. Because a merchandiser using a period system does not use a Merchandise Inventory account to record purchase or sales transactions during the accounting period, it maintains accounts that are different than under a perpetual system, namely, Purchases, Purchase Returns and Allowances, Purchase Discounts, and Transportation-in.</w:t>
      </w:r>
    </w:p>
    <w:p w:rsidR="00C62659" w:rsidRPr="00C62659" w:rsidRDefault="00C62659" w:rsidP="00C62659">
      <w:pPr>
        <w:pStyle w:val="Heading2"/>
        <w:jc w:val="center"/>
        <w:rPr>
          <w:rFonts w:ascii="-webkit-standard" w:hAnsi="-webkit-standard"/>
          <w:color w:val="003835"/>
          <w:u w:val="single"/>
        </w:rPr>
      </w:pPr>
      <w:r w:rsidRPr="00C62659">
        <w:rPr>
          <w:rFonts w:ascii="-webkit-standard" w:hAnsi="-webkit-standard"/>
          <w:color w:val="003835"/>
          <w:u w:val="single"/>
        </w:rPr>
        <w:t>Chapter 6</w:t>
      </w:r>
    </w:p>
    <w:p w:rsidR="00C62659" w:rsidRDefault="00C62659" w:rsidP="00C62659">
      <w:pPr>
        <w:pStyle w:val="Heading2"/>
        <w:rPr>
          <w:rFonts w:ascii="-webkit-standard" w:hAnsi="-webkit-standard"/>
          <w:color w:val="003835"/>
        </w:rPr>
      </w:pPr>
      <w:r>
        <w:rPr>
          <w:rFonts w:ascii="-webkit-standard" w:hAnsi="-webkit-standard"/>
          <w:color w:val="003835"/>
        </w:rPr>
        <w:t>LO1 – Calculate cost of goods sold and merchandise inventory using specific identification, first-in first-out (FIFO), and weighted average cost flow assumptions—perpetual.</w:t>
      </w:r>
    </w:p>
    <w:p w:rsidR="00C62659" w:rsidRDefault="00C62659" w:rsidP="00C62659">
      <w:pPr>
        <w:pStyle w:val="NormalWeb"/>
        <w:rPr>
          <w:rFonts w:ascii="-webkit-standard" w:hAnsi="-webkit-standard"/>
          <w:color w:val="000000"/>
        </w:rPr>
      </w:pPr>
      <w:r>
        <w:rPr>
          <w:rFonts w:ascii="-webkit-standard" w:hAnsi="-webkit-standard"/>
          <w:color w:val="000000"/>
        </w:rPr>
        <w:t>Cost of goods available for sale must be allocated between cost of goods sold and ending inventory using a cost flow assumption. Specific identification allocates cost to units sold by using the actual cost of the specific unit sold. FIFO (first-in first-out) allocates cost to units sold by assuming the units sold were the oldest units in inventory. Weighted average allocates cost to units sold by calculating a weighted average cost per unit at the time of sale.</w:t>
      </w:r>
    </w:p>
    <w:p w:rsidR="00C62659" w:rsidRDefault="00C62659" w:rsidP="00C62659">
      <w:pPr>
        <w:pStyle w:val="Heading2"/>
        <w:rPr>
          <w:rFonts w:ascii="-webkit-standard" w:hAnsi="-webkit-standard"/>
          <w:color w:val="003835"/>
        </w:rPr>
      </w:pPr>
      <w:r>
        <w:rPr>
          <w:rFonts w:ascii="-webkit-standard" w:hAnsi="-webkit-standard"/>
          <w:color w:val="003835"/>
        </w:rPr>
        <w:t>LO2 – Explain the impact on financial statements of inventory cost flows and errors.</w:t>
      </w:r>
    </w:p>
    <w:p w:rsidR="00C62659" w:rsidRDefault="00C62659" w:rsidP="00C62659">
      <w:pPr>
        <w:pStyle w:val="NormalWeb"/>
        <w:rPr>
          <w:rFonts w:ascii="-webkit-standard" w:hAnsi="-webkit-standard"/>
          <w:color w:val="000000"/>
        </w:rPr>
      </w:pPr>
      <w:r>
        <w:rPr>
          <w:rFonts w:ascii="-webkit-standard" w:hAnsi="-webkit-standard"/>
          <w:color w:val="000000"/>
        </w:rPr>
        <w:t>As purchase prices change, particular inventory methods will assign different cost of goods sold and resulting ending inventory to the financial statements. Specific identification achieves the exact matching of revenues and costs while weighted average accomplishes an averaging of price changes, or smoothing. The use of FIFO results in the current cost of inventory appearing on the balance sheet in ending inventory. The cost flow method in use must be disclosed in the notes to the financial statements and be applied consistently from period to period. An error in ending inventory in one period impacts the balance sheet (inventory and equity) and the income statement (COGS and net income) for that accounting period and the next. However, inventory errors in one period reverse themselves in the next.</w:t>
      </w:r>
    </w:p>
    <w:p w:rsidR="00C62659" w:rsidRDefault="00C62659" w:rsidP="00C62659">
      <w:pPr>
        <w:pStyle w:val="Heading2"/>
        <w:rPr>
          <w:rFonts w:ascii="-webkit-standard" w:hAnsi="-webkit-standard"/>
          <w:color w:val="003835"/>
        </w:rPr>
      </w:pPr>
      <w:r>
        <w:rPr>
          <w:rFonts w:ascii="-webkit-standard" w:hAnsi="-webkit-standard"/>
          <w:color w:val="003835"/>
        </w:rPr>
        <w:t>LO3 – Explain and calculate lower of cost and net realizable value inventory adjustments.</w:t>
      </w:r>
    </w:p>
    <w:p w:rsidR="00C62659" w:rsidRDefault="00C62659" w:rsidP="00C62659">
      <w:pPr>
        <w:pStyle w:val="NormalWeb"/>
        <w:rPr>
          <w:rFonts w:ascii="-webkit-standard" w:hAnsi="-webkit-standard"/>
          <w:color w:val="000000"/>
        </w:rPr>
      </w:pPr>
      <w:r>
        <w:rPr>
          <w:rFonts w:ascii="-webkit-standard" w:hAnsi="-webkit-standard"/>
          <w:color w:val="000000"/>
        </w:rPr>
        <w:t xml:space="preserve">Inventory must be evaluated, at minimum, each accounting period to determine whether the net realizable value (NRV) is lower than cost, known as the lower of cost and net </w:t>
      </w:r>
      <w:r>
        <w:rPr>
          <w:rFonts w:ascii="-webkit-standard" w:hAnsi="-webkit-standard"/>
          <w:color w:val="000000"/>
        </w:rPr>
        <w:lastRenderedPageBreak/>
        <w:t>realizable value (LCNRV) of inventory. An adjustment is made if the NRV is lower than cost. LCNRV can be applied to groups of similar items or by item.</w:t>
      </w:r>
    </w:p>
    <w:p w:rsidR="00C62659" w:rsidRDefault="00C62659" w:rsidP="00C62659">
      <w:pPr>
        <w:pStyle w:val="Heading2"/>
        <w:rPr>
          <w:rFonts w:ascii="-webkit-standard" w:hAnsi="-webkit-standard"/>
          <w:color w:val="003835"/>
        </w:rPr>
      </w:pPr>
      <w:r>
        <w:rPr>
          <w:rFonts w:ascii="-webkit-standard" w:hAnsi="-webkit-standard"/>
          <w:color w:val="003835"/>
        </w:rPr>
        <w:t>LO4 – Estimate merchandise inventory using the gross profit method and the retail inventory method.</w:t>
      </w:r>
    </w:p>
    <w:p w:rsidR="00C62659" w:rsidRDefault="00C62659" w:rsidP="00C62659">
      <w:pPr>
        <w:pStyle w:val="NormalWeb"/>
        <w:rPr>
          <w:rFonts w:ascii="-webkit-standard" w:hAnsi="-webkit-standard"/>
          <w:color w:val="000000"/>
        </w:rPr>
      </w:pPr>
      <w:r>
        <w:rPr>
          <w:rFonts w:ascii="-webkit-standard" w:hAnsi="-webkit-standard"/>
          <w:color w:val="000000"/>
        </w:rPr>
        <w:t>Estimating inventory using the gross profit method requires that estimated cost of goods sold be calculated by, first, multiplying net sales by the gross profit ratio. Estimated ending inventory at cost is then arrived at by taking goods available for sale at cost less the estimated cost of goods sold. To apply the retail inventory method, three calculations are required:</w:t>
      </w:r>
    </w:p>
    <w:p w:rsidR="00C62659" w:rsidRDefault="00C62659" w:rsidP="00C62659">
      <w:pPr>
        <w:pStyle w:val="NormalWeb"/>
        <w:numPr>
          <w:ilvl w:val="0"/>
          <w:numId w:val="3"/>
        </w:numPr>
        <w:rPr>
          <w:rFonts w:ascii="-webkit-standard" w:hAnsi="-webkit-standard"/>
          <w:color w:val="000000"/>
        </w:rPr>
      </w:pPr>
      <w:r>
        <w:rPr>
          <w:rFonts w:ascii="-webkit-standard" w:hAnsi="-webkit-standard"/>
          <w:color w:val="000000"/>
        </w:rPr>
        <w:t>retail value of goods available for sale less retail value of net sales equals retail value of ending inventory,</w:t>
      </w:r>
    </w:p>
    <w:p w:rsidR="00C62659" w:rsidRDefault="00C62659" w:rsidP="00C62659">
      <w:pPr>
        <w:pStyle w:val="NormalWeb"/>
        <w:numPr>
          <w:ilvl w:val="0"/>
          <w:numId w:val="3"/>
        </w:numPr>
        <w:rPr>
          <w:rFonts w:ascii="-webkit-standard" w:hAnsi="-webkit-standard"/>
          <w:color w:val="000000"/>
        </w:rPr>
      </w:pPr>
      <w:r>
        <w:rPr>
          <w:rFonts w:ascii="-webkit-standard" w:hAnsi="-webkit-standard"/>
          <w:color w:val="000000"/>
        </w:rPr>
        <w:t>goods available for sale at cost divided by retail value of goods available for sale equals cost to retail ratio, and</w:t>
      </w:r>
    </w:p>
    <w:p w:rsidR="00C62659" w:rsidRDefault="00C62659" w:rsidP="00C62659">
      <w:pPr>
        <w:pStyle w:val="NormalWeb"/>
        <w:numPr>
          <w:ilvl w:val="0"/>
          <w:numId w:val="3"/>
        </w:numPr>
        <w:rPr>
          <w:rFonts w:ascii="-webkit-standard" w:hAnsi="-webkit-standard"/>
          <w:color w:val="000000"/>
        </w:rPr>
      </w:pPr>
      <w:r>
        <w:rPr>
          <w:rFonts w:ascii="-webkit-standard" w:hAnsi="-webkit-standard"/>
          <w:color w:val="000000"/>
        </w:rPr>
        <w:t>retail value of ending inventory multiplied by the cost to retail ratio equals estimated cost of ending inventory.</w:t>
      </w:r>
    </w:p>
    <w:p w:rsidR="00C62659" w:rsidRDefault="00C62659" w:rsidP="00C62659">
      <w:pPr>
        <w:pStyle w:val="Heading2"/>
        <w:rPr>
          <w:rFonts w:ascii="-webkit-standard" w:hAnsi="-webkit-standard"/>
          <w:color w:val="003835"/>
        </w:rPr>
      </w:pPr>
      <w:r>
        <w:rPr>
          <w:rFonts w:ascii="-webkit-standard" w:hAnsi="-webkit-standard"/>
          <w:color w:val="003835"/>
        </w:rPr>
        <w:t>LO5 – Explain and calculate merchandise inventory turnover.</w:t>
      </w:r>
    </w:p>
    <w:p w:rsidR="00C62659" w:rsidRDefault="00C62659" w:rsidP="00C62659">
      <w:pPr>
        <w:pStyle w:val="NormalWeb"/>
        <w:rPr>
          <w:rFonts w:ascii="-webkit-standard" w:hAnsi="-webkit-standard"/>
          <w:color w:val="000000"/>
        </w:rPr>
      </w:pPr>
      <w:r>
        <w:rPr>
          <w:rFonts w:ascii="-webkit-standard" w:hAnsi="-webkit-standard"/>
          <w:color w:val="000000"/>
        </w:rPr>
        <w:t>The merchandise turnover is a liquidity ratio that measures how quickly inventory is sold. It is calculated as: COGS/Average Merchandise Inventory. Average merchandise inventory is the beginning inventory balance plus the ending inventory balance divided by two.</w:t>
      </w:r>
    </w:p>
    <w:p w:rsidR="00C62659" w:rsidRDefault="00C62659" w:rsidP="00C62659">
      <w:pPr>
        <w:pStyle w:val="Heading2"/>
        <w:rPr>
          <w:rFonts w:ascii="-webkit-standard" w:hAnsi="-webkit-standard"/>
          <w:color w:val="003835"/>
        </w:rPr>
      </w:pPr>
      <w:r>
        <w:rPr>
          <w:rFonts w:ascii="-webkit-standard" w:hAnsi="-webkit-standard"/>
          <w:color w:val="003835"/>
        </w:rPr>
        <w:t>LO6 – Calculate cost of goods sold and merchandise inventory using specific identification, first-in first-out (FIFO), and weighted average cost flow assumptions—periodic.</w:t>
      </w:r>
    </w:p>
    <w:p w:rsidR="00C62659" w:rsidRDefault="00C62659" w:rsidP="00C62659">
      <w:pPr>
        <w:pStyle w:val="NormalWeb"/>
        <w:rPr>
          <w:rFonts w:ascii="-webkit-standard" w:hAnsi="-webkit-standard"/>
          <w:color w:val="000000"/>
        </w:rPr>
      </w:pPr>
      <w:r>
        <w:rPr>
          <w:rFonts w:ascii="-webkit-standard" w:hAnsi="-webkit-standard"/>
          <w:color w:val="000000"/>
        </w:rPr>
        <w:t>Periodic systems assign cost of goods available for sale to cost of goods sold and ending inventory at the end of the accounting period. Specific identification and FIFO give identical results in each of periodic and perpetual. The weighted average cost, periodic, will differ from its perpetual counterpart because in periodic, the average cost per unit is calculated at the end of the accounting period based on total goods that were available for sale.</w:t>
      </w:r>
    </w:p>
    <w:p w:rsidR="00C62659" w:rsidRPr="00C62659" w:rsidRDefault="00C62659" w:rsidP="00C62659">
      <w:pPr>
        <w:pStyle w:val="Heading2"/>
        <w:jc w:val="center"/>
        <w:rPr>
          <w:rFonts w:ascii="-webkit-standard" w:hAnsi="-webkit-standard"/>
          <w:color w:val="003835"/>
          <w:u w:val="single"/>
        </w:rPr>
      </w:pPr>
      <w:r w:rsidRPr="00C62659">
        <w:rPr>
          <w:rFonts w:ascii="-webkit-standard" w:hAnsi="-webkit-standard"/>
          <w:color w:val="003835"/>
          <w:u w:val="single"/>
        </w:rPr>
        <w:t>Chapter 7</w:t>
      </w:r>
    </w:p>
    <w:p w:rsidR="00C62659" w:rsidRDefault="00C62659" w:rsidP="00C62659">
      <w:pPr>
        <w:pStyle w:val="Heading2"/>
        <w:rPr>
          <w:rFonts w:ascii="-webkit-standard" w:hAnsi="-webkit-standard"/>
          <w:color w:val="003835"/>
        </w:rPr>
      </w:pPr>
      <w:r>
        <w:rPr>
          <w:rFonts w:ascii="-webkit-standard" w:hAnsi="-webkit-standard"/>
          <w:color w:val="003835"/>
        </w:rPr>
        <w:lastRenderedPageBreak/>
        <w:t>LO1 – Define internal control and explain how it is applied to cash.</w:t>
      </w:r>
    </w:p>
    <w:p w:rsidR="00C62659" w:rsidRDefault="00C62659" w:rsidP="00C62659">
      <w:pPr>
        <w:pStyle w:val="NormalWeb"/>
        <w:rPr>
          <w:rFonts w:ascii="-webkit-standard" w:hAnsi="-webkit-standard"/>
          <w:color w:val="000000"/>
        </w:rPr>
      </w:pPr>
      <w:r>
        <w:rPr>
          <w:rFonts w:ascii="-webkit-standard" w:hAnsi="-webkit-standard"/>
          <w:color w:val="000000"/>
        </w:rPr>
        <w:t>The purpose of internal controls is to safeguard the assets of a business. Since cash is a particularly vulnerable asset, policies and procedures specific to cash need to be implemented, such as the use of cheques and electronic funds transfer for payments, daily cash deposits into a financial institution, and the preparation of bank reconciliations.</w:t>
      </w:r>
    </w:p>
    <w:p w:rsidR="00C62659" w:rsidRDefault="00C62659" w:rsidP="00C62659">
      <w:pPr>
        <w:pStyle w:val="Heading2"/>
        <w:rPr>
          <w:rFonts w:ascii="-webkit-standard" w:hAnsi="-webkit-standard"/>
          <w:color w:val="003835"/>
        </w:rPr>
      </w:pPr>
      <w:r>
        <w:rPr>
          <w:rFonts w:ascii="-webkit-standard" w:hAnsi="-webkit-standard"/>
          <w:color w:val="003835"/>
        </w:rPr>
        <w:t>LO2 – Explain and journalize petty cash transactions.</w:t>
      </w:r>
    </w:p>
    <w:p w:rsidR="00C62659" w:rsidRDefault="00C62659" w:rsidP="00C62659">
      <w:pPr>
        <w:pStyle w:val="NormalWeb"/>
        <w:rPr>
          <w:rFonts w:ascii="-webkit-standard" w:hAnsi="-webkit-standard"/>
          <w:color w:val="000000"/>
        </w:rPr>
      </w:pPr>
      <w:r>
        <w:rPr>
          <w:rFonts w:ascii="-webkit-standard" w:hAnsi="-webkit-standard"/>
          <w:color w:val="000000"/>
        </w:rPr>
        <w:t>A petty cash fund is used to pay small, irregular amounts for which issuing a cheque would be inefficient. A petty cash custodian administers the fund by obtaining a cheque from the cash payments clerk. The cheque is cashed and the coin and currency placed in a locked box. The petty cash custodian collects receipts and reimburses individuals for the related amounts. When the petty cash fund is replenished, the receipts are compiled and submitted for entry in the accounting records so that a replacement cheque can be issued and cashed.</w:t>
      </w:r>
    </w:p>
    <w:p w:rsidR="00C62659" w:rsidRDefault="00C62659" w:rsidP="00C62659">
      <w:pPr>
        <w:pStyle w:val="Heading2"/>
        <w:rPr>
          <w:rFonts w:ascii="-webkit-standard" w:hAnsi="-webkit-standard"/>
          <w:color w:val="003835"/>
        </w:rPr>
      </w:pPr>
      <w:r>
        <w:rPr>
          <w:rFonts w:ascii="-webkit-standard" w:hAnsi="-webkit-standard"/>
          <w:color w:val="003835"/>
        </w:rPr>
        <w:t>LO3 – Explain the purpose of and prepare a bank reconciliation, and record related adjustments.</w:t>
      </w:r>
    </w:p>
    <w:p w:rsidR="00C62659" w:rsidRDefault="00C62659" w:rsidP="00C62659">
      <w:pPr>
        <w:pStyle w:val="NormalWeb"/>
        <w:rPr>
          <w:rFonts w:ascii="-webkit-standard" w:hAnsi="-webkit-standard"/>
          <w:color w:val="000000"/>
        </w:rPr>
      </w:pPr>
      <w:r>
        <w:rPr>
          <w:rFonts w:ascii="-webkit-standard" w:hAnsi="-webkit-standard"/>
          <w:color w:val="000000"/>
        </w:rPr>
        <w:t>A bank reconciliation is a form of internal control that reconciles the bank statement balance to the general ledger cash account, also known as the book balance. Reconciling items that affect the bank statement balance are outstanding deposits, outstanding cheques, and bank errors. Reconciling items that affect the book balance are collections made by the bank on behalf of the company, NSF cheques, bank service charges, and errors. Once the book and bank statement balances are reconciled, an adjusting entry is prepared based on the reconciling items affecting the book balance.</w:t>
      </w:r>
    </w:p>
    <w:p w:rsidR="00C62659" w:rsidRDefault="00C62659" w:rsidP="00C62659">
      <w:pPr>
        <w:pStyle w:val="Heading2"/>
        <w:rPr>
          <w:rFonts w:ascii="-webkit-standard" w:hAnsi="-webkit-standard"/>
          <w:color w:val="003835"/>
        </w:rPr>
      </w:pPr>
      <w:r>
        <w:rPr>
          <w:rFonts w:ascii="-webkit-standard" w:hAnsi="-webkit-standard"/>
          <w:color w:val="003835"/>
        </w:rPr>
        <w:t>LO4 – Explain, calculate, and record estimated uncollectible accounts receivable and subsequent write-offs and recoveries.</w:t>
      </w:r>
    </w:p>
    <w:p w:rsidR="00C62659" w:rsidRDefault="00C62659" w:rsidP="00C62659">
      <w:pPr>
        <w:pStyle w:val="NormalWeb"/>
        <w:rPr>
          <w:rFonts w:ascii="-webkit-standard" w:hAnsi="-webkit-standard"/>
          <w:color w:val="000000"/>
        </w:rPr>
      </w:pPr>
      <w:r>
        <w:rPr>
          <w:rFonts w:ascii="-webkit-standard" w:hAnsi="-webkit-standard"/>
          <w:color w:val="000000"/>
        </w:rPr>
        <w:t xml:space="preserve">Not all accounts receivable are collected, resulting in uncollectible accounts. Because it is not known which receivables will become uncollectible, the allowance approach is used to match the cost of estimated uncollectible accounts to the period in which the related revenue was generated. The adjusting entry to record estimated </w:t>
      </w:r>
      <w:proofErr w:type="spellStart"/>
      <w:r>
        <w:rPr>
          <w:rFonts w:ascii="-webkit-standard" w:hAnsi="-webkit-standard"/>
          <w:color w:val="000000"/>
        </w:rPr>
        <w:t>uncollectibles</w:t>
      </w:r>
      <w:proofErr w:type="spellEnd"/>
      <w:r>
        <w:rPr>
          <w:rFonts w:ascii="-webkit-standard" w:hAnsi="-webkit-standard"/>
          <w:color w:val="000000"/>
        </w:rPr>
        <w:t xml:space="preserve"> is a debit to Bad Debt Expense and a credit to Allowance for Doubtful Accounts (AFDA). The income statement method and the balance sheet method are two ways to estimate and apply the allowance approach. The income statement method calculates bad debt expense based on a percentage of credit sales while the balance sheet method calculates total estimated uncollectible accounts (aka the balance in AFDA) using an aging analysis. When receivables are identified as being uncollectible, they are written off. If write-offs subsequently become </w:t>
      </w:r>
      <w:r>
        <w:rPr>
          <w:rFonts w:ascii="-webkit-standard" w:hAnsi="-webkit-standard"/>
          <w:color w:val="000000"/>
        </w:rPr>
        <w:lastRenderedPageBreak/>
        <w:t>collectible, a recovery is recorded using two entries: by reversing the write-off (or the portion that is recoverable) and then journalizing the collection.</w:t>
      </w:r>
    </w:p>
    <w:p w:rsidR="00C62659" w:rsidRDefault="00C62659" w:rsidP="00C62659">
      <w:pPr>
        <w:pStyle w:val="Heading2"/>
        <w:rPr>
          <w:rFonts w:ascii="-webkit-standard" w:hAnsi="-webkit-standard"/>
          <w:color w:val="003835"/>
        </w:rPr>
      </w:pPr>
      <w:r>
        <w:rPr>
          <w:rFonts w:ascii="-webkit-standard" w:hAnsi="-webkit-standard"/>
          <w:color w:val="003835"/>
        </w:rPr>
        <w:t>LO5 – Explain and record a short-term notes receivable as well as calculate related interest.</w:t>
      </w:r>
    </w:p>
    <w:p w:rsidR="00C62659" w:rsidRDefault="00C62659" w:rsidP="00C62659">
      <w:pPr>
        <w:pStyle w:val="NormalWeb"/>
        <w:rPr>
          <w:rFonts w:ascii="-webkit-standard" w:hAnsi="-webkit-standard"/>
          <w:color w:val="000000"/>
        </w:rPr>
      </w:pPr>
      <w:r>
        <w:rPr>
          <w:rFonts w:ascii="-webkit-standard" w:hAnsi="-webkit-standard"/>
          <w:color w:val="000000"/>
        </w:rPr>
        <w:t>A short-term notes receivable is a promissory note that bears an interest rate calculated over the term of the note. Short-term notes receivable are current assets that mature within 12 months from the date of issue or within a business's operating cycle, whichever is longer. Notes can be issued to a customer at the time of sale, or a note receivable can replace an overdue receivable.</w:t>
      </w:r>
    </w:p>
    <w:p w:rsidR="00C62659" w:rsidRDefault="00C62659" w:rsidP="00C62659">
      <w:pPr>
        <w:pStyle w:val="Heading2"/>
        <w:rPr>
          <w:rFonts w:ascii="-webkit-standard" w:hAnsi="-webkit-standard"/>
          <w:color w:val="003835"/>
        </w:rPr>
      </w:pPr>
      <w:r>
        <w:rPr>
          <w:rFonts w:ascii="-webkit-standard" w:hAnsi="-webkit-standard"/>
          <w:color w:val="003835"/>
        </w:rPr>
        <w:t>LO6 – Explain and calculate the acid-test ratio.</w:t>
      </w:r>
    </w:p>
    <w:p w:rsidR="00C62659" w:rsidRDefault="00C62659" w:rsidP="00C62659">
      <w:pPr>
        <w:pStyle w:val="NormalWeb"/>
        <w:rPr>
          <w:rFonts w:ascii="-webkit-standard" w:hAnsi="-webkit-standard"/>
          <w:color w:val="000000"/>
        </w:rPr>
      </w:pPr>
      <w:r>
        <w:rPr>
          <w:rFonts w:ascii="-webkit-standard" w:hAnsi="-webkit-standard"/>
          <w:color w:val="000000"/>
        </w:rPr>
        <w:t>The acid-test ratio is a strict measure of liquidity. It is calculated as quick current assets divided by current liabilities. Quick assets include cash, short-term investments, and accounts receivable.</w:t>
      </w:r>
    </w:p>
    <w:p w:rsidR="00C62659" w:rsidRDefault="00C62659" w:rsidP="00C62659">
      <w:pPr>
        <w:pStyle w:val="Heading2"/>
        <w:rPr>
          <w:rFonts w:ascii="-webkit-standard" w:hAnsi="-webkit-standard"/>
          <w:color w:val="003835"/>
        </w:rPr>
      </w:pPr>
      <w:r>
        <w:rPr>
          <w:rFonts w:ascii="-webkit-standard" w:hAnsi="-webkit-standard"/>
          <w:color w:val="003835"/>
        </w:rPr>
        <w:t>LO7 – Explain and calculate the accounts receivable turnover.</w:t>
      </w:r>
    </w:p>
    <w:p w:rsidR="00C62659" w:rsidRDefault="00C62659" w:rsidP="00C62659">
      <w:pPr>
        <w:pStyle w:val="NormalWeb"/>
        <w:rPr>
          <w:rFonts w:ascii="-webkit-standard" w:hAnsi="-webkit-standard"/>
          <w:color w:val="000000"/>
        </w:rPr>
      </w:pPr>
      <w:r>
        <w:rPr>
          <w:rFonts w:ascii="-webkit-standard" w:hAnsi="-webkit-standard"/>
          <w:color w:val="000000"/>
        </w:rPr>
        <w:t>The accounts receivable turnover is a measure of liquidity and demonstrates how efficiently receivables are being collected. It is calculated as net sales divided by average accounts receivable. Average accounts receivable are the sum of the beginning accounts receivable, including short-term notes receivable from customers, plus ending receivables, divided by two.</w:t>
      </w:r>
    </w:p>
    <w:p w:rsidR="00C62659" w:rsidRPr="00C62659" w:rsidRDefault="00C62659" w:rsidP="00C62659">
      <w:pPr>
        <w:spacing w:before="100" w:beforeAutospacing="1" w:after="100" w:afterAutospacing="1"/>
        <w:jc w:val="center"/>
        <w:outlineLvl w:val="1"/>
        <w:rPr>
          <w:rFonts w:ascii="-webkit-standard" w:eastAsia="Times New Roman" w:hAnsi="-webkit-standard" w:cs="Times New Roman"/>
          <w:b/>
          <w:bCs/>
          <w:color w:val="003835"/>
          <w:sz w:val="36"/>
          <w:szCs w:val="36"/>
          <w:u w:val="single"/>
          <w:lang w:val="en-CA"/>
        </w:rPr>
      </w:pPr>
      <w:r w:rsidRPr="00C62659">
        <w:rPr>
          <w:rFonts w:ascii="-webkit-standard" w:eastAsia="Times New Roman" w:hAnsi="-webkit-standard" w:cs="Times New Roman"/>
          <w:b/>
          <w:bCs/>
          <w:color w:val="003835"/>
          <w:sz w:val="36"/>
          <w:szCs w:val="36"/>
          <w:u w:val="single"/>
          <w:lang w:val="en-CA"/>
        </w:rPr>
        <w:t>Chapter 8</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t>LO1 – Describe how the cost of property, plant, and equipment (PPE) is determined, and calculate PPE.</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 xml:space="preserve">Property, plant and equipment (PPE) are tangible, long-lived assets that are acquired for the purpose of generating revenue either directly or indirectly. A capital </w:t>
      </w:r>
      <w:proofErr w:type="spellStart"/>
      <w:r w:rsidRPr="00C62659">
        <w:rPr>
          <w:rFonts w:ascii="-webkit-standard" w:eastAsia="Times New Roman" w:hAnsi="-webkit-standard" w:cs="Times New Roman"/>
          <w:color w:val="000000"/>
          <w:lang w:val="en-CA"/>
        </w:rPr>
        <w:t>expditure</w:t>
      </w:r>
      <w:proofErr w:type="spellEnd"/>
      <w:r w:rsidRPr="00C62659">
        <w:rPr>
          <w:rFonts w:ascii="-webkit-standard" w:eastAsia="Times New Roman" w:hAnsi="-webkit-standard" w:cs="Times New Roman"/>
          <w:color w:val="000000"/>
          <w:lang w:val="en-CA"/>
        </w:rPr>
        <w:t xml:space="preserve"> is debited to a PPE asset account because it results in the acquisition of a non-current asset and includes any additional costs involved in preparing the asset for its intended use at or after initial acquisition. A revenue expenditure does not have a future benefit beyond one year so is expensed. The details regarding a PPE asset are maintained in a PPE subsidiary ledger.</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lastRenderedPageBreak/>
        <w:t>LO2 – Explain, calculate, and record depreciation using the units-of-production, straight-line, and double-declining balance methods.</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Depreciation, an application of matching, allocates the cost of a PPE asset (except land) over the accounting periods expected to receive benefits from its use. A PPE asset's cost, residual value, and useful life or productive output are used to calculate depreciation. There are different depreciation methods. Units-of-production is a usage-based method. Straight-line and double-declining balance are time-based methods. The formulas for calculating depreciation using these methods are:</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fldChar w:fldCharType="begin"/>
      </w:r>
      <w:r w:rsidRPr="00C62659">
        <w:rPr>
          <w:rFonts w:ascii="-webkit-standard" w:eastAsia="Times New Roman" w:hAnsi="-webkit-standard" w:cs="Times New Roman"/>
          <w:color w:val="000000"/>
          <w:lang w:val="en-CA"/>
        </w:rPr>
        <w:instrText xml:space="preserve"> INCLUDEPICTURE "/var/folders/sb/04_tkfnx081gmmrthyzwqbxh0000gn/T/com.microsoft.Word/WebArchiveCopyPasteTempFiles/imga.png" \* MERGEFORMATINET </w:instrText>
      </w:r>
      <w:r w:rsidRPr="00C62659">
        <w:rPr>
          <w:rFonts w:ascii="-webkit-standard" w:eastAsia="Times New Roman" w:hAnsi="-webkit-standard" w:cs="Times New Roman"/>
          <w:color w:val="000000"/>
          <w:lang w:val="en-CA"/>
        </w:rPr>
        <w:fldChar w:fldCharType="separate"/>
      </w:r>
      <w:r w:rsidRPr="00C62659">
        <w:rPr>
          <w:rFonts w:ascii="-webkit-standard" w:eastAsia="Times New Roman" w:hAnsi="-webkit-standard" w:cs="Times New Roman"/>
          <w:noProof/>
          <w:color w:val="000000"/>
          <w:lang w:val="en-CA"/>
        </w:rPr>
        <w:drawing>
          <wp:inline distT="0" distB="0" distL="0" distR="0">
            <wp:extent cx="5943600" cy="1026160"/>
            <wp:effectExtent l="0" t="0" r="0" b="2540"/>
            <wp:docPr id="3" name="Picture 3" descr="/var/folders/sb/04_tkfnx081gmmrthyzwqbxh0000gn/T/com.microsoft.Word/WebArchiveCopyPasteTempFiles/im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ar/folders/sb/04_tkfnx081gmmrthyzwqbxh0000gn/T/com.microsoft.Word/WebArchiveCopyPasteTempFiles/img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026160"/>
                    </a:xfrm>
                    <a:prstGeom prst="rect">
                      <a:avLst/>
                    </a:prstGeom>
                    <a:noFill/>
                    <a:ln>
                      <a:noFill/>
                    </a:ln>
                  </pic:spPr>
                </pic:pic>
              </a:graphicData>
            </a:graphic>
          </wp:inline>
        </w:drawing>
      </w:r>
      <w:r w:rsidRPr="00C62659">
        <w:rPr>
          <w:rFonts w:ascii="-webkit-standard" w:eastAsia="Times New Roman" w:hAnsi="-webkit-standard" w:cs="Times New Roman"/>
          <w:color w:val="000000"/>
          <w:lang w:val="en-CA"/>
        </w:rPr>
        <w:fldChar w:fldCharType="end"/>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Maximum accumulated depreciation is equal to cost less residual. The carrying amount of a PPE asset, also known as the net book value, equals the cost less accumulated depreciation.</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t>LO3 – Explain, calculate, and record depreciation for partial years.</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When assets are acquired or derecognized partway through the accounting period, partial period depreciation is recorded. There are several ways to account for partial period depreciation. Two common approaches are to calculate depreciation to the nearest whole month or to apply the half-year rule. The half-year rule assumes six months of depreciation in the year of acquisition and year of derecognition regardless of the actual date these occurred.</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t>LO4 – Explain, calculate, and record revised depreciation for subsequent capital expenditures.</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When there is a change that impacts depreciation (such as a change in the estimated useful life or estimated residual value, or a subsequent capital expenditure) revised depreciation is calculated prospectively. It is calculated as:</w:t>
      </w:r>
    </w:p>
    <w:p w:rsidR="00C62659" w:rsidRPr="00C62659" w:rsidRDefault="00C62659" w:rsidP="00C62659">
      <w:pPr>
        <w:jc w:val="center"/>
        <w:rPr>
          <w:rFonts w:ascii="-webkit-standard" w:eastAsia="Times New Roman" w:hAnsi="-webkit-standard" w:cs="Times New Roman"/>
          <w:color w:val="000000"/>
          <w:lang w:val="en-CA"/>
        </w:rPr>
      </w:pPr>
      <w:r w:rsidRPr="00C62659">
        <w:rPr>
          <w:rFonts w:ascii="STIXGeneral-Regular" w:eastAsia="Times New Roman" w:hAnsi="STIXGeneral-Regular" w:cs="Times New Roman"/>
          <w:color w:val="000000"/>
          <w:sz w:val="25"/>
          <w:szCs w:val="25"/>
          <w:bdr w:val="none" w:sz="0" w:space="0" w:color="auto" w:frame="1"/>
          <w:lang w:val="en-CA"/>
        </w:rPr>
        <w:t xml:space="preserve">Remaining Carrying Amount−Estimated Residual </w:t>
      </w:r>
      <w:proofErr w:type="spellStart"/>
      <w:r w:rsidRPr="00C62659">
        <w:rPr>
          <w:rFonts w:ascii="STIXGeneral-Regular" w:eastAsia="Times New Roman" w:hAnsi="STIXGeneral-Regular" w:cs="Times New Roman"/>
          <w:color w:val="000000"/>
          <w:sz w:val="25"/>
          <w:szCs w:val="25"/>
          <w:bdr w:val="none" w:sz="0" w:space="0" w:color="auto" w:frame="1"/>
          <w:lang w:val="en-CA"/>
        </w:rPr>
        <w:t>Value∗Estimated</w:t>
      </w:r>
      <w:proofErr w:type="spellEnd"/>
      <w:r w:rsidRPr="00C62659">
        <w:rPr>
          <w:rFonts w:ascii="STIXGeneral-Regular" w:eastAsia="Times New Roman" w:hAnsi="STIXGeneral-Regular" w:cs="Times New Roman"/>
          <w:color w:val="000000"/>
          <w:sz w:val="25"/>
          <w:szCs w:val="25"/>
          <w:bdr w:val="none" w:sz="0" w:space="0" w:color="auto" w:frame="1"/>
          <w:lang w:val="en-CA"/>
        </w:rPr>
        <w:t xml:space="preserve"> Remaining Useful Life∗</w:t>
      </w:r>
    </w:p>
    <w:p w:rsidR="00C62659" w:rsidRPr="00C62659" w:rsidRDefault="00C62659" w:rsidP="00C62659">
      <w:pPr>
        <w:spacing w:beforeAutospacing="1" w:afterAutospacing="1"/>
        <w:rPr>
          <w:rFonts w:ascii="-webkit-standard" w:eastAsia="Times New Roman" w:hAnsi="-webkit-standard" w:cs="Times New Roman"/>
          <w:color w:val="000000"/>
          <w:lang w:val="en-CA"/>
        </w:rPr>
      </w:pPr>
      <w:r w:rsidRPr="00C62659">
        <w:rPr>
          <w:rFonts w:ascii="STIXGeneral-Regular" w:eastAsia="Times New Roman" w:hAnsi="STIXGeneral-Regular" w:cs="Times New Roman"/>
          <w:color w:val="000000"/>
          <w:sz w:val="25"/>
          <w:szCs w:val="25"/>
          <w:bdr w:val="none" w:sz="0" w:space="0" w:color="auto" w:frame="1"/>
          <w:lang w:val="en-CA"/>
        </w:rPr>
        <w:t>∗</w:t>
      </w:r>
      <w:r w:rsidRPr="00C62659">
        <w:rPr>
          <w:rFonts w:ascii="-webkit-standard" w:eastAsia="Times New Roman" w:hAnsi="-webkit-standard" w:cs="Times New Roman"/>
          <w:color w:val="000000"/>
          <w:lang w:val="en-CA"/>
        </w:rPr>
        <w:t> where the residual value and/or useful life may have changed</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lastRenderedPageBreak/>
        <w:t>LO5 – Explain, calculate, and record the impairment of long-lived assets.</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The </w:t>
      </w:r>
      <w:r w:rsidRPr="00C62659">
        <w:rPr>
          <w:rFonts w:ascii="-webkit-standard" w:eastAsia="Times New Roman" w:hAnsi="-webkit-standard" w:cs="Times New Roman"/>
          <w:b/>
          <w:bCs/>
          <w:color w:val="000000"/>
          <w:lang w:val="en-CA"/>
        </w:rPr>
        <w:t>recoverable amount</w:t>
      </w:r>
      <w:r w:rsidRPr="00C62659">
        <w:rPr>
          <w:rFonts w:ascii="-webkit-standard" w:eastAsia="Times New Roman" w:hAnsi="-webkit-standard" w:cs="Times New Roman"/>
          <w:color w:val="000000"/>
          <w:lang w:val="en-CA"/>
        </w:rPr>
        <w:t> of a long-lived asset must be compared with its carrying amount (cost less accumulated depreciation) at the end of each reporting period. The recoverable amount is the fair value of the asset at the time less any estimated costs to sell it. If the recoverable amount is lower than the carrying amount, an </w:t>
      </w:r>
      <w:r w:rsidRPr="00C62659">
        <w:rPr>
          <w:rFonts w:ascii="-webkit-standard" w:eastAsia="Times New Roman" w:hAnsi="-webkit-standard" w:cs="Times New Roman"/>
          <w:b/>
          <w:bCs/>
          <w:color w:val="000000"/>
          <w:lang w:val="en-CA"/>
        </w:rPr>
        <w:t>impairment loss</w:t>
      </w:r>
      <w:r w:rsidRPr="00C62659">
        <w:rPr>
          <w:rFonts w:ascii="-webkit-standard" w:eastAsia="Times New Roman" w:hAnsi="-webkit-standard" w:cs="Times New Roman"/>
          <w:color w:val="000000"/>
          <w:lang w:val="en-CA"/>
        </w:rPr>
        <w:t> must be recorded as:</w:t>
      </w:r>
    </w:p>
    <w:tbl>
      <w:tblPr>
        <w:tblW w:w="750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13"/>
        <w:gridCol w:w="4397"/>
        <w:gridCol w:w="307"/>
        <w:gridCol w:w="939"/>
        <w:gridCol w:w="1044"/>
      </w:tblGrid>
      <w:tr w:rsidR="00C62659" w:rsidRPr="00C62659" w:rsidTr="00C62659">
        <w:tc>
          <w:tcPr>
            <w:tcW w:w="0" w:type="auto"/>
            <w:gridSpan w:val="5"/>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General Journal</w:t>
            </w:r>
          </w:p>
        </w:tc>
      </w:tr>
      <w:tr w:rsidR="00C62659" w:rsidRPr="00C62659" w:rsidTr="00C62659">
        <w:tc>
          <w:tcPr>
            <w:tcW w:w="0" w:type="auto"/>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Date</w:t>
            </w:r>
          </w:p>
        </w:tc>
        <w:tc>
          <w:tcPr>
            <w:tcW w:w="0" w:type="auto"/>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Account/Explanation</w:t>
            </w:r>
          </w:p>
        </w:tc>
        <w:tc>
          <w:tcPr>
            <w:tcW w:w="0" w:type="auto"/>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F</w:t>
            </w:r>
          </w:p>
        </w:tc>
        <w:tc>
          <w:tcPr>
            <w:tcW w:w="0" w:type="auto"/>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Debit</w:t>
            </w:r>
          </w:p>
        </w:tc>
        <w:tc>
          <w:tcPr>
            <w:tcW w:w="0" w:type="auto"/>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Credit</w:t>
            </w:r>
          </w:p>
        </w:tc>
      </w:tr>
      <w:tr w:rsidR="00C62659" w:rsidRPr="00C62659" w:rsidTr="00C62659">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Impairment Loss</w:t>
            </w:r>
          </w:p>
          <w:p w:rsidR="00C62659" w:rsidRPr="00C62659" w:rsidRDefault="00C62659" w:rsidP="00C62659">
            <w:pPr>
              <w:shd w:val="clear" w:color="auto" w:fill="F0EED2"/>
              <w:rPr>
                <w:rFonts w:ascii="Times New Roman" w:eastAsia="Times New Roman" w:hAnsi="Times New Roman" w:cs="Times New Roman"/>
                <w:lang w:val="en-CA"/>
              </w:rPr>
            </w:pPr>
            <w:r w:rsidRPr="00C62659">
              <w:rPr>
                <w:rFonts w:ascii="Times New Roman" w:eastAsia="Times New Roman" w:hAnsi="Times New Roman" w:cs="Times New Roman"/>
                <w:lang w:val="en-CA"/>
              </w:rPr>
              <w:t>Impairment Loss</w:t>
            </w:r>
          </w:p>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jc w:val="right"/>
              <w:rPr>
                <w:rFonts w:ascii="Times New Roman" w:eastAsia="Times New Roman" w:hAnsi="Times New Roman" w:cs="Times New Roman"/>
                <w:lang w:val="en-CA"/>
              </w:rPr>
            </w:pPr>
            <w:r w:rsidRPr="00C62659">
              <w:rPr>
                <w:rFonts w:ascii="Times New Roman" w:eastAsia="Times New Roman" w:hAnsi="Times New Roman" w:cs="Times New Roman"/>
                <w:lang w:val="en-CA"/>
              </w:rPr>
              <w:t>XXX</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r>
      <w:tr w:rsidR="00C62659" w:rsidRPr="00C62659" w:rsidTr="00C62659">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45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Equipment</w:t>
            </w:r>
          </w:p>
          <w:p w:rsidR="00C62659" w:rsidRPr="00C62659" w:rsidRDefault="00C62659" w:rsidP="00C62659">
            <w:pPr>
              <w:shd w:val="clear" w:color="auto" w:fill="F0EED2"/>
              <w:rPr>
                <w:rFonts w:ascii="Times New Roman" w:eastAsia="Times New Roman" w:hAnsi="Times New Roman" w:cs="Times New Roman"/>
                <w:lang w:val="en-CA"/>
              </w:rPr>
            </w:pPr>
            <w:r w:rsidRPr="00C62659">
              <w:rPr>
                <w:rFonts w:ascii="Times New Roman" w:eastAsia="Times New Roman" w:hAnsi="Times New Roman" w:cs="Times New Roman"/>
                <w:lang w:val="en-CA"/>
              </w:rPr>
              <w:t>Equipment</w:t>
            </w:r>
          </w:p>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jc w:val="right"/>
              <w:rPr>
                <w:rFonts w:ascii="Times New Roman" w:eastAsia="Times New Roman" w:hAnsi="Times New Roman" w:cs="Times New Roman"/>
                <w:lang w:val="en-CA"/>
              </w:rPr>
            </w:pPr>
            <w:r w:rsidRPr="00C62659">
              <w:rPr>
                <w:rFonts w:ascii="Times New Roman" w:eastAsia="Times New Roman" w:hAnsi="Times New Roman" w:cs="Times New Roman"/>
                <w:lang w:val="en-CA"/>
              </w:rPr>
              <w:t>XXX</w:t>
            </w:r>
          </w:p>
        </w:tc>
      </w:tr>
      <w:tr w:rsidR="00C62659" w:rsidRPr="00C62659" w:rsidTr="00C62659">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15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To record impairment loss.</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r>
    </w:tbl>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Impairment losses can be reversed in subsequent years if the recoverable amount of the asset exceeds the carrying amount. Also, if the fair value of a PPE asset can be reliably measured, it can be revalued to more than its original cost.</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t>LO6 – Account for the derecognition of PPE assets.</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Property, plant, and equipment is </w:t>
      </w:r>
      <w:r w:rsidRPr="00C62659">
        <w:rPr>
          <w:rFonts w:ascii="-webkit-standard" w:eastAsia="Times New Roman" w:hAnsi="-webkit-standard" w:cs="Times New Roman"/>
          <w:i/>
          <w:iCs/>
          <w:color w:val="000000"/>
          <w:lang w:val="en-CA"/>
        </w:rPr>
        <w:t>derecognized</w:t>
      </w:r>
      <w:r w:rsidRPr="00C62659">
        <w:rPr>
          <w:rFonts w:ascii="-webkit-standard" w:eastAsia="Times New Roman" w:hAnsi="-webkit-standard" w:cs="Times New Roman"/>
          <w:color w:val="000000"/>
          <w:lang w:val="en-CA"/>
        </w:rPr>
        <w:t> (that is, the cost and any related accumulated depreciation are removed from the accounting records) when it is sold or when no future economic benefit is expected. To account for the disposal of a PPE asset, the following must occur:</w:t>
      </w:r>
    </w:p>
    <w:p w:rsidR="00C62659" w:rsidRPr="00C62659" w:rsidRDefault="00C62659" w:rsidP="00C62659">
      <w:pPr>
        <w:numPr>
          <w:ilvl w:val="0"/>
          <w:numId w:val="4"/>
        </w:num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If the disposal occurs part way through the accounting period, depreciation must be updated to the date of disposal by</w:t>
      </w:r>
    </w:p>
    <w:tbl>
      <w:tblPr>
        <w:tblW w:w="7500" w:type="dxa"/>
        <w:tblInd w:w="72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33"/>
        <w:gridCol w:w="5088"/>
        <w:gridCol w:w="238"/>
        <w:gridCol w:w="730"/>
        <w:gridCol w:w="811"/>
      </w:tblGrid>
      <w:tr w:rsidR="00C62659" w:rsidRPr="00C62659" w:rsidTr="00C62659">
        <w:tc>
          <w:tcPr>
            <w:tcW w:w="0" w:type="auto"/>
            <w:gridSpan w:val="5"/>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General Journal</w:t>
            </w:r>
          </w:p>
        </w:tc>
      </w:tr>
      <w:tr w:rsidR="00C62659" w:rsidRPr="00C62659" w:rsidTr="00C62659">
        <w:tc>
          <w:tcPr>
            <w:tcW w:w="0" w:type="auto"/>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Date</w:t>
            </w:r>
          </w:p>
        </w:tc>
        <w:tc>
          <w:tcPr>
            <w:tcW w:w="0" w:type="auto"/>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Account/Explanation</w:t>
            </w:r>
          </w:p>
        </w:tc>
        <w:tc>
          <w:tcPr>
            <w:tcW w:w="0" w:type="auto"/>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F</w:t>
            </w:r>
          </w:p>
        </w:tc>
        <w:tc>
          <w:tcPr>
            <w:tcW w:w="0" w:type="auto"/>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Debit</w:t>
            </w:r>
          </w:p>
        </w:tc>
        <w:tc>
          <w:tcPr>
            <w:tcW w:w="0" w:type="auto"/>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Credit</w:t>
            </w:r>
          </w:p>
        </w:tc>
      </w:tr>
      <w:tr w:rsidR="00C62659" w:rsidRPr="00C62659" w:rsidTr="00C62659">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Depreciation Expense</w:t>
            </w:r>
          </w:p>
          <w:p w:rsidR="00C62659" w:rsidRPr="00C62659" w:rsidRDefault="00C62659" w:rsidP="00C62659">
            <w:pPr>
              <w:shd w:val="clear" w:color="auto" w:fill="F0EED2"/>
              <w:rPr>
                <w:rFonts w:ascii="Times New Roman" w:eastAsia="Times New Roman" w:hAnsi="Times New Roman" w:cs="Times New Roman"/>
                <w:lang w:val="en-CA"/>
              </w:rPr>
            </w:pPr>
            <w:r w:rsidRPr="00C62659">
              <w:rPr>
                <w:rFonts w:ascii="Times New Roman" w:eastAsia="Times New Roman" w:hAnsi="Times New Roman" w:cs="Times New Roman"/>
                <w:lang w:val="en-CA"/>
              </w:rPr>
              <w:t>Depreciation Expense</w:t>
            </w:r>
          </w:p>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jc w:val="right"/>
              <w:rPr>
                <w:rFonts w:ascii="Times New Roman" w:eastAsia="Times New Roman" w:hAnsi="Times New Roman" w:cs="Times New Roman"/>
                <w:lang w:val="en-CA"/>
              </w:rPr>
            </w:pPr>
            <w:r w:rsidRPr="00C62659">
              <w:rPr>
                <w:rFonts w:ascii="Times New Roman" w:eastAsia="Times New Roman" w:hAnsi="Times New Roman" w:cs="Times New Roman"/>
                <w:lang w:val="en-CA"/>
              </w:rPr>
              <w:t>XXX</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r>
      <w:tr w:rsidR="00C62659" w:rsidRPr="00C62659" w:rsidTr="00C62659">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45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Accumulated Depreciation</w:t>
            </w:r>
          </w:p>
          <w:p w:rsidR="00C62659" w:rsidRPr="00C62659" w:rsidRDefault="00C62659" w:rsidP="00C62659">
            <w:pPr>
              <w:shd w:val="clear" w:color="auto" w:fill="F0EED2"/>
              <w:rPr>
                <w:rFonts w:ascii="Times New Roman" w:eastAsia="Times New Roman" w:hAnsi="Times New Roman" w:cs="Times New Roman"/>
                <w:lang w:val="en-CA"/>
              </w:rPr>
            </w:pPr>
            <w:r w:rsidRPr="00C62659">
              <w:rPr>
                <w:rFonts w:ascii="Times New Roman" w:eastAsia="Times New Roman" w:hAnsi="Times New Roman" w:cs="Times New Roman"/>
                <w:lang w:val="en-CA"/>
              </w:rPr>
              <w:t>Accumulated Depreciation</w:t>
            </w:r>
          </w:p>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jc w:val="right"/>
              <w:rPr>
                <w:rFonts w:ascii="Times New Roman" w:eastAsia="Times New Roman" w:hAnsi="Times New Roman" w:cs="Times New Roman"/>
                <w:lang w:val="en-CA"/>
              </w:rPr>
            </w:pPr>
            <w:r w:rsidRPr="00C62659">
              <w:rPr>
                <w:rFonts w:ascii="Times New Roman" w:eastAsia="Times New Roman" w:hAnsi="Times New Roman" w:cs="Times New Roman"/>
                <w:lang w:val="en-CA"/>
              </w:rPr>
              <w:t>XXX</w:t>
            </w:r>
          </w:p>
        </w:tc>
      </w:tr>
      <w:tr w:rsidR="00C62659" w:rsidRPr="00C62659" w:rsidTr="00C62659">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15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To update depreciation for partial period.</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r>
    </w:tbl>
    <w:p w:rsidR="00C62659" w:rsidRPr="00C62659" w:rsidRDefault="00C62659" w:rsidP="00C62659">
      <w:pPr>
        <w:numPr>
          <w:ilvl w:val="0"/>
          <w:numId w:val="4"/>
        </w:num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lastRenderedPageBreak/>
        <w:t>Record the disposal including any resulting gain or loss by</w:t>
      </w:r>
    </w:p>
    <w:tbl>
      <w:tblPr>
        <w:tblW w:w="7500" w:type="dxa"/>
        <w:tblInd w:w="72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83"/>
        <w:gridCol w:w="4891"/>
        <w:gridCol w:w="258"/>
        <w:gridCol w:w="790"/>
        <w:gridCol w:w="878"/>
      </w:tblGrid>
      <w:tr w:rsidR="00C62659" w:rsidRPr="00C62659" w:rsidTr="00C62659">
        <w:tc>
          <w:tcPr>
            <w:tcW w:w="0" w:type="auto"/>
            <w:gridSpan w:val="5"/>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General Journal</w:t>
            </w:r>
          </w:p>
        </w:tc>
      </w:tr>
      <w:tr w:rsidR="00C62659" w:rsidRPr="00C62659" w:rsidTr="00C62659">
        <w:tc>
          <w:tcPr>
            <w:tcW w:w="0" w:type="auto"/>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Date</w:t>
            </w:r>
          </w:p>
        </w:tc>
        <w:tc>
          <w:tcPr>
            <w:tcW w:w="0" w:type="auto"/>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Account/Explanation</w:t>
            </w:r>
          </w:p>
        </w:tc>
        <w:tc>
          <w:tcPr>
            <w:tcW w:w="0" w:type="auto"/>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F</w:t>
            </w:r>
          </w:p>
        </w:tc>
        <w:tc>
          <w:tcPr>
            <w:tcW w:w="0" w:type="auto"/>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Debit</w:t>
            </w:r>
          </w:p>
        </w:tc>
        <w:tc>
          <w:tcPr>
            <w:tcW w:w="0" w:type="auto"/>
            <w:tcBorders>
              <w:top w:val="single" w:sz="6" w:space="0" w:color="000000"/>
              <w:left w:val="single" w:sz="6" w:space="0" w:color="000000"/>
              <w:bottom w:val="single" w:sz="6" w:space="0" w:color="000000"/>
              <w:right w:val="single" w:sz="6" w:space="0" w:color="000000"/>
            </w:tcBorders>
            <w:shd w:val="clear" w:color="auto" w:fill="93A4C2"/>
            <w:tcMar>
              <w:top w:w="30" w:type="dxa"/>
              <w:left w:w="30" w:type="dxa"/>
              <w:bottom w:w="30" w:type="dxa"/>
              <w:right w:w="30" w:type="dxa"/>
            </w:tcMar>
            <w:vAlign w:val="center"/>
            <w:hideMark/>
          </w:tcPr>
          <w:p w:rsidR="00C62659" w:rsidRPr="00C62659" w:rsidRDefault="00C62659" w:rsidP="00C62659">
            <w:pPr>
              <w:jc w:val="center"/>
              <w:rPr>
                <w:rFonts w:ascii="Times New Roman" w:eastAsia="Times New Roman" w:hAnsi="Times New Roman" w:cs="Times New Roman"/>
                <w:lang w:val="en-CA"/>
              </w:rPr>
            </w:pPr>
            <w:r w:rsidRPr="00C62659">
              <w:rPr>
                <w:rFonts w:ascii="Times New Roman" w:eastAsia="Times New Roman" w:hAnsi="Times New Roman" w:cs="Times New Roman"/>
                <w:lang w:val="en-CA"/>
              </w:rPr>
              <w:t>Credit</w:t>
            </w:r>
          </w:p>
        </w:tc>
      </w:tr>
      <w:tr w:rsidR="00C62659" w:rsidRPr="00C62659" w:rsidTr="00C62659">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Cash (if any, or other assets received)</w:t>
            </w:r>
          </w:p>
          <w:p w:rsidR="00C62659" w:rsidRPr="00C62659" w:rsidRDefault="00C62659" w:rsidP="00C62659">
            <w:pPr>
              <w:shd w:val="clear" w:color="auto" w:fill="F0EED2"/>
              <w:rPr>
                <w:rFonts w:ascii="Times New Roman" w:eastAsia="Times New Roman" w:hAnsi="Times New Roman" w:cs="Times New Roman"/>
                <w:lang w:val="en-CA"/>
              </w:rPr>
            </w:pPr>
            <w:r w:rsidRPr="00C62659">
              <w:rPr>
                <w:rFonts w:ascii="Times New Roman" w:eastAsia="Times New Roman" w:hAnsi="Times New Roman" w:cs="Times New Roman"/>
                <w:lang w:val="en-CA"/>
              </w:rPr>
              <w:t>Cash (if any, or other assets received)</w:t>
            </w:r>
          </w:p>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jc w:val="right"/>
              <w:rPr>
                <w:rFonts w:ascii="Times New Roman" w:eastAsia="Times New Roman" w:hAnsi="Times New Roman" w:cs="Times New Roman"/>
                <w:lang w:val="en-CA"/>
              </w:rPr>
            </w:pPr>
            <w:r w:rsidRPr="00C62659">
              <w:rPr>
                <w:rFonts w:ascii="Times New Roman" w:eastAsia="Times New Roman" w:hAnsi="Times New Roman" w:cs="Times New Roman"/>
                <w:lang w:val="en-CA"/>
              </w:rPr>
              <w:t>XXX</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r>
      <w:tr w:rsidR="00C62659" w:rsidRPr="00C62659" w:rsidTr="00C62659">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Accumulated Depreciation</w:t>
            </w:r>
          </w:p>
          <w:p w:rsidR="00C62659" w:rsidRPr="00C62659" w:rsidRDefault="00C62659" w:rsidP="00C62659">
            <w:pPr>
              <w:shd w:val="clear" w:color="auto" w:fill="F0EED2"/>
              <w:rPr>
                <w:rFonts w:ascii="Times New Roman" w:eastAsia="Times New Roman" w:hAnsi="Times New Roman" w:cs="Times New Roman"/>
                <w:lang w:val="en-CA"/>
              </w:rPr>
            </w:pPr>
            <w:r w:rsidRPr="00C62659">
              <w:rPr>
                <w:rFonts w:ascii="Times New Roman" w:eastAsia="Times New Roman" w:hAnsi="Times New Roman" w:cs="Times New Roman"/>
                <w:lang w:val="en-CA"/>
              </w:rPr>
              <w:t>Accumulated Depreciation</w:t>
            </w:r>
          </w:p>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jc w:val="right"/>
              <w:rPr>
                <w:rFonts w:ascii="Times New Roman" w:eastAsia="Times New Roman" w:hAnsi="Times New Roman" w:cs="Times New Roman"/>
                <w:lang w:val="en-CA"/>
              </w:rPr>
            </w:pPr>
            <w:r w:rsidRPr="00C62659">
              <w:rPr>
                <w:rFonts w:ascii="Times New Roman" w:eastAsia="Times New Roman" w:hAnsi="Times New Roman" w:cs="Times New Roman"/>
                <w:lang w:val="en-CA"/>
              </w:rPr>
              <w:t>XXX</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r>
      <w:tr w:rsidR="00C62659" w:rsidRPr="00C62659" w:rsidTr="00C62659">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Loss on Disposal</w:t>
            </w:r>
          </w:p>
          <w:p w:rsidR="00C62659" w:rsidRPr="00C62659" w:rsidRDefault="00C62659" w:rsidP="00C62659">
            <w:pPr>
              <w:shd w:val="clear" w:color="auto" w:fill="F0EED2"/>
              <w:rPr>
                <w:rFonts w:ascii="Times New Roman" w:eastAsia="Times New Roman" w:hAnsi="Times New Roman" w:cs="Times New Roman"/>
                <w:lang w:val="en-CA"/>
              </w:rPr>
            </w:pPr>
            <w:r w:rsidRPr="00C62659">
              <w:rPr>
                <w:rFonts w:ascii="Times New Roman" w:eastAsia="Times New Roman" w:hAnsi="Times New Roman" w:cs="Times New Roman"/>
                <w:lang w:val="en-CA"/>
              </w:rPr>
              <w:t>Loss on Disposal</w:t>
            </w:r>
          </w:p>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jc w:val="right"/>
              <w:rPr>
                <w:rFonts w:ascii="Times New Roman" w:eastAsia="Times New Roman" w:hAnsi="Times New Roman" w:cs="Times New Roman"/>
                <w:lang w:val="en-CA"/>
              </w:rPr>
            </w:pPr>
            <w:r w:rsidRPr="00C62659">
              <w:rPr>
                <w:rFonts w:ascii="Times New Roman" w:eastAsia="Times New Roman" w:hAnsi="Times New Roman" w:cs="Times New Roman"/>
                <w:lang w:val="en-CA"/>
              </w:rPr>
              <w:t>XXX</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r>
      <w:tr w:rsidR="00C62659" w:rsidRPr="00C62659" w:rsidTr="00C62659">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45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OR Gain on Disposal</w:t>
            </w:r>
          </w:p>
          <w:p w:rsidR="00C62659" w:rsidRPr="00C62659" w:rsidRDefault="00C62659" w:rsidP="00C62659">
            <w:pPr>
              <w:shd w:val="clear" w:color="auto" w:fill="F0EED2"/>
              <w:rPr>
                <w:rFonts w:ascii="Times New Roman" w:eastAsia="Times New Roman" w:hAnsi="Times New Roman" w:cs="Times New Roman"/>
                <w:lang w:val="en-CA"/>
              </w:rPr>
            </w:pPr>
            <w:r w:rsidRPr="00C62659">
              <w:rPr>
                <w:rFonts w:ascii="Times New Roman" w:eastAsia="Times New Roman" w:hAnsi="Times New Roman" w:cs="Times New Roman"/>
                <w:lang w:val="en-CA"/>
              </w:rPr>
              <w:t>OR Gain on Disposal</w:t>
            </w:r>
          </w:p>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jc w:val="right"/>
              <w:rPr>
                <w:rFonts w:ascii="Times New Roman" w:eastAsia="Times New Roman" w:hAnsi="Times New Roman" w:cs="Times New Roman"/>
                <w:lang w:val="en-CA"/>
              </w:rPr>
            </w:pPr>
            <w:r w:rsidRPr="00C62659">
              <w:rPr>
                <w:rFonts w:ascii="Times New Roman" w:eastAsia="Times New Roman" w:hAnsi="Times New Roman" w:cs="Times New Roman"/>
                <w:lang w:val="en-CA"/>
              </w:rPr>
              <w:t>XXX</w:t>
            </w:r>
          </w:p>
        </w:tc>
      </w:tr>
      <w:tr w:rsidR="00C62659" w:rsidRPr="00C62659" w:rsidTr="00C62659">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45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PPE Asset (such as Equipment)</w:t>
            </w:r>
          </w:p>
          <w:p w:rsidR="00C62659" w:rsidRPr="00C62659" w:rsidRDefault="00C62659" w:rsidP="00C62659">
            <w:pPr>
              <w:shd w:val="clear" w:color="auto" w:fill="F0EED2"/>
              <w:rPr>
                <w:rFonts w:ascii="Times New Roman" w:eastAsia="Times New Roman" w:hAnsi="Times New Roman" w:cs="Times New Roman"/>
                <w:lang w:val="en-CA"/>
              </w:rPr>
            </w:pPr>
            <w:r w:rsidRPr="00C62659">
              <w:rPr>
                <w:rFonts w:ascii="Times New Roman" w:eastAsia="Times New Roman" w:hAnsi="Times New Roman" w:cs="Times New Roman"/>
                <w:lang w:val="en-CA"/>
              </w:rPr>
              <w:t>PPE Asset (such as Equipment)</w:t>
            </w:r>
          </w:p>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jc w:val="right"/>
              <w:rPr>
                <w:rFonts w:ascii="Times New Roman" w:eastAsia="Times New Roman" w:hAnsi="Times New Roman" w:cs="Times New Roman"/>
                <w:lang w:val="en-CA"/>
              </w:rPr>
            </w:pPr>
            <w:r w:rsidRPr="00C62659">
              <w:rPr>
                <w:rFonts w:ascii="Times New Roman" w:eastAsia="Times New Roman" w:hAnsi="Times New Roman" w:cs="Times New Roman"/>
                <w:lang w:val="en-CA"/>
              </w:rPr>
              <w:t>XXX</w:t>
            </w:r>
          </w:p>
        </w:tc>
      </w:tr>
      <w:tr w:rsidR="00C62659" w:rsidRPr="00C62659" w:rsidTr="00C62659">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15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To record disposal of PPE asset.</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c>
          <w:tcPr>
            <w:tcW w:w="0" w:type="auto"/>
            <w:tcBorders>
              <w:left w:val="single" w:sz="6" w:space="0" w:color="000000"/>
              <w:right w:val="single" w:sz="6" w:space="0" w:color="000000"/>
            </w:tcBorders>
            <w:shd w:val="clear" w:color="auto" w:fill="F0EED2"/>
            <w:tcMar>
              <w:top w:w="30" w:type="dxa"/>
              <w:left w:w="30" w:type="dxa"/>
              <w:bottom w:w="30" w:type="dxa"/>
              <w:right w:w="30" w:type="dxa"/>
            </w:tcMar>
            <w:vAlign w:val="center"/>
            <w:hideMark/>
          </w:tcPr>
          <w:p w:rsidR="00C62659" w:rsidRPr="00C62659" w:rsidRDefault="00C62659" w:rsidP="00C62659">
            <w:pPr>
              <w:rPr>
                <w:rFonts w:ascii="Times New Roman" w:eastAsia="Times New Roman" w:hAnsi="Times New Roman" w:cs="Times New Roman"/>
                <w:lang w:val="en-CA"/>
              </w:rPr>
            </w:pPr>
            <w:r w:rsidRPr="00C62659">
              <w:rPr>
                <w:rFonts w:ascii="Times New Roman" w:eastAsia="Times New Roman" w:hAnsi="Times New Roman" w:cs="Times New Roman"/>
                <w:lang w:val="en-CA"/>
              </w:rPr>
              <w:t> </w:t>
            </w:r>
          </w:p>
        </w:tc>
      </w:tr>
    </w:tbl>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A loss results when the carrying amount of the asset is greater than the proceeds received, if any. A gain results when the carrying amount is less than any proceeds received.</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It is a common practice to exchange a used PPE asset for a new one, known as a </w:t>
      </w:r>
      <w:r w:rsidRPr="00C62659">
        <w:rPr>
          <w:rFonts w:ascii="-webkit-standard" w:eastAsia="Times New Roman" w:hAnsi="-webkit-standard" w:cs="Times New Roman"/>
          <w:b/>
          <w:bCs/>
          <w:color w:val="000000"/>
          <w:lang w:val="en-CA"/>
        </w:rPr>
        <w:t>trade-in</w:t>
      </w:r>
      <w:r w:rsidRPr="00C62659">
        <w:rPr>
          <w:rFonts w:ascii="-webkit-standard" w:eastAsia="Times New Roman" w:hAnsi="-webkit-standard" w:cs="Times New Roman"/>
          <w:color w:val="000000"/>
          <w:lang w:val="en-CA"/>
        </w:rPr>
        <w:t>. The value of the trade-in is called the </w:t>
      </w:r>
      <w:r w:rsidRPr="00C62659">
        <w:rPr>
          <w:rFonts w:ascii="-webkit-standard" w:eastAsia="Times New Roman" w:hAnsi="-webkit-standard" w:cs="Times New Roman"/>
          <w:b/>
          <w:bCs/>
          <w:color w:val="000000"/>
          <w:lang w:val="en-CA"/>
        </w:rPr>
        <w:t>trade-in allowance</w:t>
      </w:r>
      <w:r w:rsidRPr="00C62659">
        <w:rPr>
          <w:rFonts w:ascii="-webkit-standard" w:eastAsia="Times New Roman" w:hAnsi="-webkit-standard" w:cs="Times New Roman"/>
          <w:color w:val="000000"/>
          <w:lang w:val="en-CA"/>
        </w:rPr>
        <w:t> and is applied to the purchase price of the new asset so that the purchaser pays the difference. Sometimes the trade-in allowance is higher than the fair value of the used asset. The cost of the new asset must be recorded at its fair value, calculated as:</w:t>
      </w:r>
    </w:p>
    <w:p w:rsidR="00C62659" w:rsidRPr="00C62659" w:rsidRDefault="00C62659" w:rsidP="00C62659">
      <w:pPr>
        <w:jc w:val="center"/>
        <w:rPr>
          <w:rFonts w:ascii="-webkit-standard" w:eastAsia="Times New Roman" w:hAnsi="-webkit-standard" w:cs="Times New Roman"/>
          <w:color w:val="000000"/>
          <w:lang w:val="en-CA"/>
        </w:rPr>
      </w:pPr>
      <w:r w:rsidRPr="00C62659">
        <w:rPr>
          <w:rFonts w:ascii="STIXGeneral-Regular" w:eastAsia="Times New Roman" w:hAnsi="STIXGeneral-Regular" w:cs="Times New Roman"/>
          <w:color w:val="000000"/>
          <w:sz w:val="25"/>
          <w:szCs w:val="25"/>
          <w:bdr w:val="none" w:sz="0" w:space="0" w:color="auto" w:frame="1"/>
          <w:lang w:val="en-CA"/>
        </w:rPr>
        <w:t xml:space="preserve">Cost of new asset=Cash </w:t>
      </w:r>
      <w:proofErr w:type="spellStart"/>
      <w:r w:rsidRPr="00C62659">
        <w:rPr>
          <w:rFonts w:ascii="STIXGeneral-Regular" w:eastAsia="Times New Roman" w:hAnsi="STIXGeneral-Regular" w:cs="Times New Roman"/>
          <w:color w:val="000000"/>
          <w:sz w:val="25"/>
          <w:szCs w:val="25"/>
          <w:bdr w:val="none" w:sz="0" w:space="0" w:color="auto" w:frame="1"/>
          <w:lang w:val="en-CA"/>
        </w:rPr>
        <w:t>paid+Fair</w:t>
      </w:r>
      <w:proofErr w:type="spellEnd"/>
      <w:r w:rsidRPr="00C62659">
        <w:rPr>
          <w:rFonts w:ascii="STIXGeneral-Regular" w:eastAsia="Times New Roman" w:hAnsi="STIXGeneral-Regular" w:cs="Times New Roman"/>
          <w:color w:val="000000"/>
          <w:sz w:val="25"/>
          <w:szCs w:val="25"/>
          <w:bdr w:val="none" w:sz="0" w:space="0" w:color="auto" w:frame="1"/>
          <w:lang w:val="en-CA"/>
        </w:rPr>
        <w:t xml:space="preserve"> value of asset traded</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If there is a difference between the fair value of the old asset and its carrying value, a gain or loss results.</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t>LO7 – Explain and record the acquisition and amortization of intangible assets.</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Intangible assets are long-lived assets that arise from legal rights and do not have physical substance. Examples include patents, copyrights, trademarks, and franchises. Intangibles are amortized using various methods. The entry to record amortization is a debit to amortization expense and a credit to either the intangible asset or to an accumulated amortization account.</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lastRenderedPageBreak/>
        <w:t>LO8 – Explain goodwill and identify where on the balance sheet it is reported.</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 xml:space="preserve">Goodwill is a long-lived asset that does not have physical substance but it is NOT an intangible. When one company buys another company, goodwill is the excess paid over the fair value of the net assets purchased and represents the value of the </w:t>
      </w:r>
      <w:proofErr w:type="spellStart"/>
      <w:r w:rsidRPr="00C62659">
        <w:rPr>
          <w:rFonts w:ascii="-webkit-standard" w:eastAsia="Times New Roman" w:hAnsi="-webkit-standard" w:cs="Times New Roman"/>
          <w:color w:val="000000"/>
          <w:lang w:val="en-CA"/>
        </w:rPr>
        <w:t>purchasee's</w:t>
      </w:r>
      <w:proofErr w:type="spellEnd"/>
      <w:r w:rsidRPr="00C62659">
        <w:rPr>
          <w:rFonts w:ascii="-webkit-standard" w:eastAsia="Times New Roman" w:hAnsi="-webkit-standard" w:cs="Times New Roman"/>
          <w:color w:val="000000"/>
          <w:lang w:val="en-CA"/>
        </w:rPr>
        <w:t xml:space="preserve"> ability to generate superior earnings compared to other companies in the same industry. Goodwill appears in the asset section of the balance sheet under its own heading of "Goodwill".</w:t>
      </w:r>
    </w:p>
    <w:p w:rsidR="00C62659" w:rsidRPr="00C62659" w:rsidRDefault="00C62659" w:rsidP="00C62659">
      <w:pPr>
        <w:spacing w:before="100" w:beforeAutospacing="1" w:after="100" w:afterAutospacing="1"/>
        <w:outlineLvl w:val="1"/>
        <w:rPr>
          <w:rFonts w:ascii="-webkit-standard" w:eastAsia="Times New Roman" w:hAnsi="-webkit-standard" w:cs="Times New Roman"/>
          <w:b/>
          <w:bCs/>
          <w:color w:val="003835"/>
          <w:sz w:val="36"/>
          <w:szCs w:val="36"/>
          <w:lang w:val="en-CA"/>
        </w:rPr>
      </w:pPr>
      <w:r w:rsidRPr="00C62659">
        <w:rPr>
          <w:rFonts w:ascii="-webkit-standard" w:eastAsia="Times New Roman" w:hAnsi="-webkit-standard" w:cs="Times New Roman"/>
          <w:b/>
          <w:bCs/>
          <w:color w:val="003835"/>
          <w:sz w:val="36"/>
          <w:szCs w:val="36"/>
          <w:lang w:val="en-CA"/>
        </w:rPr>
        <w:t>LO9 – Describe the disclosure requirements for long-lived assets in the notes to the financial statements.</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When long-lived assets are presented on the balance sheet, the notes to the financial statements need to disclose the following:</w:t>
      </w:r>
    </w:p>
    <w:p w:rsidR="00C62659" w:rsidRPr="00C62659" w:rsidRDefault="00C62659" w:rsidP="00C62659">
      <w:pPr>
        <w:numPr>
          <w:ilvl w:val="0"/>
          <w:numId w:val="5"/>
        </w:num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details of each class of assets (e.g., land; equipment including separate parts; patents; goodwill)</w:t>
      </w:r>
    </w:p>
    <w:p w:rsidR="00C62659" w:rsidRPr="00C62659" w:rsidRDefault="00C62659" w:rsidP="00C62659">
      <w:pPr>
        <w:numPr>
          <w:ilvl w:val="0"/>
          <w:numId w:val="5"/>
        </w:num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measurement basis (usually historical cost)</w:t>
      </w:r>
    </w:p>
    <w:p w:rsidR="00C62659" w:rsidRPr="00C62659" w:rsidRDefault="00C62659" w:rsidP="00C62659">
      <w:pPr>
        <w:numPr>
          <w:ilvl w:val="0"/>
          <w:numId w:val="5"/>
        </w:num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type of depreciation and amortization methods used, including estimated useful lives</w:t>
      </w:r>
    </w:p>
    <w:p w:rsidR="00C62659" w:rsidRPr="00C62659" w:rsidRDefault="00C62659" w:rsidP="00C62659">
      <w:pPr>
        <w:numPr>
          <w:ilvl w:val="0"/>
          <w:numId w:val="5"/>
        </w:num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cost and accumulated depreciation at the beginning and end of the period, including additions, disposals, and impairment losses</w:t>
      </w:r>
    </w:p>
    <w:p w:rsidR="00C62659" w:rsidRPr="00C62659" w:rsidRDefault="00C62659" w:rsidP="00C62659">
      <w:pPr>
        <w:spacing w:before="100" w:beforeAutospacing="1" w:after="100" w:afterAutospacing="1"/>
        <w:rPr>
          <w:rFonts w:ascii="-webkit-standard" w:eastAsia="Times New Roman" w:hAnsi="-webkit-standard" w:cs="Times New Roman"/>
          <w:color w:val="000000"/>
          <w:lang w:val="en-CA"/>
        </w:rPr>
      </w:pPr>
      <w:r w:rsidRPr="00C62659">
        <w:rPr>
          <w:rFonts w:ascii="-webkit-standard" w:eastAsia="Times New Roman" w:hAnsi="-webkit-standard" w:cs="Times New Roman"/>
          <w:color w:val="000000"/>
          <w:lang w:val="en-CA"/>
        </w:rPr>
        <w:t>whether the assets are constructed by the company for its own use (if PPE) or internally developed (if intangible assets).</w:t>
      </w:r>
    </w:p>
    <w:p w:rsidR="00C62659" w:rsidRPr="00C62659" w:rsidRDefault="00C62659" w:rsidP="00C62659">
      <w:pPr>
        <w:pStyle w:val="Heading2"/>
        <w:jc w:val="center"/>
        <w:rPr>
          <w:rFonts w:ascii="-webkit-standard" w:hAnsi="-webkit-standard"/>
          <w:color w:val="003835"/>
          <w:u w:val="single"/>
        </w:rPr>
      </w:pPr>
      <w:r w:rsidRPr="00C62659">
        <w:rPr>
          <w:rFonts w:ascii="-webkit-standard" w:hAnsi="-webkit-standard"/>
          <w:color w:val="003835"/>
          <w:u w:val="single"/>
        </w:rPr>
        <w:t>Chapter 9</w:t>
      </w:r>
    </w:p>
    <w:p w:rsidR="00C62659" w:rsidRDefault="00C62659" w:rsidP="00C62659">
      <w:pPr>
        <w:pStyle w:val="Heading2"/>
        <w:rPr>
          <w:rFonts w:ascii="-webkit-standard" w:hAnsi="-webkit-standard"/>
          <w:color w:val="003835"/>
        </w:rPr>
      </w:pPr>
      <w:r>
        <w:rPr>
          <w:rFonts w:ascii="-webkit-standard" w:hAnsi="-webkit-standard"/>
          <w:color w:val="003835"/>
        </w:rPr>
        <w:t>LO1 – Identify and explain current versus long-term liabilities.</w:t>
      </w:r>
    </w:p>
    <w:p w:rsidR="00C62659" w:rsidRDefault="00C62659" w:rsidP="00C62659">
      <w:pPr>
        <w:pStyle w:val="NormalWeb"/>
        <w:rPr>
          <w:rFonts w:ascii="-webkit-standard" w:hAnsi="-webkit-standard"/>
          <w:color w:val="000000"/>
        </w:rPr>
      </w:pPr>
      <w:r>
        <w:rPr>
          <w:rFonts w:ascii="-webkit-standard" w:hAnsi="-webkit-standard"/>
          <w:color w:val="000000"/>
        </w:rPr>
        <w:t>Current or short-term liabilities are a form of debt that is expected to be paid within the longer of one year of the balance sheet date or one operating cycle. Long-term liabilities are a form of debt that is expected to be paid beyond one year of the balance sheet date or the next operating cycle, whichever is longer. Current and long-term liabilities must be shown separately on the balance sheet.</w:t>
      </w:r>
    </w:p>
    <w:p w:rsidR="00C62659" w:rsidRDefault="00C62659" w:rsidP="00C62659">
      <w:pPr>
        <w:pStyle w:val="Heading2"/>
        <w:rPr>
          <w:rFonts w:ascii="-webkit-standard" w:hAnsi="-webkit-standard"/>
          <w:color w:val="003835"/>
        </w:rPr>
      </w:pPr>
      <w:r>
        <w:rPr>
          <w:rFonts w:ascii="-webkit-standard" w:hAnsi="-webkit-standard"/>
          <w:color w:val="003835"/>
        </w:rPr>
        <w:t>LO2 – Record and disclose known current liabilities.</w:t>
      </w:r>
    </w:p>
    <w:p w:rsidR="00C62659" w:rsidRDefault="00C62659" w:rsidP="00C62659">
      <w:pPr>
        <w:pStyle w:val="NormalWeb"/>
        <w:rPr>
          <w:rFonts w:ascii="-webkit-standard" w:hAnsi="-webkit-standard"/>
          <w:color w:val="000000"/>
        </w:rPr>
      </w:pPr>
      <w:r>
        <w:rPr>
          <w:rFonts w:ascii="-webkit-standard" w:hAnsi="-webkit-standard"/>
          <w:color w:val="000000"/>
        </w:rPr>
        <w:t xml:space="preserve">Known current liabilities are those where the payee, amount, and timing of payment are known. Payroll liabilities are a type of known current liability. Employers are responsible for withholding from employees amounts including Employment Insurance (EI), Canada </w:t>
      </w:r>
      <w:r>
        <w:rPr>
          <w:rFonts w:ascii="-webkit-standard" w:hAnsi="-webkit-standard"/>
          <w:color w:val="000000"/>
        </w:rPr>
        <w:lastRenderedPageBreak/>
        <w:t>Pension Plan (CPP), and income tax, and then remitting the amounts to the appropriate authority. Sales taxes, including the Goods and Services Tax (GST) and Provincial Sales Tax (PST), must be collected by registrants and subsequently remitted to the Receiver General for Canada. Short-term notes payable, also a known current liability, can involve the accrual of interest if the maturity date falls in the next accounting period.</w:t>
      </w:r>
    </w:p>
    <w:p w:rsidR="00C62659" w:rsidRDefault="00C62659" w:rsidP="00C62659">
      <w:pPr>
        <w:pStyle w:val="Heading2"/>
        <w:rPr>
          <w:rFonts w:ascii="-webkit-standard" w:hAnsi="-webkit-standard"/>
          <w:color w:val="003835"/>
        </w:rPr>
      </w:pPr>
      <w:r>
        <w:rPr>
          <w:rFonts w:ascii="-webkit-standard" w:hAnsi="-webkit-standard"/>
          <w:color w:val="003835"/>
        </w:rPr>
        <w:t>LO3 – Record and disclose estimated current liabilities.</w:t>
      </w:r>
    </w:p>
    <w:p w:rsidR="00C62659" w:rsidRDefault="00C62659" w:rsidP="00C62659">
      <w:pPr>
        <w:pStyle w:val="NormalWeb"/>
        <w:rPr>
          <w:rFonts w:ascii="-webkit-standard" w:hAnsi="-webkit-standard"/>
          <w:color w:val="000000"/>
        </w:rPr>
      </w:pPr>
      <w:r>
        <w:rPr>
          <w:rFonts w:ascii="-webkit-standard" w:hAnsi="-webkit-standard"/>
          <w:color w:val="000000"/>
        </w:rPr>
        <w:t xml:space="preserve">An estimated liability is known to exist where the amount, although uncertain, can be estimated. Warranties and income taxes are examples of estimated liabilities. Contingent liabilities are neither a known liability nor an estimated liability and are not recorded if they are determined to exist. A contingent liability exists when it is not probable or it cannot be </w:t>
      </w:r>
      <w:proofErr w:type="spellStart"/>
      <w:r>
        <w:rPr>
          <w:rFonts w:ascii="-webkit-standard" w:hAnsi="-webkit-standard"/>
          <w:color w:val="000000"/>
        </w:rPr>
        <w:t>realiably</w:t>
      </w:r>
      <w:proofErr w:type="spellEnd"/>
      <w:r>
        <w:rPr>
          <w:rFonts w:ascii="-webkit-standard" w:hAnsi="-webkit-standard"/>
          <w:color w:val="000000"/>
        </w:rPr>
        <w:t xml:space="preserve"> estimated. A contingent liability is disclosed in the notes to the financial statements.</w:t>
      </w:r>
    </w:p>
    <w:p w:rsidR="00C62659" w:rsidRDefault="00C62659" w:rsidP="00C62659">
      <w:pPr>
        <w:pStyle w:val="Heading2"/>
        <w:rPr>
          <w:rFonts w:ascii="-webkit-standard" w:hAnsi="-webkit-standard"/>
          <w:color w:val="003835"/>
        </w:rPr>
      </w:pPr>
      <w:r>
        <w:rPr>
          <w:rFonts w:ascii="-webkit-standard" w:hAnsi="-webkit-standard"/>
          <w:color w:val="003835"/>
        </w:rPr>
        <w:t>LO4 – Identify, describe, and record bonds.</w:t>
      </w:r>
    </w:p>
    <w:p w:rsidR="00C62659" w:rsidRDefault="00C62659" w:rsidP="00C62659">
      <w:pPr>
        <w:pStyle w:val="NormalWeb"/>
        <w:rPr>
          <w:rFonts w:ascii="-webkit-standard" w:hAnsi="-webkit-standard"/>
          <w:color w:val="000000"/>
        </w:rPr>
      </w:pPr>
      <w:r>
        <w:rPr>
          <w:rFonts w:ascii="-webkit-standard" w:hAnsi="-webkit-standard"/>
          <w:color w:val="000000"/>
        </w:rPr>
        <w:t>Bonds pay interest at regular intervals to bondholders. The original investment is repaid to bondholders when the bonds mature. There are different types of bonds: secured or unsecured, as well as registered or bearer bonds. Bonds can have a variety of characteristics, including: varying maturity dates, call provisions, conversion privileges, sinking fund requirements, or dividend restrictions. Bonds are issued: (a) at par (also known as the face value) when the market interest rate is the same as the bond (or contract) interest rate; (b) at a discount when the market interest rate is higher than the bond interest rate; or (c) at a premium when the market interest rate is lower than the bond interest rate.</w:t>
      </w:r>
    </w:p>
    <w:p w:rsidR="00C62659" w:rsidRDefault="00C62659" w:rsidP="00C62659">
      <w:pPr>
        <w:pStyle w:val="Heading2"/>
        <w:rPr>
          <w:rFonts w:ascii="-webkit-standard" w:hAnsi="-webkit-standard"/>
          <w:color w:val="003835"/>
        </w:rPr>
      </w:pPr>
      <w:r>
        <w:rPr>
          <w:rFonts w:ascii="-webkit-standard" w:hAnsi="-webkit-standard"/>
          <w:color w:val="003835"/>
        </w:rPr>
        <w:t>LO5 – Explain, calculate, and record long-term loans.</w:t>
      </w:r>
    </w:p>
    <w:p w:rsidR="00C62659" w:rsidRDefault="00C62659" w:rsidP="00C62659">
      <w:pPr>
        <w:pStyle w:val="NormalWeb"/>
        <w:rPr>
          <w:rFonts w:ascii="-webkit-standard" w:hAnsi="-webkit-standard"/>
          <w:color w:val="000000"/>
        </w:rPr>
      </w:pPr>
      <w:r>
        <w:rPr>
          <w:rFonts w:ascii="-webkit-standard" w:hAnsi="-webkit-standard"/>
          <w:color w:val="000000"/>
        </w:rPr>
        <w:t>A loan is a form of long-term debt that can be used by a corporation to finance its operations. Loans can be secured and are typically obtained from a bank. Loans are often repaid in equal blended payments containing both interest and principal.</w:t>
      </w:r>
    </w:p>
    <w:p w:rsidR="00C62659" w:rsidRPr="00C62659" w:rsidRDefault="00C62659" w:rsidP="00C62659">
      <w:pPr>
        <w:pStyle w:val="Heading2"/>
        <w:jc w:val="center"/>
        <w:rPr>
          <w:rFonts w:ascii="-webkit-standard" w:hAnsi="-webkit-standard"/>
          <w:color w:val="003835"/>
          <w:u w:val="single"/>
        </w:rPr>
      </w:pPr>
      <w:r w:rsidRPr="00C62659">
        <w:rPr>
          <w:rFonts w:ascii="-webkit-standard" w:hAnsi="-webkit-standard"/>
          <w:color w:val="003835"/>
          <w:u w:val="single"/>
        </w:rPr>
        <w:t>Chapter 10</w:t>
      </w:r>
    </w:p>
    <w:p w:rsidR="00C62659" w:rsidRDefault="00C62659" w:rsidP="00C62659">
      <w:pPr>
        <w:pStyle w:val="Heading2"/>
        <w:rPr>
          <w:rFonts w:ascii="-webkit-standard" w:hAnsi="-webkit-standard"/>
          <w:color w:val="003835"/>
        </w:rPr>
      </w:pPr>
      <w:r>
        <w:rPr>
          <w:rFonts w:ascii="-webkit-standard" w:hAnsi="-webkit-standard"/>
          <w:color w:val="003835"/>
        </w:rPr>
        <w:t>LO1 – Identify and explain characteristics of the corporate form of organization and classes of shares.</w:t>
      </w:r>
    </w:p>
    <w:p w:rsidR="00C62659" w:rsidRDefault="00C62659" w:rsidP="00C62659">
      <w:pPr>
        <w:pStyle w:val="NormalWeb"/>
        <w:rPr>
          <w:rFonts w:ascii="-webkit-standard" w:hAnsi="-webkit-standard"/>
          <w:color w:val="000000"/>
        </w:rPr>
      </w:pPr>
      <w:r>
        <w:rPr>
          <w:rFonts w:ascii="-webkit-standard" w:hAnsi="-webkit-standard"/>
          <w:color w:val="000000"/>
        </w:rPr>
        <w:t xml:space="preserve">A corporation is a legal entity that is separate from its owners, known as shareholders. The board of directors is responsible for corporate policy and broad direction of the corporation, including hiring the person in charge of day-to-day operations. A corporation has an indefinite life, its shareholders have limited liability, it can acquire capital more easily than a sole proprietorship or partnership, and it pays income taxes on its earnings </w:t>
      </w:r>
      <w:r>
        <w:rPr>
          <w:rFonts w:ascii="-webkit-standard" w:hAnsi="-webkit-standard"/>
          <w:color w:val="000000"/>
        </w:rPr>
        <w:lastRenderedPageBreak/>
        <w:t>since it is a separate legal entity. A corporation can issue common and preferred shares. Common shares have voting rights while preferred shares do not. Preferred shares are listed before common shares in the equity section of the balance sheet. Preferred shareholders are entitled to receive dividends before common shareholders. Authorized shares are the total number of shares that can be issued or sold. Shares that have been issued can be repurchased by the corporation and either held in treasury for subsequent sale/distribution or cancelled. Outstanding shares are those that have been issued and are held by shareholders. Shares repurchased by a corporation are not outstanding shares.</w:t>
      </w:r>
    </w:p>
    <w:p w:rsidR="00C62659" w:rsidRDefault="00C62659" w:rsidP="00C62659">
      <w:pPr>
        <w:pStyle w:val="Heading2"/>
        <w:rPr>
          <w:rFonts w:ascii="-webkit-standard" w:hAnsi="-webkit-standard"/>
          <w:color w:val="003835"/>
        </w:rPr>
      </w:pPr>
      <w:r>
        <w:rPr>
          <w:rFonts w:ascii="-webkit-standard" w:hAnsi="-webkit-standard"/>
          <w:color w:val="003835"/>
        </w:rPr>
        <w:t>LO2 – Record and disclose preferred and common share transactions including share splits.</w:t>
      </w:r>
    </w:p>
    <w:p w:rsidR="00C62659" w:rsidRDefault="00C62659" w:rsidP="00C62659">
      <w:pPr>
        <w:pStyle w:val="NormalWeb"/>
        <w:rPr>
          <w:rFonts w:ascii="-webkit-standard" w:hAnsi="-webkit-standard"/>
          <w:color w:val="000000"/>
        </w:rPr>
      </w:pPr>
      <w:r>
        <w:rPr>
          <w:rFonts w:ascii="-webkit-standard" w:hAnsi="-webkit-standard"/>
          <w:color w:val="000000"/>
        </w:rPr>
        <w:t>Common and preferred shares can be issued for cash or other assets. Organization costs are expensed when incurred and organizers sometimes accept shares in lieu of cash for their work in organizing the corporation. When more than one type of share has been issued, the equity section of the balance sheet must be classified by including a Contributed Capital section. When a corporations shares are selling at a high price, a share split may be declared to increase the marketability of the shares. There is no journal entry for a share split. Instead, a memorandum entry is entered into the records detailing the split. A share split increases the number of shares but does not change any of the dollar amounts on the financial statements.</w:t>
      </w:r>
    </w:p>
    <w:p w:rsidR="00C62659" w:rsidRDefault="00C62659" w:rsidP="00C62659">
      <w:pPr>
        <w:pStyle w:val="Heading2"/>
        <w:rPr>
          <w:rFonts w:ascii="-webkit-standard" w:hAnsi="-webkit-standard"/>
          <w:color w:val="003835"/>
        </w:rPr>
      </w:pPr>
      <w:r>
        <w:rPr>
          <w:rFonts w:ascii="-webkit-standard" w:hAnsi="-webkit-standard"/>
          <w:color w:val="003835"/>
        </w:rPr>
        <w:t>LO3 – Record and disclose cash dividends.</w:t>
      </w:r>
    </w:p>
    <w:p w:rsidR="00C62659" w:rsidRDefault="00C62659" w:rsidP="00C62659">
      <w:pPr>
        <w:pStyle w:val="NormalWeb"/>
        <w:rPr>
          <w:rFonts w:ascii="-webkit-standard" w:hAnsi="-webkit-standard"/>
          <w:color w:val="000000"/>
        </w:rPr>
      </w:pPr>
      <w:r>
        <w:rPr>
          <w:rFonts w:ascii="-webkit-standard" w:hAnsi="-webkit-standard"/>
          <w:color w:val="000000"/>
        </w:rPr>
        <w:t>Cash dividends are a distribution of earnings to the shareholders and are declared by the board of directors. On the declaration date, cash dividends declared (or retained earnings) is debited and dividends payable is credited. On the date of record, no journal entry is recorded. Shareholders who hold shares on the date of record are eligible to receive the declared dividend. On the date of payment, dividends payable is debited and cash is credited. Preferred shares may have a feature known as cumulative or non-cumulative. Cumulative preferred shares accumulate undeclared dividends from one year to the next. These unpaid dividends are called dividends in arrears. When dividends are subsequently declared, dividends in arrears must be paid before anything is paid to the other shareholders. Non-cumulative preferred shares do not accumulate undeclared dividends.</w:t>
      </w:r>
    </w:p>
    <w:p w:rsidR="00C62659" w:rsidRDefault="00C62659" w:rsidP="00C62659">
      <w:pPr>
        <w:pStyle w:val="Heading2"/>
        <w:rPr>
          <w:rFonts w:ascii="-webkit-standard" w:hAnsi="-webkit-standard"/>
          <w:color w:val="003835"/>
        </w:rPr>
      </w:pPr>
      <w:r>
        <w:rPr>
          <w:rFonts w:ascii="-webkit-standard" w:hAnsi="-webkit-standard"/>
          <w:color w:val="003835"/>
        </w:rPr>
        <w:t>LO4 – Record and disclose share dividends.</w:t>
      </w:r>
    </w:p>
    <w:p w:rsidR="00C62659" w:rsidRDefault="00C62659" w:rsidP="00C62659">
      <w:pPr>
        <w:pStyle w:val="NormalWeb"/>
        <w:rPr>
          <w:rFonts w:ascii="-webkit-standard" w:hAnsi="-webkit-standard"/>
          <w:color w:val="000000"/>
        </w:rPr>
      </w:pPr>
      <w:r>
        <w:rPr>
          <w:rFonts w:ascii="-webkit-standard" w:hAnsi="-webkit-standard"/>
          <w:color w:val="000000"/>
        </w:rPr>
        <w:t xml:space="preserve">Share dividends distribute additional shares to shareholders and are declared by the board of directors. On the declaration date, share dividends declared (or retained earnings) is debited and common share dividends distributable, a share capital account, is credited. When the share dividend is distributed to shareholders, the Common Share Dividends Distributable account is debited and common shares is credited. Share dividends cause an increase in the number of shares issued and outstanding but do not affect account balances. </w:t>
      </w:r>
      <w:r>
        <w:rPr>
          <w:rFonts w:ascii="-webkit-standard" w:hAnsi="-webkit-standard"/>
          <w:color w:val="000000"/>
        </w:rPr>
        <w:lastRenderedPageBreak/>
        <w:t>Share dividends simply transfer an amount from retained earnings to share capital within the equity section of the balance sheet.</w:t>
      </w:r>
    </w:p>
    <w:p w:rsidR="00C62659" w:rsidRDefault="00C62659" w:rsidP="00C62659">
      <w:pPr>
        <w:pStyle w:val="Heading2"/>
        <w:rPr>
          <w:rFonts w:ascii="-webkit-standard" w:hAnsi="-webkit-standard"/>
          <w:color w:val="003835"/>
        </w:rPr>
      </w:pPr>
      <w:r>
        <w:rPr>
          <w:rFonts w:ascii="-webkit-standard" w:hAnsi="-webkit-standard"/>
          <w:color w:val="003835"/>
        </w:rPr>
        <w:t>LO5 – Calculate and explain the book value per share ratio.</w:t>
      </w:r>
    </w:p>
    <w:p w:rsidR="00C62659" w:rsidRDefault="00C62659" w:rsidP="00C62659">
      <w:pPr>
        <w:pStyle w:val="NormalWeb"/>
        <w:rPr>
          <w:rFonts w:ascii="-webkit-standard" w:hAnsi="-webkit-standard"/>
          <w:color w:val="000000"/>
        </w:rPr>
      </w:pPr>
      <w:r>
        <w:rPr>
          <w:rFonts w:ascii="-webkit-standard" w:hAnsi="-webkit-standard"/>
          <w:color w:val="000000"/>
        </w:rPr>
        <w:t>The book value of a share is the amount of net assets represented by one share. Book value per common share is the amount of net assets not claimed by creditors and preferred shareholders. Preferred book value per share is the net assets that preferred shareholders would receive if the corporation were liquidated.</w:t>
      </w:r>
    </w:p>
    <w:p w:rsidR="00F32318" w:rsidRPr="00F32318" w:rsidRDefault="00F32318" w:rsidP="00F32318">
      <w:pPr>
        <w:pStyle w:val="Heading2"/>
        <w:jc w:val="center"/>
        <w:rPr>
          <w:rFonts w:ascii="-webkit-standard" w:hAnsi="-webkit-standard"/>
          <w:color w:val="003835"/>
          <w:u w:val="single"/>
        </w:rPr>
      </w:pPr>
      <w:r w:rsidRPr="00F32318">
        <w:rPr>
          <w:rFonts w:ascii="-webkit-standard" w:hAnsi="-webkit-standard"/>
          <w:color w:val="003835"/>
          <w:u w:val="single"/>
        </w:rPr>
        <w:t>Chapter 11</w:t>
      </w:r>
    </w:p>
    <w:p w:rsidR="00F32318" w:rsidRDefault="00F32318" w:rsidP="00F32318">
      <w:pPr>
        <w:pStyle w:val="Heading2"/>
        <w:rPr>
          <w:rFonts w:ascii="-webkit-standard" w:hAnsi="-webkit-standard"/>
          <w:color w:val="003835"/>
        </w:rPr>
      </w:pPr>
      <w:r>
        <w:rPr>
          <w:rFonts w:ascii="-webkit-standard" w:hAnsi="-webkit-standard"/>
          <w:color w:val="003835"/>
        </w:rPr>
        <w:t>LO1 – Explain the purpose of the statement of cash flows.</w:t>
      </w:r>
    </w:p>
    <w:p w:rsidR="00F32318" w:rsidRDefault="00F32318" w:rsidP="00F32318">
      <w:pPr>
        <w:pStyle w:val="NormalWeb"/>
        <w:rPr>
          <w:rFonts w:ascii="-webkit-standard" w:hAnsi="-webkit-standard"/>
          <w:color w:val="000000"/>
        </w:rPr>
      </w:pPr>
      <w:r>
        <w:rPr>
          <w:rFonts w:ascii="-webkit-standard" w:hAnsi="-webkit-standard"/>
          <w:color w:val="000000"/>
        </w:rPr>
        <w:t>The statement of cash flows is one of the four financial statements. It highlights the net increase or decrease in the cash and cash equivalents balance during the accounting period, and details the sources and uses of cash that caused that change.</w:t>
      </w:r>
    </w:p>
    <w:p w:rsidR="00F32318" w:rsidRDefault="00F32318" w:rsidP="00F32318">
      <w:pPr>
        <w:pStyle w:val="Heading2"/>
        <w:rPr>
          <w:rFonts w:ascii="-webkit-standard" w:hAnsi="-webkit-standard"/>
          <w:color w:val="003835"/>
        </w:rPr>
      </w:pPr>
      <w:r>
        <w:rPr>
          <w:rFonts w:ascii="-webkit-standard" w:hAnsi="-webkit-standard"/>
          <w:color w:val="003835"/>
        </w:rPr>
        <w:t>LO2 – Prepare a statement of cash flows.</w:t>
      </w:r>
    </w:p>
    <w:p w:rsidR="00F32318" w:rsidRDefault="00F32318" w:rsidP="00F32318">
      <w:pPr>
        <w:pStyle w:val="NormalWeb"/>
        <w:rPr>
          <w:rFonts w:ascii="-webkit-standard" w:hAnsi="-webkit-standard"/>
          <w:color w:val="000000"/>
        </w:rPr>
      </w:pPr>
      <w:r>
        <w:rPr>
          <w:rFonts w:ascii="-webkit-standard" w:hAnsi="-webkit-standard"/>
          <w:color w:val="000000"/>
        </w:rPr>
        <w:t>The operating activities section of the statement of cash flows can be prepared using the direct or indirect method. This textbook focuses only on the indirect method. The result of both methods is identical; it is only how the calculations are performed that differs. The operating activities section begins with accrual net income and, by adjusting for changes in current assets, current liabilities, adding back depreciation expense, and adding back/subtracting losses/gains on disposal of non-current assets, arrives at net income on a cash basis. The investing activities section analyzes cash inflows and outflows from the sale and purchase of non-current assets. The finance activities section details the cash inflows and outflows resulting from the issue and payment of loans, issue and repurchase of shares, and payment of dividends.</w:t>
      </w:r>
    </w:p>
    <w:p w:rsidR="00F32318" w:rsidRDefault="00F32318" w:rsidP="00F32318">
      <w:pPr>
        <w:pStyle w:val="Heading2"/>
        <w:rPr>
          <w:rFonts w:ascii="-webkit-standard" w:hAnsi="-webkit-standard"/>
          <w:color w:val="003835"/>
        </w:rPr>
      </w:pPr>
      <w:r>
        <w:rPr>
          <w:rFonts w:ascii="-webkit-standard" w:hAnsi="-webkit-standard"/>
          <w:color w:val="003835"/>
        </w:rPr>
        <w:t>LO3 – Interpret a statement of cash flows.</w:t>
      </w:r>
    </w:p>
    <w:p w:rsidR="00F32318" w:rsidRDefault="00F32318" w:rsidP="00F32318">
      <w:pPr>
        <w:pStyle w:val="NormalWeb"/>
        <w:rPr>
          <w:rFonts w:ascii="-webkit-standard" w:hAnsi="-webkit-standard"/>
          <w:color w:val="000000"/>
        </w:rPr>
      </w:pPr>
      <w:r>
        <w:rPr>
          <w:rFonts w:ascii="-webkit-standard" w:hAnsi="-webkit-standard"/>
          <w:color w:val="000000"/>
        </w:rPr>
        <w:t>A statement of cash flows contributes to the decision-making process by explaining the sources and uses of cash. The operating activities section can signal potential areas of concern by focusing on differences between accrual net income and cash basis net income. The investing activities section can highlight if cash is being used to acquire assets for generating revenue, while the financing activities section can identify where the cash to purchase those assets might be coming from. Those who use financial statements can focus on the effectiveness of management's investing and financing decisions and how these may affect future financial performance.</w:t>
      </w:r>
    </w:p>
    <w:p w:rsidR="00F32318" w:rsidRPr="00F32318" w:rsidRDefault="00F32318" w:rsidP="00F32318">
      <w:pPr>
        <w:pStyle w:val="Heading2"/>
        <w:jc w:val="center"/>
        <w:rPr>
          <w:rFonts w:ascii="-webkit-standard" w:hAnsi="-webkit-standard"/>
          <w:color w:val="003835"/>
          <w:u w:val="single"/>
        </w:rPr>
      </w:pPr>
      <w:r w:rsidRPr="00F32318">
        <w:rPr>
          <w:rFonts w:ascii="-webkit-standard" w:hAnsi="-webkit-standard"/>
          <w:color w:val="003835"/>
          <w:u w:val="single"/>
        </w:rPr>
        <w:lastRenderedPageBreak/>
        <w:t>Chapter 12</w:t>
      </w:r>
    </w:p>
    <w:p w:rsidR="00F32318" w:rsidRDefault="00F32318" w:rsidP="00F32318">
      <w:pPr>
        <w:pStyle w:val="Heading2"/>
        <w:rPr>
          <w:rFonts w:ascii="-webkit-standard" w:hAnsi="-webkit-standard"/>
          <w:color w:val="003835"/>
        </w:rPr>
      </w:pPr>
      <w:r>
        <w:rPr>
          <w:rFonts w:ascii="-webkit-standard" w:hAnsi="-webkit-standard"/>
          <w:color w:val="003835"/>
        </w:rPr>
        <w:t>LO1 – Describe ratio analysis, and explain how the liquidity, profitability, leverage, and market ratios are used to analyze and compare financial statements.</w:t>
      </w:r>
    </w:p>
    <w:p w:rsidR="00F32318" w:rsidRDefault="00F32318" w:rsidP="00F32318">
      <w:pPr>
        <w:pStyle w:val="NormalWeb"/>
        <w:rPr>
          <w:rFonts w:ascii="-webkit-standard" w:hAnsi="-webkit-standard"/>
          <w:color w:val="000000"/>
        </w:rPr>
      </w:pPr>
      <w:r>
        <w:rPr>
          <w:rFonts w:ascii="-webkit-standard" w:hAnsi="-webkit-standard"/>
          <w:color w:val="000000"/>
        </w:rPr>
        <w:t>Ratio analysis measures the relative magnitude of two selected numerical values taken from a company's financial statements and compares the result to prior years and other similar companies. Financial ratios are an effective tool for measuring: (a) liquidity (current ratio, acid-test ratio, accounts receivable collection period, and number of days of sales in inventory); (b) profitability (gross profit ratio, operating profit ratio, net profit ratio, sales to total assets ratio, return on total assets, and return on equity); (c) leverage (debt ratio, equity ratio, debt to equity ratio, and times interest earned ratio); and (d) market ratios (earnings per share, price-earnings ratio, and dividend yield ratio). Ratios help identify the areas that require further investigation.</w:t>
      </w:r>
    </w:p>
    <w:p w:rsidR="00F32318" w:rsidRDefault="00F32318" w:rsidP="00F32318">
      <w:pPr>
        <w:pStyle w:val="Heading2"/>
        <w:rPr>
          <w:rFonts w:ascii="-webkit-standard" w:hAnsi="-webkit-standard"/>
          <w:color w:val="003835"/>
        </w:rPr>
      </w:pPr>
      <w:r>
        <w:rPr>
          <w:rFonts w:ascii="-webkit-standard" w:hAnsi="-webkit-standard"/>
          <w:color w:val="003835"/>
        </w:rPr>
        <w:t>LO2 – Describe horizontal and vertical trend analysis, and explain how they are used to analyze financial statements.</w:t>
      </w:r>
    </w:p>
    <w:p w:rsidR="00F32318" w:rsidRDefault="00F32318" w:rsidP="00F32318">
      <w:pPr>
        <w:pStyle w:val="NormalWeb"/>
        <w:rPr>
          <w:rFonts w:ascii="-webkit-standard" w:hAnsi="-webkit-standard"/>
          <w:color w:val="000000"/>
        </w:rPr>
      </w:pPr>
      <w:r>
        <w:rPr>
          <w:rFonts w:ascii="-webkit-standard" w:hAnsi="-webkit-standard"/>
          <w:color w:val="000000"/>
        </w:rPr>
        <w:t>Horizontal analysis involves the calculation of percentage changes from one or more years over the base year dollar amount. The base year is typically the oldest year and is always 100%. Vertical analysis requires that numbers in a financial statement be restated as percentages of a base dollar amount. For income statement analysis, the base amount used is sales. For balance sheet analysis, total assets, or total liabilities and equity, are used as the base amounts. When financial statements are converted to percentages, they are called common-size financial statements.</w:t>
      </w:r>
    </w:p>
    <w:p w:rsidR="00F32318" w:rsidRPr="00F32318" w:rsidRDefault="00F32318" w:rsidP="00F32318">
      <w:pPr>
        <w:pStyle w:val="Heading2"/>
        <w:jc w:val="center"/>
        <w:rPr>
          <w:rFonts w:ascii="-webkit-standard" w:hAnsi="-webkit-standard"/>
          <w:color w:val="003835"/>
          <w:u w:val="single"/>
        </w:rPr>
      </w:pPr>
      <w:r w:rsidRPr="00F32318">
        <w:rPr>
          <w:rFonts w:ascii="-webkit-standard" w:hAnsi="-webkit-standard"/>
          <w:color w:val="003835"/>
          <w:u w:val="single"/>
        </w:rPr>
        <w:t>Chapter 13</w:t>
      </w:r>
    </w:p>
    <w:p w:rsidR="00F32318" w:rsidRDefault="00F32318" w:rsidP="00F32318">
      <w:pPr>
        <w:pStyle w:val="Heading2"/>
        <w:rPr>
          <w:rFonts w:ascii="-webkit-standard" w:hAnsi="-webkit-standard"/>
          <w:color w:val="003835"/>
        </w:rPr>
      </w:pPr>
      <w:r>
        <w:rPr>
          <w:rFonts w:ascii="-webkit-standard" w:hAnsi="-webkit-standard"/>
          <w:color w:val="003835"/>
        </w:rPr>
        <w:t>LO1 – Describe the characteristics of a proprietorship, including how its financial statements are different from those of a corporation.</w:t>
      </w:r>
    </w:p>
    <w:p w:rsidR="00F32318" w:rsidRDefault="00F32318" w:rsidP="00F32318">
      <w:pPr>
        <w:pStyle w:val="NormalWeb"/>
        <w:rPr>
          <w:rFonts w:ascii="-webkit-standard" w:hAnsi="-webkit-standard"/>
          <w:color w:val="000000"/>
        </w:rPr>
      </w:pPr>
      <w:r>
        <w:rPr>
          <w:rFonts w:ascii="-webkit-standard" w:hAnsi="-webkit-standard"/>
          <w:color w:val="000000"/>
        </w:rPr>
        <w:t xml:space="preserve">A proprietorship is a business owned by one person. It is not a separate legal entity, which means that the business and the owner are considered to be the same entity. The profits of a proprietorship are taxed as part of the owner's personal income tax return. Unlimited liability is another characteristic of a proprietorship meaning that if the business could not pay its debts, the owner would be responsible even if the business's debts were greater </w:t>
      </w:r>
      <w:r>
        <w:rPr>
          <w:rFonts w:ascii="-webkit-standard" w:hAnsi="-webkit-standard"/>
          <w:color w:val="000000"/>
        </w:rPr>
        <w:lastRenderedPageBreak/>
        <w:t>than the owner's personal resources. Owner investments, owner withdrawals, and net incomes/losses are closed to one permanent account: the Owner's Capital account.</w:t>
      </w:r>
    </w:p>
    <w:p w:rsidR="00F32318" w:rsidRDefault="00F32318" w:rsidP="00F32318">
      <w:pPr>
        <w:pStyle w:val="Heading2"/>
        <w:rPr>
          <w:rFonts w:ascii="-webkit-standard" w:hAnsi="-webkit-standard"/>
          <w:color w:val="003835"/>
        </w:rPr>
      </w:pPr>
      <w:r>
        <w:rPr>
          <w:rFonts w:ascii="-webkit-standard" w:hAnsi="-webkit-standard"/>
          <w:color w:val="003835"/>
        </w:rPr>
        <w:t>LO2 – Describe the characteristics of a partnership, including how its financial statements are different from those of a corporation.</w:t>
      </w:r>
    </w:p>
    <w:p w:rsidR="00F32318" w:rsidRDefault="00F32318" w:rsidP="00F32318">
      <w:pPr>
        <w:pStyle w:val="NormalWeb"/>
        <w:rPr>
          <w:rFonts w:ascii="-webkit-standard" w:hAnsi="-webkit-standard"/>
          <w:color w:val="000000"/>
        </w:rPr>
      </w:pPr>
      <w:r>
        <w:rPr>
          <w:rFonts w:ascii="-webkit-standard" w:hAnsi="-webkit-standard"/>
          <w:color w:val="000000"/>
        </w:rPr>
        <w:t>A partnership is a business owned by more than one person. Partners should have a partnership contract that details their agreement on things such as each partner's rights and duties, the sharing of incomes/losses and withdrawals, as well as dispute and termination procedures. A partnership is not a separate legal entity, which means that the business and the partners are considered to be the same entity. Each partner's share of the profits is taxed as part of that partner's personal income tax return. Unlimited liability is another characteristic of a partnership meaning that if the business could not pay its debts, the partners would be responsible even if the business's debts were greater than the partners' personal resources. The exception to this would be the formation of a limited liability partnership (LLP) that is permitted for professionals such as lawyers and accountants. In an LLP, the general partner(s) is/are responsible for the management of the partnership and assume(s) unlimited liability while the limited partners have limited liability but also limited roles in the partnership as specified in the partnership agreement. Partnerships also have a limited life and are subject to</w:t>
      </w:r>
      <w:r>
        <w:rPr>
          <w:rStyle w:val="apple-converted-space"/>
          <w:rFonts w:ascii="-webkit-standard" w:hAnsi="-webkit-standard"/>
          <w:color w:val="000000"/>
        </w:rPr>
        <w:t> </w:t>
      </w:r>
      <w:r>
        <w:rPr>
          <w:rFonts w:ascii="-webkit-standard" w:hAnsi="-webkit-standard"/>
          <w:i/>
          <w:iCs/>
          <w:color w:val="000000"/>
        </w:rPr>
        <w:t>mutual agency</w:t>
      </w:r>
      <w:r>
        <w:rPr>
          <w:rFonts w:ascii="-webkit-standard" w:hAnsi="-webkit-standard"/>
          <w:color w:val="000000"/>
        </w:rPr>
        <w:t>. Mutual agency means that a partner can commit the partnership to any contract because each partner is an authorized agent of the partnership. The closing entries for a partnership are the same as those for a proprietorship except there is more than one capital account and more than one withdrawals account. The closing of the income summary to each partner's capital account is based on the allocation details in the partnership agreement.</w:t>
      </w:r>
    </w:p>
    <w:p w:rsidR="00F32318" w:rsidRPr="00C62659" w:rsidRDefault="00F32318">
      <w:pPr>
        <w:rPr>
          <w:lang w:val="en-CA"/>
        </w:rPr>
      </w:pPr>
    </w:p>
    <w:sectPr w:rsidR="00F32318" w:rsidRPr="00C62659" w:rsidSect="002225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STIXGeneral-Regular">
    <w:altName w:val="STIXGener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86CE8"/>
    <w:multiLevelType w:val="multilevel"/>
    <w:tmpl w:val="973EA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39797F"/>
    <w:multiLevelType w:val="multilevel"/>
    <w:tmpl w:val="909AF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1D1EBF"/>
    <w:multiLevelType w:val="multilevel"/>
    <w:tmpl w:val="77EAE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506189"/>
    <w:multiLevelType w:val="multilevel"/>
    <w:tmpl w:val="16B43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520428"/>
    <w:multiLevelType w:val="multilevel"/>
    <w:tmpl w:val="60F61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659"/>
    <w:rsid w:val="00222541"/>
    <w:rsid w:val="004148F0"/>
    <w:rsid w:val="00C62659"/>
    <w:rsid w:val="00E87EA5"/>
    <w:rsid w:val="00F323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15:docId w15:val="{A76BA664-CBFA-9E40-BCF6-607B21B02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C62659"/>
    <w:pPr>
      <w:spacing w:before="100" w:beforeAutospacing="1" w:after="100" w:afterAutospacing="1"/>
      <w:outlineLvl w:val="1"/>
    </w:pPr>
    <w:rPr>
      <w:rFonts w:ascii="Times New Roman" w:eastAsia="Times New Roman" w:hAnsi="Times New Roman" w:cs="Times New Roman"/>
      <w:b/>
      <w:bCs/>
      <w:sz w:val="36"/>
      <w:szCs w:val="36"/>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62659"/>
    <w:rPr>
      <w:rFonts w:ascii="Times New Roman" w:eastAsia="Times New Roman" w:hAnsi="Times New Roman" w:cs="Times New Roman"/>
      <w:b/>
      <w:bCs/>
      <w:sz w:val="36"/>
      <w:szCs w:val="36"/>
      <w:lang w:val="en-CA"/>
    </w:rPr>
  </w:style>
  <w:style w:type="paragraph" w:styleId="NormalWeb">
    <w:name w:val="Normal (Web)"/>
    <w:basedOn w:val="Normal"/>
    <w:uiPriority w:val="99"/>
    <w:semiHidden/>
    <w:unhideWhenUsed/>
    <w:rsid w:val="00C62659"/>
    <w:pPr>
      <w:spacing w:before="100" w:beforeAutospacing="1" w:after="100" w:afterAutospacing="1"/>
    </w:pPr>
    <w:rPr>
      <w:rFonts w:ascii="Times New Roman" w:eastAsia="Times New Roman" w:hAnsi="Times New Roman" w:cs="Times New Roman"/>
      <w:lang w:val="en-CA"/>
    </w:rPr>
  </w:style>
  <w:style w:type="character" w:customStyle="1" w:styleId="apple-converted-space">
    <w:name w:val="apple-converted-space"/>
    <w:basedOn w:val="DefaultParagraphFont"/>
    <w:rsid w:val="00C62659"/>
  </w:style>
  <w:style w:type="character" w:styleId="Hyperlink">
    <w:name w:val="Hyperlink"/>
    <w:basedOn w:val="DefaultParagraphFont"/>
    <w:uiPriority w:val="99"/>
    <w:semiHidden/>
    <w:unhideWhenUsed/>
    <w:rsid w:val="00C62659"/>
    <w:rPr>
      <w:color w:val="0000FF"/>
      <w:u w:val="single"/>
    </w:rPr>
  </w:style>
  <w:style w:type="character" w:customStyle="1" w:styleId="mtext">
    <w:name w:val="mtext"/>
    <w:basedOn w:val="DefaultParagraphFont"/>
    <w:rsid w:val="00C62659"/>
  </w:style>
  <w:style w:type="character" w:customStyle="1" w:styleId="mo">
    <w:name w:val="mo"/>
    <w:basedOn w:val="DefaultParagraphFont"/>
    <w:rsid w:val="00C626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8433">
      <w:bodyDiv w:val="1"/>
      <w:marLeft w:val="0"/>
      <w:marRight w:val="0"/>
      <w:marTop w:val="0"/>
      <w:marBottom w:val="0"/>
      <w:divBdr>
        <w:top w:val="none" w:sz="0" w:space="0" w:color="auto"/>
        <w:left w:val="none" w:sz="0" w:space="0" w:color="auto"/>
        <w:bottom w:val="none" w:sz="0" w:space="0" w:color="auto"/>
        <w:right w:val="none" w:sz="0" w:space="0" w:color="auto"/>
      </w:divBdr>
    </w:div>
    <w:div w:id="176577769">
      <w:bodyDiv w:val="1"/>
      <w:marLeft w:val="0"/>
      <w:marRight w:val="0"/>
      <w:marTop w:val="0"/>
      <w:marBottom w:val="0"/>
      <w:divBdr>
        <w:top w:val="none" w:sz="0" w:space="0" w:color="auto"/>
        <w:left w:val="none" w:sz="0" w:space="0" w:color="auto"/>
        <w:bottom w:val="none" w:sz="0" w:space="0" w:color="auto"/>
        <w:right w:val="none" w:sz="0" w:space="0" w:color="auto"/>
      </w:divBdr>
      <w:divsChild>
        <w:div w:id="1959287928">
          <w:marLeft w:val="0"/>
          <w:marRight w:val="0"/>
          <w:marTop w:val="0"/>
          <w:marBottom w:val="0"/>
          <w:divBdr>
            <w:top w:val="none" w:sz="0" w:space="0" w:color="auto"/>
            <w:left w:val="none" w:sz="0" w:space="0" w:color="auto"/>
            <w:bottom w:val="none" w:sz="0" w:space="0" w:color="auto"/>
            <w:right w:val="none" w:sz="0" w:space="0" w:color="auto"/>
          </w:divBdr>
        </w:div>
      </w:divsChild>
    </w:div>
    <w:div w:id="679967416">
      <w:bodyDiv w:val="1"/>
      <w:marLeft w:val="0"/>
      <w:marRight w:val="0"/>
      <w:marTop w:val="0"/>
      <w:marBottom w:val="0"/>
      <w:divBdr>
        <w:top w:val="none" w:sz="0" w:space="0" w:color="auto"/>
        <w:left w:val="none" w:sz="0" w:space="0" w:color="auto"/>
        <w:bottom w:val="none" w:sz="0" w:space="0" w:color="auto"/>
        <w:right w:val="none" w:sz="0" w:space="0" w:color="auto"/>
      </w:divBdr>
    </w:div>
    <w:div w:id="771827968">
      <w:bodyDiv w:val="1"/>
      <w:marLeft w:val="0"/>
      <w:marRight w:val="0"/>
      <w:marTop w:val="0"/>
      <w:marBottom w:val="0"/>
      <w:divBdr>
        <w:top w:val="none" w:sz="0" w:space="0" w:color="auto"/>
        <w:left w:val="none" w:sz="0" w:space="0" w:color="auto"/>
        <w:bottom w:val="none" w:sz="0" w:space="0" w:color="auto"/>
        <w:right w:val="none" w:sz="0" w:space="0" w:color="auto"/>
      </w:divBdr>
    </w:div>
    <w:div w:id="836577933">
      <w:bodyDiv w:val="1"/>
      <w:marLeft w:val="0"/>
      <w:marRight w:val="0"/>
      <w:marTop w:val="0"/>
      <w:marBottom w:val="0"/>
      <w:divBdr>
        <w:top w:val="none" w:sz="0" w:space="0" w:color="auto"/>
        <w:left w:val="none" w:sz="0" w:space="0" w:color="auto"/>
        <w:bottom w:val="none" w:sz="0" w:space="0" w:color="auto"/>
        <w:right w:val="none" w:sz="0" w:space="0" w:color="auto"/>
      </w:divBdr>
    </w:div>
    <w:div w:id="1059329662">
      <w:bodyDiv w:val="1"/>
      <w:marLeft w:val="0"/>
      <w:marRight w:val="0"/>
      <w:marTop w:val="0"/>
      <w:marBottom w:val="0"/>
      <w:divBdr>
        <w:top w:val="none" w:sz="0" w:space="0" w:color="auto"/>
        <w:left w:val="none" w:sz="0" w:space="0" w:color="auto"/>
        <w:bottom w:val="none" w:sz="0" w:space="0" w:color="auto"/>
        <w:right w:val="none" w:sz="0" w:space="0" w:color="auto"/>
      </w:divBdr>
      <w:divsChild>
        <w:div w:id="343671372">
          <w:marLeft w:val="0"/>
          <w:marRight w:val="0"/>
          <w:marTop w:val="0"/>
          <w:marBottom w:val="0"/>
          <w:divBdr>
            <w:top w:val="none" w:sz="0" w:space="0" w:color="auto"/>
            <w:left w:val="none" w:sz="0" w:space="0" w:color="auto"/>
            <w:bottom w:val="none" w:sz="0" w:space="0" w:color="auto"/>
            <w:right w:val="none" w:sz="0" w:space="0" w:color="auto"/>
          </w:divBdr>
        </w:div>
        <w:div w:id="901208906">
          <w:marLeft w:val="0"/>
          <w:marRight w:val="0"/>
          <w:marTop w:val="300"/>
          <w:marBottom w:val="0"/>
          <w:divBdr>
            <w:top w:val="single" w:sz="6" w:space="0" w:color="000000"/>
            <w:left w:val="none" w:sz="0" w:space="0" w:color="auto"/>
            <w:bottom w:val="none" w:sz="0" w:space="0" w:color="auto"/>
            <w:right w:val="none" w:sz="0" w:space="0" w:color="auto"/>
          </w:divBdr>
          <w:divsChild>
            <w:div w:id="335033991">
              <w:marLeft w:val="0"/>
              <w:marRight w:val="0"/>
              <w:marTop w:val="0"/>
              <w:marBottom w:val="0"/>
              <w:divBdr>
                <w:top w:val="none" w:sz="0" w:space="0" w:color="auto"/>
                <w:left w:val="none" w:sz="0" w:space="0" w:color="auto"/>
                <w:bottom w:val="none" w:sz="0" w:space="0" w:color="auto"/>
                <w:right w:val="none" w:sz="0" w:space="0" w:color="auto"/>
              </w:divBdr>
            </w:div>
            <w:div w:id="1658074134">
              <w:marLeft w:val="0"/>
              <w:marRight w:val="0"/>
              <w:marTop w:val="0"/>
              <w:marBottom w:val="0"/>
              <w:divBdr>
                <w:top w:val="none" w:sz="0" w:space="0" w:color="auto"/>
                <w:left w:val="none" w:sz="0" w:space="0" w:color="auto"/>
                <w:bottom w:val="none" w:sz="0" w:space="0" w:color="auto"/>
                <w:right w:val="none" w:sz="0" w:space="0" w:color="auto"/>
              </w:divBdr>
            </w:div>
            <w:div w:id="197644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80429">
      <w:bodyDiv w:val="1"/>
      <w:marLeft w:val="0"/>
      <w:marRight w:val="0"/>
      <w:marTop w:val="0"/>
      <w:marBottom w:val="0"/>
      <w:divBdr>
        <w:top w:val="none" w:sz="0" w:space="0" w:color="auto"/>
        <w:left w:val="none" w:sz="0" w:space="0" w:color="auto"/>
        <w:bottom w:val="none" w:sz="0" w:space="0" w:color="auto"/>
        <w:right w:val="none" w:sz="0" w:space="0" w:color="auto"/>
      </w:divBdr>
    </w:div>
    <w:div w:id="1222790946">
      <w:bodyDiv w:val="1"/>
      <w:marLeft w:val="0"/>
      <w:marRight w:val="0"/>
      <w:marTop w:val="0"/>
      <w:marBottom w:val="0"/>
      <w:divBdr>
        <w:top w:val="none" w:sz="0" w:space="0" w:color="auto"/>
        <w:left w:val="none" w:sz="0" w:space="0" w:color="auto"/>
        <w:bottom w:val="none" w:sz="0" w:space="0" w:color="auto"/>
        <w:right w:val="none" w:sz="0" w:space="0" w:color="auto"/>
      </w:divBdr>
    </w:div>
    <w:div w:id="1274245066">
      <w:bodyDiv w:val="1"/>
      <w:marLeft w:val="0"/>
      <w:marRight w:val="0"/>
      <w:marTop w:val="0"/>
      <w:marBottom w:val="0"/>
      <w:divBdr>
        <w:top w:val="none" w:sz="0" w:space="0" w:color="auto"/>
        <w:left w:val="none" w:sz="0" w:space="0" w:color="auto"/>
        <w:bottom w:val="none" w:sz="0" w:space="0" w:color="auto"/>
        <w:right w:val="none" w:sz="0" w:space="0" w:color="auto"/>
      </w:divBdr>
    </w:div>
    <w:div w:id="1478108252">
      <w:bodyDiv w:val="1"/>
      <w:marLeft w:val="0"/>
      <w:marRight w:val="0"/>
      <w:marTop w:val="0"/>
      <w:marBottom w:val="0"/>
      <w:divBdr>
        <w:top w:val="none" w:sz="0" w:space="0" w:color="auto"/>
        <w:left w:val="none" w:sz="0" w:space="0" w:color="auto"/>
        <w:bottom w:val="none" w:sz="0" w:space="0" w:color="auto"/>
        <w:right w:val="none" w:sz="0" w:space="0" w:color="auto"/>
      </w:divBdr>
      <w:divsChild>
        <w:div w:id="238447405">
          <w:marLeft w:val="0"/>
          <w:marRight w:val="0"/>
          <w:marTop w:val="0"/>
          <w:marBottom w:val="0"/>
          <w:divBdr>
            <w:top w:val="none" w:sz="0" w:space="0" w:color="auto"/>
            <w:left w:val="none" w:sz="0" w:space="0" w:color="auto"/>
            <w:bottom w:val="none" w:sz="0" w:space="0" w:color="auto"/>
            <w:right w:val="none" w:sz="0" w:space="0" w:color="auto"/>
          </w:divBdr>
          <w:divsChild>
            <w:div w:id="290476281">
              <w:marLeft w:val="0"/>
              <w:marRight w:val="0"/>
              <w:marTop w:val="0"/>
              <w:marBottom w:val="0"/>
              <w:divBdr>
                <w:top w:val="none" w:sz="0" w:space="0" w:color="auto"/>
                <w:left w:val="none" w:sz="0" w:space="0" w:color="auto"/>
                <w:bottom w:val="dotted" w:sz="12" w:space="0" w:color="000000"/>
                <w:right w:val="none" w:sz="0" w:space="0" w:color="auto"/>
              </w:divBdr>
            </w:div>
            <w:div w:id="1966111216">
              <w:marLeft w:val="0"/>
              <w:marRight w:val="0"/>
              <w:marTop w:val="0"/>
              <w:marBottom w:val="0"/>
              <w:divBdr>
                <w:top w:val="none" w:sz="0" w:space="0" w:color="auto"/>
                <w:left w:val="none" w:sz="0" w:space="0" w:color="auto"/>
                <w:bottom w:val="none" w:sz="0" w:space="0" w:color="auto"/>
                <w:right w:val="none" w:sz="0" w:space="0" w:color="auto"/>
              </w:divBdr>
            </w:div>
          </w:divsChild>
        </w:div>
        <w:div w:id="350496066">
          <w:marLeft w:val="0"/>
          <w:marRight w:val="0"/>
          <w:marTop w:val="0"/>
          <w:marBottom w:val="0"/>
          <w:divBdr>
            <w:top w:val="none" w:sz="0" w:space="0" w:color="auto"/>
            <w:left w:val="none" w:sz="0" w:space="0" w:color="auto"/>
            <w:bottom w:val="none" w:sz="0" w:space="0" w:color="auto"/>
            <w:right w:val="none" w:sz="0" w:space="0" w:color="auto"/>
          </w:divBdr>
        </w:div>
        <w:div w:id="358507177">
          <w:marLeft w:val="0"/>
          <w:marRight w:val="0"/>
          <w:marTop w:val="0"/>
          <w:marBottom w:val="0"/>
          <w:divBdr>
            <w:top w:val="none" w:sz="0" w:space="0" w:color="auto"/>
            <w:left w:val="none" w:sz="0" w:space="0" w:color="auto"/>
            <w:bottom w:val="none" w:sz="0" w:space="0" w:color="auto"/>
            <w:right w:val="none" w:sz="0" w:space="0" w:color="auto"/>
          </w:divBdr>
          <w:divsChild>
            <w:div w:id="210657951">
              <w:marLeft w:val="0"/>
              <w:marRight w:val="0"/>
              <w:marTop w:val="0"/>
              <w:marBottom w:val="0"/>
              <w:divBdr>
                <w:top w:val="none" w:sz="0" w:space="0" w:color="auto"/>
                <w:left w:val="none" w:sz="0" w:space="0" w:color="auto"/>
                <w:bottom w:val="dotted" w:sz="12" w:space="0" w:color="000000"/>
                <w:right w:val="none" w:sz="0" w:space="0" w:color="auto"/>
              </w:divBdr>
            </w:div>
            <w:div w:id="1778597626">
              <w:marLeft w:val="0"/>
              <w:marRight w:val="0"/>
              <w:marTop w:val="0"/>
              <w:marBottom w:val="0"/>
              <w:divBdr>
                <w:top w:val="none" w:sz="0" w:space="0" w:color="auto"/>
                <w:left w:val="none" w:sz="0" w:space="0" w:color="auto"/>
                <w:bottom w:val="none" w:sz="0" w:space="0" w:color="auto"/>
                <w:right w:val="none" w:sz="0" w:space="0" w:color="auto"/>
              </w:divBdr>
            </w:div>
          </w:divsChild>
        </w:div>
        <w:div w:id="399256375">
          <w:marLeft w:val="0"/>
          <w:marRight w:val="0"/>
          <w:marTop w:val="0"/>
          <w:marBottom w:val="0"/>
          <w:divBdr>
            <w:top w:val="none" w:sz="0" w:space="0" w:color="auto"/>
            <w:left w:val="none" w:sz="0" w:space="0" w:color="auto"/>
            <w:bottom w:val="none" w:sz="0" w:space="0" w:color="auto"/>
            <w:right w:val="none" w:sz="0" w:space="0" w:color="auto"/>
          </w:divBdr>
          <w:divsChild>
            <w:div w:id="624317453">
              <w:marLeft w:val="0"/>
              <w:marRight w:val="0"/>
              <w:marTop w:val="0"/>
              <w:marBottom w:val="0"/>
              <w:divBdr>
                <w:top w:val="none" w:sz="0" w:space="0" w:color="auto"/>
                <w:left w:val="none" w:sz="0" w:space="0" w:color="auto"/>
                <w:bottom w:val="dotted" w:sz="12" w:space="0" w:color="000000"/>
                <w:right w:val="none" w:sz="0" w:space="0" w:color="auto"/>
              </w:divBdr>
            </w:div>
            <w:div w:id="959069356">
              <w:marLeft w:val="0"/>
              <w:marRight w:val="0"/>
              <w:marTop w:val="0"/>
              <w:marBottom w:val="0"/>
              <w:divBdr>
                <w:top w:val="none" w:sz="0" w:space="0" w:color="auto"/>
                <w:left w:val="none" w:sz="0" w:space="0" w:color="auto"/>
                <w:bottom w:val="none" w:sz="0" w:space="0" w:color="auto"/>
                <w:right w:val="none" w:sz="0" w:space="0" w:color="auto"/>
              </w:divBdr>
            </w:div>
          </w:divsChild>
        </w:div>
        <w:div w:id="412355391">
          <w:marLeft w:val="0"/>
          <w:marRight w:val="0"/>
          <w:marTop w:val="0"/>
          <w:marBottom w:val="0"/>
          <w:divBdr>
            <w:top w:val="none" w:sz="0" w:space="0" w:color="auto"/>
            <w:left w:val="none" w:sz="0" w:space="0" w:color="auto"/>
            <w:bottom w:val="none" w:sz="0" w:space="0" w:color="auto"/>
            <w:right w:val="none" w:sz="0" w:space="0" w:color="auto"/>
          </w:divBdr>
          <w:divsChild>
            <w:div w:id="398017934">
              <w:marLeft w:val="0"/>
              <w:marRight w:val="0"/>
              <w:marTop w:val="0"/>
              <w:marBottom w:val="0"/>
              <w:divBdr>
                <w:top w:val="none" w:sz="0" w:space="0" w:color="auto"/>
                <w:left w:val="none" w:sz="0" w:space="0" w:color="auto"/>
                <w:bottom w:val="none" w:sz="0" w:space="0" w:color="auto"/>
                <w:right w:val="none" w:sz="0" w:space="0" w:color="auto"/>
              </w:divBdr>
            </w:div>
            <w:div w:id="1854419011">
              <w:marLeft w:val="0"/>
              <w:marRight w:val="0"/>
              <w:marTop w:val="0"/>
              <w:marBottom w:val="0"/>
              <w:divBdr>
                <w:top w:val="none" w:sz="0" w:space="0" w:color="auto"/>
                <w:left w:val="none" w:sz="0" w:space="0" w:color="auto"/>
                <w:bottom w:val="dotted" w:sz="12" w:space="0" w:color="000000"/>
                <w:right w:val="none" w:sz="0" w:space="0" w:color="auto"/>
              </w:divBdr>
            </w:div>
          </w:divsChild>
        </w:div>
        <w:div w:id="730465342">
          <w:marLeft w:val="0"/>
          <w:marRight w:val="0"/>
          <w:marTop w:val="240"/>
          <w:marBottom w:val="240"/>
          <w:divBdr>
            <w:top w:val="none" w:sz="0" w:space="0" w:color="auto"/>
            <w:left w:val="none" w:sz="0" w:space="0" w:color="auto"/>
            <w:bottom w:val="none" w:sz="0" w:space="0" w:color="auto"/>
            <w:right w:val="none" w:sz="0" w:space="0" w:color="auto"/>
          </w:divBdr>
        </w:div>
        <w:div w:id="1007489438">
          <w:marLeft w:val="0"/>
          <w:marRight w:val="0"/>
          <w:marTop w:val="0"/>
          <w:marBottom w:val="0"/>
          <w:divBdr>
            <w:top w:val="none" w:sz="0" w:space="0" w:color="auto"/>
            <w:left w:val="none" w:sz="0" w:space="0" w:color="auto"/>
            <w:bottom w:val="none" w:sz="0" w:space="0" w:color="auto"/>
            <w:right w:val="none" w:sz="0" w:space="0" w:color="auto"/>
          </w:divBdr>
          <w:divsChild>
            <w:div w:id="410548040">
              <w:marLeft w:val="0"/>
              <w:marRight w:val="0"/>
              <w:marTop w:val="0"/>
              <w:marBottom w:val="0"/>
              <w:divBdr>
                <w:top w:val="none" w:sz="0" w:space="0" w:color="auto"/>
                <w:left w:val="none" w:sz="0" w:space="0" w:color="auto"/>
                <w:bottom w:val="dotted" w:sz="12" w:space="0" w:color="000000"/>
                <w:right w:val="none" w:sz="0" w:space="0" w:color="auto"/>
              </w:divBdr>
            </w:div>
            <w:div w:id="1917279472">
              <w:marLeft w:val="0"/>
              <w:marRight w:val="0"/>
              <w:marTop w:val="0"/>
              <w:marBottom w:val="0"/>
              <w:divBdr>
                <w:top w:val="none" w:sz="0" w:space="0" w:color="auto"/>
                <w:left w:val="none" w:sz="0" w:space="0" w:color="auto"/>
                <w:bottom w:val="none" w:sz="0" w:space="0" w:color="auto"/>
                <w:right w:val="none" w:sz="0" w:space="0" w:color="auto"/>
              </w:divBdr>
            </w:div>
          </w:divsChild>
        </w:div>
        <w:div w:id="1046560780">
          <w:marLeft w:val="0"/>
          <w:marRight w:val="0"/>
          <w:marTop w:val="0"/>
          <w:marBottom w:val="0"/>
          <w:divBdr>
            <w:top w:val="none" w:sz="0" w:space="0" w:color="auto"/>
            <w:left w:val="none" w:sz="0" w:space="0" w:color="auto"/>
            <w:bottom w:val="none" w:sz="0" w:space="0" w:color="auto"/>
            <w:right w:val="none" w:sz="0" w:space="0" w:color="auto"/>
          </w:divBdr>
          <w:divsChild>
            <w:div w:id="370110877">
              <w:marLeft w:val="0"/>
              <w:marRight w:val="0"/>
              <w:marTop w:val="0"/>
              <w:marBottom w:val="0"/>
              <w:divBdr>
                <w:top w:val="none" w:sz="0" w:space="0" w:color="auto"/>
                <w:left w:val="none" w:sz="0" w:space="0" w:color="auto"/>
                <w:bottom w:val="none" w:sz="0" w:space="0" w:color="auto"/>
                <w:right w:val="none" w:sz="0" w:space="0" w:color="auto"/>
              </w:divBdr>
            </w:div>
            <w:div w:id="818959067">
              <w:marLeft w:val="0"/>
              <w:marRight w:val="0"/>
              <w:marTop w:val="0"/>
              <w:marBottom w:val="0"/>
              <w:divBdr>
                <w:top w:val="none" w:sz="0" w:space="0" w:color="auto"/>
                <w:left w:val="none" w:sz="0" w:space="0" w:color="auto"/>
                <w:bottom w:val="dotted" w:sz="12" w:space="0" w:color="000000"/>
                <w:right w:val="none" w:sz="0" w:space="0" w:color="auto"/>
              </w:divBdr>
            </w:div>
          </w:divsChild>
        </w:div>
        <w:div w:id="1304775106">
          <w:marLeft w:val="0"/>
          <w:marRight w:val="0"/>
          <w:marTop w:val="0"/>
          <w:marBottom w:val="0"/>
          <w:divBdr>
            <w:top w:val="none" w:sz="0" w:space="0" w:color="auto"/>
            <w:left w:val="none" w:sz="0" w:space="0" w:color="auto"/>
            <w:bottom w:val="none" w:sz="0" w:space="0" w:color="auto"/>
            <w:right w:val="none" w:sz="0" w:space="0" w:color="auto"/>
          </w:divBdr>
          <w:divsChild>
            <w:div w:id="1195508044">
              <w:marLeft w:val="0"/>
              <w:marRight w:val="0"/>
              <w:marTop w:val="0"/>
              <w:marBottom w:val="0"/>
              <w:divBdr>
                <w:top w:val="none" w:sz="0" w:space="0" w:color="auto"/>
                <w:left w:val="none" w:sz="0" w:space="0" w:color="auto"/>
                <w:bottom w:val="dotted" w:sz="12" w:space="0" w:color="000000"/>
                <w:right w:val="none" w:sz="0" w:space="0" w:color="auto"/>
              </w:divBdr>
            </w:div>
            <w:div w:id="1551383244">
              <w:marLeft w:val="0"/>
              <w:marRight w:val="0"/>
              <w:marTop w:val="0"/>
              <w:marBottom w:val="0"/>
              <w:divBdr>
                <w:top w:val="none" w:sz="0" w:space="0" w:color="auto"/>
                <w:left w:val="none" w:sz="0" w:space="0" w:color="auto"/>
                <w:bottom w:val="none" w:sz="0" w:space="0" w:color="auto"/>
                <w:right w:val="none" w:sz="0" w:space="0" w:color="auto"/>
              </w:divBdr>
            </w:div>
          </w:divsChild>
        </w:div>
        <w:div w:id="1421099964">
          <w:marLeft w:val="0"/>
          <w:marRight w:val="0"/>
          <w:marTop w:val="0"/>
          <w:marBottom w:val="0"/>
          <w:divBdr>
            <w:top w:val="none" w:sz="0" w:space="0" w:color="auto"/>
            <w:left w:val="none" w:sz="0" w:space="0" w:color="auto"/>
            <w:bottom w:val="none" w:sz="0" w:space="0" w:color="auto"/>
            <w:right w:val="none" w:sz="0" w:space="0" w:color="auto"/>
          </w:divBdr>
          <w:divsChild>
            <w:div w:id="1012148089">
              <w:marLeft w:val="0"/>
              <w:marRight w:val="0"/>
              <w:marTop w:val="0"/>
              <w:marBottom w:val="0"/>
              <w:divBdr>
                <w:top w:val="none" w:sz="0" w:space="0" w:color="auto"/>
                <w:left w:val="none" w:sz="0" w:space="0" w:color="auto"/>
                <w:bottom w:val="dotted" w:sz="12" w:space="0" w:color="000000"/>
                <w:right w:val="none" w:sz="0" w:space="0" w:color="auto"/>
              </w:divBdr>
            </w:div>
            <w:div w:id="1942177141">
              <w:marLeft w:val="0"/>
              <w:marRight w:val="0"/>
              <w:marTop w:val="0"/>
              <w:marBottom w:val="0"/>
              <w:divBdr>
                <w:top w:val="none" w:sz="0" w:space="0" w:color="auto"/>
                <w:left w:val="none" w:sz="0" w:space="0" w:color="auto"/>
                <w:bottom w:val="none" w:sz="0" w:space="0" w:color="auto"/>
                <w:right w:val="none" w:sz="0" w:space="0" w:color="auto"/>
              </w:divBdr>
            </w:div>
          </w:divsChild>
        </w:div>
        <w:div w:id="1677683539">
          <w:marLeft w:val="0"/>
          <w:marRight w:val="0"/>
          <w:marTop w:val="240"/>
          <w:marBottom w:val="240"/>
          <w:divBdr>
            <w:top w:val="none" w:sz="0" w:space="0" w:color="auto"/>
            <w:left w:val="none" w:sz="0" w:space="0" w:color="auto"/>
            <w:bottom w:val="none" w:sz="0" w:space="0" w:color="auto"/>
            <w:right w:val="none" w:sz="0" w:space="0" w:color="auto"/>
          </w:divBdr>
        </w:div>
        <w:div w:id="1690986479">
          <w:marLeft w:val="0"/>
          <w:marRight w:val="0"/>
          <w:marTop w:val="0"/>
          <w:marBottom w:val="0"/>
          <w:divBdr>
            <w:top w:val="none" w:sz="0" w:space="0" w:color="auto"/>
            <w:left w:val="none" w:sz="0" w:space="0" w:color="auto"/>
            <w:bottom w:val="none" w:sz="0" w:space="0" w:color="auto"/>
            <w:right w:val="none" w:sz="0" w:space="0" w:color="auto"/>
          </w:divBdr>
          <w:divsChild>
            <w:div w:id="342170526">
              <w:marLeft w:val="0"/>
              <w:marRight w:val="0"/>
              <w:marTop w:val="0"/>
              <w:marBottom w:val="0"/>
              <w:divBdr>
                <w:top w:val="none" w:sz="0" w:space="0" w:color="auto"/>
                <w:left w:val="none" w:sz="0" w:space="0" w:color="auto"/>
                <w:bottom w:val="none" w:sz="0" w:space="0" w:color="auto"/>
                <w:right w:val="none" w:sz="0" w:space="0" w:color="auto"/>
              </w:divBdr>
            </w:div>
            <w:div w:id="2038195967">
              <w:marLeft w:val="0"/>
              <w:marRight w:val="0"/>
              <w:marTop w:val="0"/>
              <w:marBottom w:val="0"/>
              <w:divBdr>
                <w:top w:val="none" w:sz="0" w:space="0" w:color="auto"/>
                <w:left w:val="none" w:sz="0" w:space="0" w:color="auto"/>
                <w:bottom w:val="dotted" w:sz="12" w:space="0" w:color="000000"/>
                <w:right w:val="none" w:sz="0" w:space="0" w:color="auto"/>
              </w:divBdr>
            </w:div>
          </w:divsChild>
        </w:div>
      </w:divsChild>
    </w:div>
    <w:div w:id="1649434224">
      <w:bodyDiv w:val="1"/>
      <w:marLeft w:val="0"/>
      <w:marRight w:val="0"/>
      <w:marTop w:val="0"/>
      <w:marBottom w:val="0"/>
      <w:divBdr>
        <w:top w:val="none" w:sz="0" w:space="0" w:color="auto"/>
        <w:left w:val="none" w:sz="0" w:space="0" w:color="auto"/>
        <w:bottom w:val="none" w:sz="0" w:space="0" w:color="auto"/>
        <w:right w:val="none" w:sz="0" w:space="0" w:color="auto"/>
      </w:divBdr>
      <w:divsChild>
        <w:div w:id="318576194">
          <w:marLeft w:val="0"/>
          <w:marRight w:val="0"/>
          <w:marTop w:val="0"/>
          <w:marBottom w:val="0"/>
          <w:divBdr>
            <w:top w:val="none" w:sz="0" w:space="0" w:color="auto"/>
            <w:left w:val="none" w:sz="0" w:space="0" w:color="auto"/>
            <w:bottom w:val="none" w:sz="0" w:space="0" w:color="auto"/>
            <w:right w:val="none" w:sz="0" w:space="0" w:color="auto"/>
          </w:divBdr>
        </w:div>
        <w:div w:id="449907650">
          <w:marLeft w:val="0"/>
          <w:marRight w:val="0"/>
          <w:marTop w:val="0"/>
          <w:marBottom w:val="0"/>
          <w:divBdr>
            <w:top w:val="none" w:sz="0" w:space="0" w:color="auto"/>
            <w:left w:val="none" w:sz="0" w:space="0" w:color="auto"/>
            <w:bottom w:val="none" w:sz="0" w:space="0" w:color="auto"/>
            <w:right w:val="none" w:sz="0" w:space="0" w:color="auto"/>
          </w:divBdr>
        </w:div>
      </w:divsChild>
    </w:div>
    <w:div w:id="1912109404">
      <w:bodyDiv w:val="1"/>
      <w:marLeft w:val="0"/>
      <w:marRight w:val="0"/>
      <w:marTop w:val="0"/>
      <w:marBottom w:val="0"/>
      <w:divBdr>
        <w:top w:val="none" w:sz="0" w:space="0" w:color="auto"/>
        <w:left w:val="none" w:sz="0" w:space="0" w:color="auto"/>
        <w:bottom w:val="none" w:sz="0" w:space="0" w:color="auto"/>
        <w:right w:val="none" w:sz="0" w:space="0" w:color="auto"/>
      </w:divBdr>
    </w:div>
    <w:div w:id="2073237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fa1.lyryx.com/ch3/sec1/lessonMain.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fa1.lyryx.com/course_auacct253/ch1/summary.html"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fa1.lyryx.com/course_auacct253/ch1/summary.html" TargetMode="External"/><Relationship Id="rId11" Type="http://schemas.openxmlformats.org/officeDocument/2006/relationships/hyperlink" Target="https://lifa1.lyryx.com/ch5/sec1/lessonMain.html" TargetMode="External"/><Relationship Id="rId5" Type="http://schemas.openxmlformats.org/officeDocument/2006/relationships/hyperlink" Target="https://lifa1.lyryx.com/course_auacct253/ch1/summary.html"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21</Pages>
  <Words>6590</Words>
  <Characters>37565</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Hiba Nooh</dc:creator>
  <cp:keywords/>
  <dc:description/>
  <cp:lastModifiedBy>Hiba Nooh</cp:lastModifiedBy>
  <cp:revision>1</cp:revision>
  <dcterms:created xsi:type="dcterms:W3CDTF">2019-07-18T08:55:00Z</dcterms:created>
  <dcterms:modified xsi:type="dcterms:W3CDTF">2019-07-19T12:07:00Z</dcterms:modified>
</cp:coreProperties>
</file>