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307CD" w14:textId="1CA8F545" w:rsidR="00B07389" w:rsidRDefault="00553FE2" w:rsidP="00B07389">
      <w:pPr>
        <w:spacing w:line="480" w:lineRule="auto"/>
        <w:rPr>
          <w:rFonts w:ascii="Times New Roman" w:hAnsi="Times New Roman" w:cs="Times New Roman"/>
        </w:rPr>
      </w:pPr>
      <w:r>
        <w:rPr>
          <w:rFonts w:ascii="Times New Roman" w:hAnsi="Times New Roman" w:cs="Times New Roman"/>
        </w:rPr>
        <w:t>SOC 3116D</w:t>
      </w:r>
      <w:bookmarkStart w:id="0" w:name="_GoBack"/>
      <w:bookmarkEnd w:id="0"/>
    </w:p>
    <w:p w14:paraId="5CA21886" w14:textId="0F559B1F" w:rsidR="00B07389" w:rsidRDefault="00B07389" w:rsidP="00B07389">
      <w:pPr>
        <w:spacing w:line="480" w:lineRule="auto"/>
        <w:rPr>
          <w:rFonts w:ascii="Times New Roman" w:hAnsi="Times New Roman" w:cs="Times New Roman"/>
        </w:rPr>
      </w:pPr>
      <w:r>
        <w:rPr>
          <w:rFonts w:ascii="Times New Roman" w:hAnsi="Times New Roman" w:cs="Times New Roman"/>
        </w:rPr>
        <w:t>Question 1) In my own words, the definition of interpretative flexibility is how each individual has a different mindset on what the usage of the artefact is. This definition is linked to Larose’s PowerPoint definition stating that it “is different groups of people involved with a technology [while having] different understands of its technical content”.</w:t>
      </w:r>
      <w:r>
        <w:rPr>
          <w:rStyle w:val="FootnoteReference"/>
          <w:rFonts w:ascii="Times New Roman" w:hAnsi="Times New Roman" w:cs="Times New Roman"/>
        </w:rPr>
        <w:footnoteReference w:id="1"/>
      </w:r>
      <w:r>
        <w:rPr>
          <w:rFonts w:ascii="Times New Roman" w:hAnsi="Times New Roman" w:cs="Times New Roman"/>
        </w:rPr>
        <w:t xml:space="preserve"> Another aspect of interpretative flexibility is how these social groups ascribe meaning to these new technological artefacts. In my own words, the definition of interpretive flexibility is how each individual has a different mindset on what the usage of the artefact is. The owners of the technological artefacts want to know how a businesswoman or businessman use the product compared to a female or male university student. For an example from </w:t>
      </w:r>
      <w:r w:rsidRPr="00B07389">
        <w:rPr>
          <w:rFonts w:ascii="Times New Roman" w:hAnsi="Times New Roman" w:cs="Times New Roman"/>
          <w:i/>
        </w:rPr>
        <w:t xml:space="preserve">Of Bicycles, </w:t>
      </w:r>
      <w:proofErr w:type="spellStart"/>
      <w:r w:rsidRPr="00B07389">
        <w:rPr>
          <w:rFonts w:ascii="Times New Roman" w:hAnsi="Times New Roman" w:cs="Times New Roman"/>
          <w:i/>
        </w:rPr>
        <w:t>Bakelites</w:t>
      </w:r>
      <w:proofErr w:type="spellEnd"/>
      <w:r w:rsidRPr="00B07389">
        <w:rPr>
          <w:rFonts w:ascii="Times New Roman" w:hAnsi="Times New Roman" w:cs="Times New Roman"/>
          <w:i/>
        </w:rPr>
        <w:t>, and Bulbs</w:t>
      </w:r>
      <w:r>
        <w:rPr>
          <w:rFonts w:ascii="Times New Roman" w:hAnsi="Times New Roman" w:cs="Times New Roman"/>
        </w:rPr>
        <w:t xml:space="preserve"> it said that some individuals interpretations are that the air tires “are prone to slip on muddy roads[,] the appearance of the tires destroys the symmetry and graceful appearance of [the] cycle”,</w:t>
      </w:r>
      <w:r>
        <w:rPr>
          <w:rStyle w:val="FootnoteReference"/>
          <w:rFonts w:ascii="Times New Roman" w:hAnsi="Times New Roman" w:cs="Times New Roman"/>
        </w:rPr>
        <w:footnoteReference w:id="2"/>
      </w:r>
      <w:r>
        <w:rPr>
          <w:rFonts w:ascii="Times New Roman" w:hAnsi="Times New Roman" w:cs="Times New Roman"/>
        </w:rPr>
        <w:t xml:space="preserve"> which concludes a few reasons on why the air tires were not respected by some users. On the other hand, some users believed that the air tires on the bicycle were faster and a greater convenience for the way of transportation. Another aspect of interpretative flexibility regarding the bicycle was how happy some users were that when the tire becomes punctured it was “easy for the cyclist to detach and refit the tire”.</w:t>
      </w:r>
      <w:r>
        <w:rPr>
          <w:rStyle w:val="FootnoteReference"/>
          <w:rFonts w:ascii="Times New Roman" w:hAnsi="Times New Roman" w:cs="Times New Roman"/>
        </w:rPr>
        <w:footnoteReference w:id="3"/>
      </w:r>
      <w:r>
        <w:rPr>
          <w:rFonts w:ascii="Times New Roman" w:hAnsi="Times New Roman" w:cs="Times New Roman"/>
        </w:rPr>
        <w:t xml:space="preserve"> In conclusion, interpretative flexibility is all about how different individuals interoperate the use of the artefact whether if they are similar or different from </w:t>
      </w:r>
      <w:proofErr w:type="spellStart"/>
      <w:r>
        <w:rPr>
          <w:rFonts w:ascii="Times New Roman" w:hAnsi="Times New Roman" w:cs="Times New Roman"/>
        </w:rPr>
        <w:t>eachother</w:t>
      </w:r>
      <w:proofErr w:type="spellEnd"/>
      <w:r>
        <w:rPr>
          <w:rFonts w:ascii="Times New Roman" w:hAnsi="Times New Roman" w:cs="Times New Roman"/>
        </w:rPr>
        <w:t>.</w:t>
      </w:r>
    </w:p>
    <w:p w14:paraId="6D0A9AA7" w14:textId="12FA3C0C" w:rsidR="00B07389" w:rsidRDefault="00B07389" w:rsidP="00B07389">
      <w:pPr>
        <w:spacing w:line="480" w:lineRule="auto"/>
        <w:rPr>
          <w:rFonts w:ascii="Times New Roman" w:hAnsi="Times New Roman" w:cs="Times New Roman"/>
        </w:rPr>
      </w:pPr>
      <w:r>
        <w:rPr>
          <w:rFonts w:ascii="Times New Roman" w:hAnsi="Times New Roman" w:cs="Times New Roman"/>
        </w:rPr>
        <w:tab/>
        <w:t xml:space="preserve">Relevant social groups go hand in hand with interpretative flexibility which is why we can see an overlap of such with certain users having an opinion on the technological artefact. The </w:t>
      </w:r>
      <w:r>
        <w:rPr>
          <w:rFonts w:ascii="Times New Roman" w:hAnsi="Times New Roman" w:cs="Times New Roman"/>
        </w:rPr>
        <w:lastRenderedPageBreak/>
        <w:t>difference between the two is that relevant social groups are groups that are interested in a new technological innovation. This could be anywhere from the inventors, the users of the product, the government or even owners of stores that are selling the product. Relevant social groups want to entail an abundance of groups such as people who have a different way of life whether that is poor or rich. To add on, these groups are all about stating what the product truly does for them. Regarding many new technologies, they could represent more than just a new artefact or object. It could represent empowerment just like how Susan Anthony deemed the bicycle as an everchanging technology artefact that helped women greatly. Anthony stated that “the bicycle had done more for the emancipation of women than anything else in the world. It gives a woman a feeling of freedom and self-reliance”.</w:t>
      </w:r>
      <w:r>
        <w:rPr>
          <w:rStyle w:val="FootnoteReference"/>
          <w:rFonts w:ascii="Times New Roman" w:hAnsi="Times New Roman" w:cs="Times New Roman"/>
        </w:rPr>
        <w:footnoteReference w:id="4"/>
      </w:r>
      <w:r>
        <w:rPr>
          <w:rFonts w:ascii="Times New Roman" w:hAnsi="Times New Roman" w:cs="Times New Roman"/>
        </w:rPr>
        <w:t xml:space="preserve"> This shows that females may have a different interpretation to bicycles than the males do. To add on, the bicycle for the social group of “aristocratic young men"</w:t>
      </w:r>
      <w:r>
        <w:rPr>
          <w:rStyle w:val="FootnoteReference"/>
          <w:rFonts w:ascii="Times New Roman" w:hAnsi="Times New Roman" w:cs="Times New Roman"/>
        </w:rPr>
        <w:footnoteReference w:id="5"/>
      </w:r>
      <w:r>
        <w:rPr>
          <w:rFonts w:ascii="Times New Roman" w:hAnsi="Times New Roman" w:cs="Times New Roman"/>
        </w:rPr>
        <w:t xml:space="preserve">  meant that they could “show off for their lady friends,</w:t>
      </w:r>
      <w:r>
        <w:rPr>
          <w:rStyle w:val="FootnoteReference"/>
          <w:rFonts w:ascii="Times New Roman" w:hAnsi="Times New Roman" w:cs="Times New Roman"/>
        </w:rPr>
        <w:footnoteReference w:id="6"/>
      </w:r>
      <w:r>
        <w:rPr>
          <w:rFonts w:ascii="Times New Roman" w:hAnsi="Times New Roman" w:cs="Times New Roman"/>
        </w:rPr>
        <w:t xml:space="preserve"> which could be the reasoning behind why they wanted the innovation to succeed further. In conclusion, relevant social groups have different opinions, values and beliefs on technological artefacts, but it is a way for the producers to analyze on how to improve as well. </w:t>
      </w:r>
    </w:p>
    <w:p w14:paraId="6B897CF0" w14:textId="4CC99B41" w:rsidR="00B07389" w:rsidRDefault="00B07389" w:rsidP="00B07389">
      <w:pPr>
        <w:spacing w:line="480" w:lineRule="auto"/>
        <w:rPr>
          <w:rFonts w:ascii="Times New Roman" w:hAnsi="Times New Roman" w:cs="Times New Roman"/>
        </w:rPr>
      </w:pPr>
      <w:r>
        <w:rPr>
          <w:rFonts w:ascii="Times New Roman" w:hAnsi="Times New Roman" w:cs="Times New Roman"/>
        </w:rPr>
        <w:tab/>
        <w:t>Closure is the third step to the SCOT method, and it has two components to it. The definition of closure is when the social groups can come to a conclusion of what the object truly entails, and all the other opinions can gradually equate to one solid idea. In other words, Larose states that closure is the “progress when the interpretative flexibility of an artefact is diminishing [and] it can lead to convergence on a single dominant meaning”.</w:t>
      </w:r>
      <w:r>
        <w:rPr>
          <w:rStyle w:val="FootnoteReference"/>
          <w:rFonts w:ascii="Times New Roman" w:hAnsi="Times New Roman" w:cs="Times New Roman"/>
        </w:rPr>
        <w:footnoteReference w:id="7"/>
      </w:r>
      <w:r>
        <w:rPr>
          <w:rFonts w:ascii="Times New Roman" w:hAnsi="Times New Roman" w:cs="Times New Roman"/>
        </w:rPr>
        <w:t xml:space="preserve"> The two sub branches of </w:t>
      </w:r>
      <w:r>
        <w:rPr>
          <w:rFonts w:ascii="Times New Roman" w:hAnsi="Times New Roman" w:cs="Times New Roman"/>
        </w:rPr>
        <w:lastRenderedPageBreak/>
        <w:t>closure is rhetorical closure and redefinition of the problem. Rhetorical closure is when the issues that arise from social groups get solved and there is no need for new designs to take place. The main component that pushes rhetorical closure is advertising.</w:t>
      </w:r>
      <w:r>
        <w:rPr>
          <w:rStyle w:val="FootnoteReference"/>
          <w:rFonts w:ascii="Times New Roman" w:hAnsi="Times New Roman" w:cs="Times New Roman"/>
        </w:rPr>
        <w:footnoteReference w:id="8"/>
      </w:r>
      <w:r>
        <w:rPr>
          <w:rFonts w:ascii="Times New Roman" w:hAnsi="Times New Roman" w:cs="Times New Roman"/>
        </w:rPr>
        <w:t xml:space="preserve"> Adverts have the power to change the minds of the individuals who are complaining. If it is a positive advert such as an instruction manual that shows how easy to use the product is, it is more than likely to equate to rhetorical closure because it seems picture perfect. The other branch of closure is redefinition of the problem which is when a new problem arises while stating the improvement of the technology will serve as the solution. It is like when you create a little white lie to cover something, but it gradually gets bigger because you are deeper in the issue. An example of closure could be when “many histories of synthetic plastics start by describing the technically sweet characteristics of Bakelite [which] position[s] Bakelite at the starting point of the glorious development of the field”.</w:t>
      </w:r>
      <w:r>
        <w:rPr>
          <w:rStyle w:val="FootnoteReference"/>
          <w:rFonts w:ascii="Times New Roman" w:hAnsi="Times New Roman" w:cs="Times New Roman"/>
        </w:rPr>
        <w:footnoteReference w:id="9"/>
      </w:r>
      <w:r>
        <w:rPr>
          <w:rFonts w:ascii="Times New Roman" w:hAnsi="Times New Roman" w:cs="Times New Roman"/>
        </w:rPr>
        <w:t xml:space="preserve"> This could be considered rhetorical closure due to the advertisement used by other companies praising the technology of Bakelite which allows one’s social group become the more accepted one. In conclusion, closure is not permanent, problems and solutions can arise at any given time even when individuals may think it is 100% complete. </w:t>
      </w:r>
    </w:p>
    <w:p w14:paraId="03C1F268" w14:textId="622CB393" w:rsidR="00B07389" w:rsidRDefault="00B07389" w:rsidP="00B07389">
      <w:pPr>
        <w:spacing w:line="480" w:lineRule="auto"/>
        <w:rPr>
          <w:rFonts w:ascii="Times New Roman" w:hAnsi="Times New Roman" w:cs="Times New Roman"/>
        </w:rPr>
      </w:pPr>
      <w:r>
        <w:rPr>
          <w:rFonts w:ascii="Times New Roman" w:hAnsi="Times New Roman" w:cs="Times New Roman"/>
        </w:rPr>
        <w:tab/>
        <w:t xml:space="preserve">Stabilization is when the technology is finally accepted within each of the social groups. This is when all the relevant social groups can fully agree upon the final product of the technology due to the problems that each group had becomes non-existent. An example could be the evolution of the product of plastic. From </w:t>
      </w:r>
      <w:proofErr w:type="spellStart"/>
      <w:r>
        <w:rPr>
          <w:rFonts w:ascii="Times New Roman" w:hAnsi="Times New Roman" w:cs="Times New Roman"/>
        </w:rPr>
        <w:t>Bijker’s</w:t>
      </w:r>
      <w:proofErr w:type="spellEnd"/>
      <w:r>
        <w:rPr>
          <w:rFonts w:ascii="Times New Roman" w:hAnsi="Times New Roman" w:cs="Times New Roman"/>
        </w:rPr>
        <w:t xml:space="preserve"> </w:t>
      </w:r>
      <w:r w:rsidRPr="00B07389">
        <w:rPr>
          <w:rFonts w:ascii="Times New Roman" w:hAnsi="Times New Roman" w:cs="Times New Roman"/>
          <w:i/>
        </w:rPr>
        <w:t xml:space="preserve">Of Bicycles, </w:t>
      </w:r>
      <w:proofErr w:type="spellStart"/>
      <w:r w:rsidRPr="00B07389">
        <w:rPr>
          <w:rFonts w:ascii="Times New Roman" w:hAnsi="Times New Roman" w:cs="Times New Roman"/>
          <w:i/>
        </w:rPr>
        <w:t>Bakelites</w:t>
      </w:r>
      <w:proofErr w:type="spellEnd"/>
      <w:r w:rsidRPr="00B07389">
        <w:rPr>
          <w:rFonts w:ascii="Times New Roman" w:hAnsi="Times New Roman" w:cs="Times New Roman"/>
          <w:i/>
        </w:rPr>
        <w:t>, and Bulb</w:t>
      </w:r>
      <w:r>
        <w:rPr>
          <w:rFonts w:ascii="Times New Roman" w:hAnsi="Times New Roman" w:cs="Times New Roman"/>
        </w:rPr>
        <w:t xml:space="preserve">, we could see the true ascend of the plastic world. Starting from the synthetic plastic, then celluloid, </w:t>
      </w:r>
      <w:r>
        <w:rPr>
          <w:rFonts w:ascii="Times New Roman" w:hAnsi="Times New Roman" w:cs="Times New Roman"/>
        </w:rPr>
        <w:lastRenderedPageBreak/>
        <w:t xml:space="preserve">followed by </w:t>
      </w:r>
      <w:proofErr w:type="spellStart"/>
      <w:r>
        <w:rPr>
          <w:rFonts w:ascii="Times New Roman" w:hAnsi="Times New Roman" w:cs="Times New Roman"/>
        </w:rPr>
        <w:t>Galaith</w:t>
      </w:r>
      <w:proofErr w:type="spellEnd"/>
      <w:r>
        <w:rPr>
          <w:rFonts w:ascii="Times New Roman" w:hAnsi="Times New Roman" w:cs="Times New Roman"/>
        </w:rPr>
        <w:t xml:space="preserve"> and then finally Leo Baekeland designed the full synthetic plastic called the Bakelite. After many attempts from different designs and inventors, Bakelite was the beginning of the stabilization of plastic among many. In conclusion, stabilization is not always the easiest to come by as it takes many designs and lots of praise in the end.</w:t>
      </w:r>
    </w:p>
    <w:p w14:paraId="493323FE" w14:textId="77777777" w:rsidR="00B07389" w:rsidRDefault="00B07389" w:rsidP="00B07389">
      <w:pPr>
        <w:spacing w:line="480" w:lineRule="auto"/>
        <w:rPr>
          <w:rFonts w:ascii="Times New Roman" w:hAnsi="Times New Roman" w:cs="Times New Roman"/>
        </w:rPr>
      </w:pPr>
    </w:p>
    <w:p w14:paraId="51A7ED60" w14:textId="719AA509" w:rsidR="00B07389" w:rsidRDefault="00B07389" w:rsidP="00B07389">
      <w:pPr>
        <w:spacing w:line="480" w:lineRule="auto"/>
        <w:rPr>
          <w:rFonts w:ascii="Times New Roman" w:hAnsi="Times New Roman" w:cs="Times New Roman"/>
        </w:rPr>
      </w:pPr>
      <w:r>
        <w:rPr>
          <w:rFonts w:ascii="Times New Roman" w:hAnsi="Times New Roman" w:cs="Times New Roman"/>
        </w:rPr>
        <w:t>Question 2) For the concepts that were discussed in question one, I will be analyzing the artefact of the bicycle. Interpretative flexibility regarding the bicycle would be when one relevant social group were complaining “that the tires were easily punctured”,</w:t>
      </w:r>
      <w:r>
        <w:rPr>
          <w:rStyle w:val="FootnoteReference"/>
          <w:rFonts w:ascii="Times New Roman" w:hAnsi="Times New Roman" w:cs="Times New Roman"/>
        </w:rPr>
        <w:footnoteReference w:id="10"/>
      </w:r>
      <w:r>
        <w:rPr>
          <w:rFonts w:ascii="Times New Roman" w:hAnsi="Times New Roman" w:cs="Times New Roman"/>
        </w:rPr>
        <w:t xml:space="preserve"> which was a huge complaint when the air tires were introduced to the bicycle. However, while some social groups were complaining others were praising on how much quicker the mode of transportation was due to the air tires. Moving forward, relevant social groups and the bicycle are very apparent which was already stated in my question 1. Susan Anthony declared how the bicycle gave empowerment and freedom to the social groups of females. The bicycle was able to create a strong force of personality, confidence and attitude for the women. It allowed women to put their foot down and wear what they would like while riding the bicycle. This started in 1898, when a female was riding her bicycle “dressed in knickerbockers”,</w:t>
      </w:r>
      <w:r>
        <w:rPr>
          <w:rStyle w:val="FootnoteReference"/>
          <w:rFonts w:ascii="Times New Roman" w:hAnsi="Times New Roman" w:cs="Times New Roman"/>
        </w:rPr>
        <w:footnoteReference w:id="11"/>
      </w:r>
      <w:r>
        <w:rPr>
          <w:rFonts w:ascii="Times New Roman" w:hAnsi="Times New Roman" w:cs="Times New Roman"/>
        </w:rPr>
        <w:t xml:space="preserve"> but she showed no shame as she approached public places. To add on, “the relevant social group of elderly men [listed] the Ordinary as a hazardous bicycle [due] mounting the machine and in coasting downhill”.</w:t>
      </w:r>
      <w:r>
        <w:rPr>
          <w:rStyle w:val="FootnoteReference"/>
          <w:rFonts w:ascii="Times New Roman" w:hAnsi="Times New Roman" w:cs="Times New Roman"/>
        </w:rPr>
        <w:footnoteReference w:id="12"/>
      </w:r>
      <w:r>
        <w:rPr>
          <w:rFonts w:ascii="Times New Roman" w:hAnsi="Times New Roman" w:cs="Times New Roman"/>
        </w:rPr>
        <w:t xml:space="preserve"> This shows that there are plenty of relevant social groups that have different opinions on the artefact of the bicycle. Moving onto closure, one sub branch was the redefinition of the problem. This can be easily </w:t>
      </w:r>
      <w:r>
        <w:rPr>
          <w:rFonts w:ascii="Times New Roman" w:hAnsi="Times New Roman" w:cs="Times New Roman"/>
        </w:rPr>
        <w:lastRenderedPageBreak/>
        <w:t>identified with the air tire on the bicycle. The main reasoning behind the air tire was to put a halt towards the vibrating that was created from the chain. Unfortunately, the air tire created traction problems declared by engineers, unpleasantly looking from the public but luckily it turned into a positive for racers due to the increase of speed.</w:t>
      </w:r>
      <w:r>
        <w:rPr>
          <w:rStyle w:val="FootnoteReference"/>
          <w:rFonts w:ascii="Times New Roman" w:hAnsi="Times New Roman" w:cs="Times New Roman"/>
        </w:rPr>
        <w:footnoteReference w:id="13"/>
      </w:r>
      <w:r>
        <w:rPr>
          <w:rFonts w:ascii="Times New Roman" w:hAnsi="Times New Roman" w:cs="Times New Roman"/>
        </w:rPr>
        <w:t xml:space="preserve"> So something that created a new problem ended up also being a solution for a relevant social group. Stabilization can be seen from figure 1.3 in </w:t>
      </w:r>
      <w:proofErr w:type="spellStart"/>
      <w:r>
        <w:rPr>
          <w:rFonts w:ascii="Times New Roman" w:hAnsi="Times New Roman" w:cs="Times New Roman"/>
        </w:rPr>
        <w:t>Bijker’s</w:t>
      </w:r>
      <w:proofErr w:type="spellEnd"/>
      <w:r>
        <w:rPr>
          <w:rFonts w:ascii="Times New Roman" w:hAnsi="Times New Roman" w:cs="Times New Roman"/>
        </w:rPr>
        <w:t xml:space="preserve"> </w:t>
      </w:r>
      <w:r w:rsidRPr="00B07389">
        <w:rPr>
          <w:rFonts w:ascii="Times New Roman" w:hAnsi="Times New Roman" w:cs="Times New Roman"/>
          <w:i/>
        </w:rPr>
        <w:t xml:space="preserve">Of Bicycles, </w:t>
      </w:r>
      <w:proofErr w:type="spellStart"/>
      <w:r w:rsidRPr="00B07389">
        <w:rPr>
          <w:rFonts w:ascii="Times New Roman" w:hAnsi="Times New Roman" w:cs="Times New Roman"/>
          <w:i/>
        </w:rPr>
        <w:t>Bakelites</w:t>
      </w:r>
      <w:proofErr w:type="spellEnd"/>
      <w:r w:rsidRPr="00B07389">
        <w:rPr>
          <w:rFonts w:ascii="Times New Roman" w:hAnsi="Times New Roman" w:cs="Times New Roman"/>
          <w:i/>
        </w:rPr>
        <w:t>, and Bulbs</w:t>
      </w:r>
      <w:r>
        <w:rPr>
          <w:rFonts w:ascii="Times New Roman" w:hAnsi="Times New Roman" w:cs="Times New Roman"/>
        </w:rPr>
        <w:t xml:space="preserve"> where we see the final design that is approved by all social groups. It started with the Boneshaker which branched off to two failures of the </w:t>
      </w:r>
      <w:proofErr w:type="spellStart"/>
      <w:r>
        <w:rPr>
          <w:rFonts w:ascii="Times New Roman" w:hAnsi="Times New Roman" w:cs="Times New Roman"/>
        </w:rPr>
        <w:t>Macmillian’s</w:t>
      </w:r>
      <w:proofErr w:type="spellEnd"/>
      <w:r>
        <w:rPr>
          <w:rFonts w:ascii="Times New Roman" w:hAnsi="Times New Roman" w:cs="Times New Roman"/>
        </w:rPr>
        <w:t xml:space="preserve"> bicycle and then the </w:t>
      </w:r>
      <w:proofErr w:type="spellStart"/>
      <w:r>
        <w:rPr>
          <w:rFonts w:ascii="Times New Roman" w:hAnsi="Times New Roman" w:cs="Times New Roman"/>
        </w:rPr>
        <w:t>Guilemt’s</w:t>
      </w:r>
      <w:proofErr w:type="spellEnd"/>
      <w:r>
        <w:rPr>
          <w:rFonts w:ascii="Times New Roman" w:hAnsi="Times New Roman" w:cs="Times New Roman"/>
        </w:rPr>
        <w:t xml:space="preserve"> bicycle.</w:t>
      </w:r>
      <w:r>
        <w:rPr>
          <w:rStyle w:val="FootnoteReference"/>
          <w:rFonts w:ascii="Times New Roman" w:hAnsi="Times New Roman" w:cs="Times New Roman"/>
        </w:rPr>
        <w:footnoteReference w:id="14"/>
      </w:r>
      <w:r>
        <w:rPr>
          <w:rFonts w:ascii="Times New Roman" w:hAnsi="Times New Roman" w:cs="Times New Roman"/>
        </w:rPr>
        <w:t xml:space="preserve"> Following Boneshaker was Penny Farthing which created four failures; the </w:t>
      </w:r>
      <w:proofErr w:type="spellStart"/>
      <w:r>
        <w:rPr>
          <w:rFonts w:ascii="Times New Roman" w:hAnsi="Times New Roman" w:cs="Times New Roman"/>
        </w:rPr>
        <w:t>Xtraodrinary</w:t>
      </w:r>
      <w:proofErr w:type="spellEnd"/>
      <w:r>
        <w:rPr>
          <w:rFonts w:ascii="Times New Roman" w:hAnsi="Times New Roman" w:cs="Times New Roman"/>
        </w:rPr>
        <w:t>, Geared Facile, Star and Club Safety.</w:t>
      </w:r>
      <w:r>
        <w:rPr>
          <w:rStyle w:val="FootnoteReference"/>
          <w:rFonts w:ascii="Times New Roman" w:hAnsi="Times New Roman" w:cs="Times New Roman"/>
        </w:rPr>
        <w:footnoteReference w:id="15"/>
      </w:r>
      <w:r>
        <w:rPr>
          <w:rFonts w:ascii="Times New Roman" w:hAnsi="Times New Roman" w:cs="Times New Roman"/>
        </w:rPr>
        <w:t xml:space="preserve"> Then, all the relevant social groups agreed that there needed to be no more designs after the final product of the Lawson’s </w:t>
      </w:r>
      <w:proofErr w:type="spellStart"/>
      <w:r>
        <w:rPr>
          <w:rFonts w:ascii="Times New Roman" w:hAnsi="Times New Roman" w:cs="Times New Roman"/>
        </w:rPr>
        <w:t>Bicyclette</w:t>
      </w:r>
      <w:proofErr w:type="spellEnd"/>
      <w:r>
        <w:rPr>
          <w:rFonts w:ascii="Times New Roman" w:hAnsi="Times New Roman" w:cs="Times New Roman"/>
        </w:rPr>
        <w:t>,</w:t>
      </w:r>
      <w:r>
        <w:rPr>
          <w:rStyle w:val="FootnoteReference"/>
          <w:rFonts w:ascii="Times New Roman" w:hAnsi="Times New Roman" w:cs="Times New Roman"/>
        </w:rPr>
        <w:footnoteReference w:id="16"/>
      </w:r>
      <w:r>
        <w:rPr>
          <w:rFonts w:ascii="Times New Roman" w:hAnsi="Times New Roman" w:cs="Times New Roman"/>
        </w:rPr>
        <w:t xml:space="preserve"> which was accepted due to the fact that all their problems were solved. In conclusion, it is clear that the SCOT method does work in technologies especially the bicycle.</w:t>
      </w:r>
    </w:p>
    <w:p w14:paraId="783CBA72" w14:textId="77777777" w:rsidR="00B07389" w:rsidRDefault="00B07389" w:rsidP="00B07389">
      <w:pPr>
        <w:spacing w:line="480" w:lineRule="auto"/>
        <w:rPr>
          <w:rFonts w:ascii="Times New Roman" w:hAnsi="Times New Roman" w:cs="Times New Roman"/>
        </w:rPr>
      </w:pPr>
    </w:p>
    <w:p w14:paraId="624F2D07" w14:textId="4FA7ED05" w:rsidR="00B07389" w:rsidRDefault="00B07389" w:rsidP="00B07389">
      <w:pPr>
        <w:spacing w:line="480" w:lineRule="auto"/>
        <w:rPr>
          <w:rFonts w:ascii="Times New Roman" w:hAnsi="Times New Roman" w:cs="Times New Roman"/>
        </w:rPr>
      </w:pPr>
      <w:r>
        <w:rPr>
          <w:rFonts w:ascii="Times New Roman" w:hAnsi="Times New Roman" w:cs="Times New Roman"/>
        </w:rPr>
        <w:t xml:space="preserve">Question 3) The SCOT approach can be used to explore the technology of lipstick in many ways. Starting off with interpretative flexibility, lipstick has plenty of types such as matte, glossy, and semi matte. For the part of interpretative flexibility, we are going to focus on a glossy lipstick. Producers of glossy lipstick might say that it is supposed to create an extra dimension to the lipstick look. However, some users might say that the glossy lipstick leaves their lips feeling tacky or it is not long wearing. Whereas, some others would say it adds a little bit more character </w:t>
      </w:r>
      <w:r>
        <w:rPr>
          <w:rFonts w:ascii="Times New Roman" w:hAnsi="Times New Roman" w:cs="Times New Roman"/>
        </w:rPr>
        <w:lastRenderedPageBreak/>
        <w:t xml:space="preserve">to your whole look. Relevant social groups such as the Drag community can state how lipstick gives them a sense of empowerment, identity and escape from the real world for a couple of hours. Lipstick is a huge factor for the Drag community as it is used to over draw their lips to give them a more feminine look. To add on, females could declare that lipstick gives them a push of confidence because it makes them feel beautiful. I believe that what was stated above are big strengths because you are developing a sense of identity for your users, but you are also learning what your users do and do not like. Some people will not like certain lipstick textures or tones and that is when it is perfect to see that through interpretative flexibility. You can see your market react and that is when you can decide if you would like to make changes or not. Relevant social groups </w:t>
      </w:r>
      <w:proofErr w:type="gramStart"/>
      <w:r>
        <w:rPr>
          <w:rFonts w:ascii="Times New Roman" w:hAnsi="Times New Roman" w:cs="Times New Roman"/>
        </w:rPr>
        <w:t>is</w:t>
      </w:r>
      <w:proofErr w:type="gramEnd"/>
      <w:r>
        <w:rPr>
          <w:rFonts w:ascii="Times New Roman" w:hAnsi="Times New Roman" w:cs="Times New Roman"/>
        </w:rPr>
        <w:t xml:space="preserve"> a also a strength because you can gather who you are trying to please but also see the advancement the technology has said when the groups get larger and larger. Moving onto the SCOT approach that I believe have limitations. Rhetorical closure is a big thing in the lipstick community, especially on social media platforms. If a brand comes out with a new lipstick, usually it is endorsed by many celebrities through advertising. Potential buyers see these advertisements of their favourite people using it and suddenly those issues they had prior to the adverts have diminished. Not only that, if a brand just repackages or changes a few names to a product that can also be a way for social groups to forget about a new design and just go with what the company is saying. I see this as a limitation because this can be a way to trick or coerce your audience using public figures. This can create a false relationship between the brand and the user but also ruin the trust between the user and their idols. Some individuals are blinded by the celebrities used as endorsements so creating the picture-perfect product when it is really not can create a lot of friction and drama. Furthermore, I think stabilization is nearly impossible to have with lipstick since it is ever so changing rapidly. There will not be a time where all social groups </w:t>
      </w:r>
      <w:r>
        <w:rPr>
          <w:rFonts w:ascii="Times New Roman" w:hAnsi="Times New Roman" w:cs="Times New Roman"/>
        </w:rPr>
        <w:lastRenderedPageBreak/>
        <w:t>are happy with such a hard technology to master. I say stabilization is a limitation because there are groups that are against animal testing but there are lipstick/make up brands that still test on animals which has been going on for years. Yes, the animal testing might stop and satisfy one group but then it is not organic which will not be accepted by another relevant social group. All in all, there are too many relevant groups to please within the roam of lipstick which is why I believe that is a limitation. In conclusion, the SCOT approach can definitely be beneficial to lipstick but could also curate havoc trying to please everyone or misleading their audience.</w:t>
      </w:r>
    </w:p>
    <w:p w14:paraId="3F4B87DD" w14:textId="77777777" w:rsidR="00B07389" w:rsidRDefault="00B07389" w:rsidP="00B07389">
      <w:pPr>
        <w:spacing w:line="480" w:lineRule="auto"/>
        <w:rPr>
          <w:rFonts w:ascii="Times New Roman" w:hAnsi="Times New Roman" w:cs="Times New Roman"/>
        </w:rPr>
      </w:pPr>
    </w:p>
    <w:p w14:paraId="58DC345F" w14:textId="64E7D5EE" w:rsidR="00B07389" w:rsidRPr="00B07389" w:rsidRDefault="00B07389" w:rsidP="00B07389">
      <w:pPr>
        <w:spacing w:line="480" w:lineRule="auto"/>
        <w:rPr>
          <w:rFonts w:ascii="Times New Roman" w:hAnsi="Times New Roman" w:cs="Times New Roman"/>
        </w:rPr>
      </w:pPr>
      <w:r>
        <w:rPr>
          <w:rFonts w:ascii="Times New Roman" w:hAnsi="Times New Roman" w:cs="Times New Roman"/>
        </w:rPr>
        <w:t xml:space="preserve">4) It only takes one technological determinist for changing the lightbulb. </w:t>
      </w:r>
    </w:p>
    <w:sectPr w:rsidR="00B07389" w:rsidRPr="00B07389" w:rsidSect="00D77F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31B41" w14:textId="77777777" w:rsidR="006E5F1F" w:rsidRDefault="006E5F1F" w:rsidP="00B07389">
      <w:r>
        <w:separator/>
      </w:r>
    </w:p>
  </w:endnote>
  <w:endnote w:type="continuationSeparator" w:id="0">
    <w:p w14:paraId="5E281850" w14:textId="77777777" w:rsidR="006E5F1F" w:rsidRDefault="006E5F1F" w:rsidP="00B0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DA76D" w14:textId="77777777" w:rsidR="006E5F1F" w:rsidRDefault="006E5F1F" w:rsidP="00B07389">
      <w:r>
        <w:separator/>
      </w:r>
    </w:p>
  </w:footnote>
  <w:footnote w:type="continuationSeparator" w:id="0">
    <w:p w14:paraId="39B93812" w14:textId="77777777" w:rsidR="006E5F1F" w:rsidRDefault="006E5F1F" w:rsidP="00B07389">
      <w:r>
        <w:continuationSeparator/>
      </w:r>
    </w:p>
  </w:footnote>
  <w:footnote w:id="1">
    <w:p w14:paraId="78A85746" w14:textId="5630979E" w:rsidR="00B07389" w:rsidRPr="00B07389" w:rsidRDefault="00B07389">
      <w:pPr>
        <w:pStyle w:val="FootnoteText"/>
        <w:rPr>
          <w:rFonts w:ascii="Times New Roman" w:hAnsi="Times New Roman" w:cs="Times New Roman"/>
          <w:sz w:val="24"/>
          <w:szCs w:val="24"/>
        </w:rPr>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w:t>
      </w:r>
      <w:proofErr w:type="spellStart"/>
      <w:r w:rsidRPr="00B07389">
        <w:rPr>
          <w:rFonts w:ascii="Times New Roman" w:hAnsi="Times New Roman" w:cs="Times New Roman"/>
          <w:sz w:val="24"/>
          <w:szCs w:val="24"/>
        </w:rPr>
        <w:t>Stéphan</w:t>
      </w:r>
      <w:proofErr w:type="spellEnd"/>
      <w:r w:rsidRPr="00B07389">
        <w:rPr>
          <w:rFonts w:ascii="Times New Roman" w:hAnsi="Times New Roman" w:cs="Times New Roman"/>
          <w:sz w:val="24"/>
          <w:szCs w:val="24"/>
        </w:rPr>
        <w:t xml:space="preserve"> Larose, </w:t>
      </w:r>
      <w:r w:rsidRPr="00B07389">
        <w:rPr>
          <w:rFonts w:ascii="Times New Roman" w:hAnsi="Times New Roman" w:cs="Times New Roman"/>
          <w:i/>
          <w:sz w:val="24"/>
          <w:szCs w:val="24"/>
        </w:rPr>
        <w:t>Relevant Social Groups, Interpretative Flexibility and Closure</w:t>
      </w:r>
      <w:r w:rsidRPr="00B07389">
        <w:rPr>
          <w:rFonts w:ascii="Times New Roman" w:hAnsi="Times New Roman" w:cs="Times New Roman"/>
          <w:sz w:val="24"/>
          <w:szCs w:val="24"/>
        </w:rPr>
        <w:t>, (2019).</w:t>
      </w:r>
    </w:p>
  </w:footnote>
  <w:footnote w:id="2">
    <w:p w14:paraId="16D898B5" w14:textId="762566C2" w:rsidR="00B07389" w:rsidRDefault="00B07389">
      <w:pPr>
        <w:pStyle w:val="FootnoteText"/>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Wiebe E. </w:t>
      </w:r>
      <w:proofErr w:type="spellStart"/>
      <w:r w:rsidRPr="00B07389">
        <w:rPr>
          <w:rFonts w:ascii="Times New Roman" w:hAnsi="Times New Roman" w:cs="Times New Roman"/>
          <w:sz w:val="24"/>
          <w:szCs w:val="24"/>
        </w:rPr>
        <w:t>Bijker</w:t>
      </w:r>
      <w:proofErr w:type="spellEnd"/>
      <w:r w:rsidRPr="00B07389">
        <w:rPr>
          <w:rFonts w:ascii="Times New Roman" w:hAnsi="Times New Roman" w:cs="Times New Roman"/>
          <w:i/>
          <w:sz w:val="24"/>
          <w:szCs w:val="24"/>
        </w:rPr>
        <w:t xml:space="preserve">, Of Bicycles, </w:t>
      </w:r>
      <w:proofErr w:type="spellStart"/>
      <w:r w:rsidRPr="00B07389">
        <w:rPr>
          <w:rFonts w:ascii="Times New Roman" w:hAnsi="Times New Roman" w:cs="Times New Roman"/>
          <w:i/>
          <w:sz w:val="24"/>
          <w:szCs w:val="24"/>
        </w:rPr>
        <w:t>Bakelites</w:t>
      </w:r>
      <w:proofErr w:type="spellEnd"/>
      <w:r w:rsidRPr="00B07389">
        <w:rPr>
          <w:rFonts w:ascii="Times New Roman" w:hAnsi="Times New Roman" w:cs="Times New Roman"/>
          <w:i/>
          <w:sz w:val="24"/>
          <w:szCs w:val="24"/>
        </w:rPr>
        <w:t xml:space="preserve">, and Bulbs </w:t>
      </w:r>
      <w:r w:rsidRPr="00B07389">
        <w:rPr>
          <w:rFonts w:ascii="Times New Roman" w:hAnsi="Times New Roman" w:cs="Times New Roman"/>
          <w:sz w:val="24"/>
          <w:szCs w:val="24"/>
        </w:rPr>
        <w:t>(1995), 81.</w:t>
      </w:r>
    </w:p>
  </w:footnote>
  <w:footnote w:id="3">
    <w:p w14:paraId="6E941B33" w14:textId="54A70E96" w:rsidR="00B07389" w:rsidRDefault="00B07389">
      <w:pPr>
        <w:pStyle w:val="FootnoteText"/>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Ibid, 82.</w:t>
      </w:r>
    </w:p>
  </w:footnote>
  <w:footnote w:id="4">
    <w:p w14:paraId="4B06DF3D" w14:textId="1B93A379" w:rsidR="00B07389" w:rsidRPr="00B07389" w:rsidRDefault="00B07389">
      <w:pPr>
        <w:pStyle w:val="FootnoteText"/>
        <w:rPr>
          <w:rFonts w:ascii="Times New Roman" w:hAnsi="Times New Roman" w:cs="Times New Roman"/>
          <w:sz w:val="24"/>
          <w:szCs w:val="24"/>
        </w:rPr>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Larose, </w:t>
      </w:r>
      <w:r w:rsidRPr="00B07389">
        <w:rPr>
          <w:rFonts w:ascii="Times New Roman" w:hAnsi="Times New Roman" w:cs="Times New Roman"/>
          <w:i/>
          <w:sz w:val="24"/>
          <w:szCs w:val="24"/>
        </w:rPr>
        <w:t>Relevant Social Groups</w:t>
      </w:r>
      <w:r w:rsidRPr="00B07389">
        <w:rPr>
          <w:rFonts w:ascii="Times New Roman" w:hAnsi="Times New Roman" w:cs="Times New Roman"/>
          <w:sz w:val="24"/>
          <w:szCs w:val="24"/>
        </w:rPr>
        <w:t>.</w:t>
      </w:r>
    </w:p>
  </w:footnote>
  <w:footnote w:id="5">
    <w:p w14:paraId="766D5DC4" w14:textId="5CB31539" w:rsidR="00B07389" w:rsidRPr="00B07389" w:rsidRDefault="00B07389">
      <w:pPr>
        <w:pStyle w:val="FootnoteText"/>
        <w:rPr>
          <w:rFonts w:ascii="Times New Roman" w:hAnsi="Times New Roman" w:cs="Times New Roman"/>
          <w:sz w:val="24"/>
          <w:szCs w:val="24"/>
        </w:rPr>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w:t>
      </w:r>
      <w:proofErr w:type="spellStart"/>
      <w:r w:rsidRPr="00B07389">
        <w:rPr>
          <w:rFonts w:ascii="Times New Roman" w:hAnsi="Times New Roman" w:cs="Times New Roman"/>
          <w:sz w:val="24"/>
          <w:szCs w:val="24"/>
        </w:rPr>
        <w:t>Bijker</w:t>
      </w:r>
      <w:proofErr w:type="spellEnd"/>
      <w:r w:rsidRPr="00B07389">
        <w:rPr>
          <w:rFonts w:ascii="Times New Roman" w:hAnsi="Times New Roman" w:cs="Times New Roman"/>
          <w:sz w:val="24"/>
          <w:szCs w:val="24"/>
        </w:rPr>
        <w:t xml:space="preserve">, </w:t>
      </w:r>
      <w:r w:rsidRPr="00B07389">
        <w:rPr>
          <w:rFonts w:ascii="Times New Roman" w:hAnsi="Times New Roman" w:cs="Times New Roman"/>
          <w:i/>
          <w:sz w:val="24"/>
          <w:szCs w:val="24"/>
        </w:rPr>
        <w:t>Of Bicycles</w:t>
      </w:r>
      <w:r w:rsidRPr="00B07389">
        <w:rPr>
          <w:rFonts w:ascii="Times New Roman" w:hAnsi="Times New Roman" w:cs="Times New Roman"/>
          <w:sz w:val="24"/>
          <w:szCs w:val="24"/>
        </w:rPr>
        <w:t>. 19.</w:t>
      </w:r>
    </w:p>
  </w:footnote>
  <w:footnote w:id="6">
    <w:p w14:paraId="0C4F3316" w14:textId="3FF2AC9B" w:rsidR="00B07389" w:rsidRDefault="00B07389">
      <w:pPr>
        <w:pStyle w:val="FootnoteText"/>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Ibid.</w:t>
      </w:r>
    </w:p>
  </w:footnote>
  <w:footnote w:id="7">
    <w:p w14:paraId="446B2B70" w14:textId="7BC18D93" w:rsidR="00B07389" w:rsidRDefault="00B07389">
      <w:pPr>
        <w:pStyle w:val="FootnoteText"/>
      </w:pPr>
      <w:r>
        <w:rPr>
          <w:rStyle w:val="FootnoteReference"/>
        </w:rPr>
        <w:footnoteRef/>
      </w:r>
      <w:r>
        <w:t xml:space="preserve"> </w:t>
      </w:r>
      <w:r w:rsidRPr="00B07389">
        <w:rPr>
          <w:rFonts w:ascii="Times New Roman" w:hAnsi="Times New Roman" w:cs="Times New Roman"/>
          <w:sz w:val="24"/>
          <w:szCs w:val="24"/>
        </w:rPr>
        <w:t xml:space="preserve">Larose, </w:t>
      </w:r>
      <w:r w:rsidRPr="00B07389">
        <w:rPr>
          <w:rFonts w:ascii="Times New Roman" w:hAnsi="Times New Roman" w:cs="Times New Roman"/>
          <w:i/>
          <w:sz w:val="24"/>
          <w:szCs w:val="24"/>
        </w:rPr>
        <w:t>Relevant Social Groups</w:t>
      </w:r>
      <w:r w:rsidRPr="00B07389">
        <w:rPr>
          <w:rFonts w:ascii="Times New Roman" w:hAnsi="Times New Roman" w:cs="Times New Roman"/>
          <w:sz w:val="24"/>
          <w:szCs w:val="24"/>
        </w:rPr>
        <w:t>.</w:t>
      </w:r>
    </w:p>
  </w:footnote>
  <w:footnote w:id="8">
    <w:p w14:paraId="6D55DF8E" w14:textId="2B57DDE1" w:rsidR="00B07389" w:rsidRPr="00B07389" w:rsidRDefault="00B07389">
      <w:pPr>
        <w:pStyle w:val="FootnoteText"/>
        <w:rPr>
          <w:rFonts w:ascii="Times New Roman" w:hAnsi="Times New Roman" w:cs="Times New Roman"/>
          <w:sz w:val="24"/>
          <w:szCs w:val="24"/>
        </w:rPr>
      </w:pPr>
      <w:r>
        <w:rPr>
          <w:rStyle w:val="FootnoteReference"/>
        </w:rPr>
        <w:footnoteRef/>
      </w:r>
      <w:r>
        <w:t xml:space="preserve"> </w:t>
      </w:r>
      <w:r>
        <w:rPr>
          <w:rFonts w:ascii="Times New Roman" w:hAnsi="Times New Roman" w:cs="Times New Roman"/>
          <w:sz w:val="24"/>
          <w:szCs w:val="24"/>
        </w:rPr>
        <w:t>Ibid.</w:t>
      </w:r>
    </w:p>
  </w:footnote>
  <w:footnote w:id="9">
    <w:p w14:paraId="50247EF9" w14:textId="73BFF73A" w:rsidR="00B07389" w:rsidRPr="00B07389" w:rsidRDefault="00B07389">
      <w:pPr>
        <w:pStyle w:val="FootnoteText"/>
      </w:pPr>
      <w:r>
        <w:rPr>
          <w:rStyle w:val="FootnoteReference"/>
        </w:rPr>
        <w:footnoteRef/>
      </w:r>
      <w:r>
        <w:t xml:space="preserve"> </w:t>
      </w:r>
      <w:r w:rsidRPr="00B07389">
        <w:rPr>
          <w:rFonts w:ascii="Times New Roman" w:hAnsi="Times New Roman" w:cs="Times New Roman"/>
          <w:sz w:val="24"/>
          <w:szCs w:val="24"/>
        </w:rPr>
        <w:t xml:space="preserve">Trevor J. Pinch and Wiebe E. </w:t>
      </w:r>
      <w:proofErr w:type="spellStart"/>
      <w:r w:rsidRPr="00B07389">
        <w:rPr>
          <w:rFonts w:ascii="Times New Roman" w:hAnsi="Times New Roman" w:cs="Times New Roman"/>
          <w:sz w:val="24"/>
          <w:szCs w:val="24"/>
        </w:rPr>
        <w:t>Bijker</w:t>
      </w:r>
      <w:proofErr w:type="spellEnd"/>
      <w:r>
        <w:rPr>
          <w:rFonts w:ascii="Times New Roman" w:hAnsi="Times New Roman" w:cs="Times New Roman"/>
          <w:sz w:val="24"/>
          <w:szCs w:val="24"/>
        </w:rPr>
        <w:t xml:space="preserve">, </w:t>
      </w:r>
      <w:r>
        <w:rPr>
          <w:rFonts w:ascii="Times New Roman" w:hAnsi="Times New Roman" w:cs="Times New Roman"/>
          <w:i/>
          <w:sz w:val="24"/>
          <w:szCs w:val="24"/>
        </w:rPr>
        <w:t>The Social Construction of Facts and Artefacts: Or How the Sociology of Science and the Sociology of Technology Might Benefit Each Other</w:t>
      </w:r>
      <w:r>
        <w:rPr>
          <w:rFonts w:ascii="Times New Roman" w:hAnsi="Times New Roman" w:cs="Times New Roman"/>
          <w:sz w:val="24"/>
          <w:szCs w:val="24"/>
        </w:rPr>
        <w:t>, (August., 1984), 406.</w:t>
      </w:r>
    </w:p>
  </w:footnote>
  <w:footnote w:id="10">
    <w:p w14:paraId="4278921B" w14:textId="1AD5608A" w:rsidR="00B07389" w:rsidRPr="00B07389" w:rsidRDefault="00B07389" w:rsidP="00B07389">
      <w:pPr>
        <w:spacing w:line="480" w:lineRule="auto"/>
        <w:rPr>
          <w:rFonts w:ascii="Times New Roman" w:hAnsi="Times New Roman" w:cs="Times New Roman"/>
        </w:rPr>
      </w:pPr>
      <w:r>
        <w:rPr>
          <w:rStyle w:val="FootnoteReference"/>
        </w:rPr>
        <w:footnoteRef/>
      </w:r>
      <w:r>
        <w:t xml:space="preserve"> </w:t>
      </w:r>
      <w:proofErr w:type="spellStart"/>
      <w:r w:rsidRPr="00B07389">
        <w:rPr>
          <w:rFonts w:ascii="Times New Roman" w:hAnsi="Times New Roman" w:cs="Times New Roman"/>
        </w:rPr>
        <w:t>Bijker</w:t>
      </w:r>
      <w:proofErr w:type="spellEnd"/>
      <w:r w:rsidRPr="00B07389">
        <w:rPr>
          <w:rFonts w:ascii="Times New Roman" w:hAnsi="Times New Roman" w:cs="Times New Roman"/>
          <w:i/>
        </w:rPr>
        <w:t xml:space="preserve">, Of Bicycles </w:t>
      </w:r>
      <w:r w:rsidRPr="00B07389">
        <w:rPr>
          <w:rFonts w:ascii="Times New Roman" w:hAnsi="Times New Roman" w:cs="Times New Roman"/>
        </w:rPr>
        <w:t>(1995), 81.</w:t>
      </w:r>
    </w:p>
  </w:footnote>
  <w:footnote w:id="11">
    <w:p w14:paraId="6DE54F70" w14:textId="5012E755" w:rsidR="00B07389" w:rsidRPr="00B07389" w:rsidRDefault="00B07389">
      <w:pPr>
        <w:pStyle w:val="FootnoteText"/>
        <w:rPr>
          <w:rFonts w:ascii="Times New Roman" w:hAnsi="Times New Roman" w:cs="Times New Roman"/>
          <w:sz w:val="24"/>
          <w:szCs w:val="24"/>
        </w:rPr>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Ibid., 1.</w:t>
      </w:r>
    </w:p>
  </w:footnote>
  <w:footnote w:id="12">
    <w:p w14:paraId="75104368" w14:textId="5C49EB51" w:rsidR="00B07389" w:rsidRDefault="00B07389">
      <w:pPr>
        <w:pStyle w:val="FootnoteText"/>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Ibid., 50.</w:t>
      </w:r>
    </w:p>
  </w:footnote>
  <w:footnote w:id="13">
    <w:p w14:paraId="76731CC7" w14:textId="0E3EA4FD" w:rsidR="00B07389" w:rsidRDefault="00B07389">
      <w:pPr>
        <w:pStyle w:val="FootnoteText"/>
      </w:pPr>
      <w:r>
        <w:rPr>
          <w:rStyle w:val="FootnoteReference"/>
        </w:rPr>
        <w:footnoteRef/>
      </w:r>
      <w:r>
        <w:t xml:space="preserve"> </w:t>
      </w:r>
      <w:r w:rsidRPr="00B07389">
        <w:rPr>
          <w:rFonts w:ascii="Times New Roman" w:hAnsi="Times New Roman" w:cs="Times New Roman"/>
          <w:sz w:val="24"/>
          <w:szCs w:val="24"/>
        </w:rPr>
        <w:t xml:space="preserve">Larose, </w:t>
      </w:r>
      <w:r w:rsidRPr="00B07389">
        <w:rPr>
          <w:rFonts w:ascii="Times New Roman" w:hAnsi="Times New Roman" w:cs="Times New Roman"/>
          <w:i/>
          <w:sz w:val="24"/>
          <w:szCs w:val="24"/>
        </w:rPr>
        <w:t>Relevant Social Groups</w:t>
      </w:r>
      <w:r w:rsidRPr="00B07389">
        <w:rPr>
          <w:rFonts w:ascii="Times New Roman" w:hAnsi="Times New Roman" w:cs="Times New Roman"/>
          <w:sz w:val="24"/>
          <w:szCs w:val="24"/>
        </w:rPr>
        <w:t>.</w:t>
      </w:r>
    </w:p>
  </w:footnote>
  <w:footnote w:id="14">
    <w:p w14:paraId="4A107735" w14:textId="6D9A3049" w:rsidR="00B07389" w:rsidRDefault="00B07389">
      <w:pPr>
        <w:pStyle w:val="FootnoteText"/>
      </w:pPr>
      <w:r>
        <w:rPr>
          <w:rStyle w:val="FootnoteReference"/>
        </w:rPr>
        <w:footnoteRef/>
      </w:r>
      <w:r>
        <w:t xml:space="preserve"> </w:t>
      </w:r>
      <w:proofErr w:type="spellStart"/>
      <w:r w:rsidRPr="00B07389">
        <w:rPr>
          <w:rFonts w:ascii="Times New Roman" w:hAnsi="Times New Roman" w:cs="Times New Roman"/>
          <w:sz w:val="24"/>
          <w:szCs w:val="24"/>
        </w:rPr>
        <w:t>Bijker</w:t>
      </w:r>
      <w:proofErr w:type="spellEnd"/>
      <w:r w:rsidRPr="00B07389">
        <w:rPr>
          <w:rFonts w:ascii="Times New Roman" w:hAnsi="Times New Roman" w:cs="Times New Roman"/>
          <w:i/>
          <w:sz w:val="24"/>
          <w:szCs w:val="24"/>
        </w:rPr>
        <w:t xml:space="preserve">, Of Bicycles </w:t>
      </w:r>
      <w:r w:rsidRPr="00B07389">
        <w:rPr>
          <w:rFonts w:ascii="Times New Roman" w:hAnsi="Times New Roman" w:cs="Times New Roman"/>
          <w:sz w:val="24"/>
          <w:szCs w:val="24"/>
        </w:rPr>
        <w:t>(1995),</w:t>
      </w:r>
      <w:r>
        <w:rPr>
          <w:rFonts w:ascii="Times New Roman" w:hAnsi="Times New Roman" w:cs="Times New Roman"/>
          <w:sz w:val="24"/>
          <w:szCs w:val="24"/>
        </w:rPr>
        <w:t xml:space="preserve"> 8.</w:t>
      </w:r>
    </w:p>
  </w:footnote>
  <w:footnote w:id="15">
    <w:p w14:paraId="0F591213" w14:textId="50C6A2A7" w:rsidR="00B07389" w:rsidRPr="00B07389" w:rsidRDefault="00B07389">
      <w:pPr>
        <w:pStyle w:val="FootnoteText"/>
        <w:rPr>
          <w:rFonts w:ascii="Times New Roman" w:hAnsi="Times New Roman" w:cs="Times New Roman"/>
          <w:sz w:val="24"/>
          <w:szCs w:val="24"/>
        </w:rPr>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Ibid.</w:t>
      </w:r>
    </w:p>
  </w:footnote>
  <w:footnote w:id="16">
    <w:p w14:paraId="3D90E870" w14:textId="1C968BBD" w:rsidR="00B07389" w:rsidRPr="00B07389" w:rsidRDefault="00B07389">
      <w:pPr>
        <w:pStyle w:val="FootnoteText"/>
        <w:rPr>
          <w:rFonts w:ascii="Times New Roman" w:hAnsi="Times New Roman" w:cs="Times New Roman"/>
          <w:sz w:val="24"/>
          <w:szCs w:val="24"/>
        </w:rPr>
      </w:pPr>
      <w:r w:rsidRPr="00B07389">
        <w:rPr>
          <w:rStyle w:val="FootnoteReference"/>
          <w:rFonts w:ascii="Times New Roman" w:hAnsi="Times New Roman" w:cs="Times New Roman"/>
          <w:sz w:val="24"/>
          <w:szCs w:val="24"/>
        </w:rPr>
        <w:footnoteRef/>
      </w:r>
      <w:r w:rsidRPr="00B07389">
        <w:rPr>
          <w:rFonts w:ascii="Times New Roman" w:hAnsi="Times New Roman" w:cs="Times New Roman"/>
          <w:sz w:val="24"/>
          <w:szCs w:val="24"/>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33AB9"/>
    <w:multiLevelType w:val="hybridMultilevel"/>
    <w:tmpl w:val="14BA84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C1D2C"/>
    <w:multiLevelType w:val="hybridMultilevel"/>
    <w:tmpl w:val="E40ADE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B5C3C"/>
    <w:multiLevelType w:val="hybridMultilevel"/>
    <w:tmpl w:val="084249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2848C5"/>
    <w:multiLevelType w:val="hybridMultilevel"/>
    <w:tmpl w:val="FC0E43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89"/>
    <w:rsid w:val="00553FE2"/>
    <w:rsid w:val="005F7479"/>
    <w:rsid w:val="006E5F1F"/>
    <w:rsid w:val="00B07389"/>
    <w:rsid w:val="00D77F19"/>
    <w:rsid w:val="00E306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6E6109C"/>
  <w15:chartTrackingRefBased/>
  <w15:docId w15:val="{86744164-03DE-564D-B3AC-2E47FCF9A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389"/>
    <w:pPr>
      <w:ind w:left="720"/>
      <w:contextualSpacing/>
    </w:pPr>
  </w:style>
  <w:style w:type="paragraph" w:styleId="EndnoteText">
    <w:name w:val="endnote text"/>
    <w:basedOn w:val="Normal"/>
    <w:link w:val="EndnoteTextChar"/>
    <w:uiPriority w:val="99"/>
    <w:semiHidden/>
    <w:unhideWhenUsed/>
    <w:rsid w:val="00B07389"/>
    <w:rPr>
      <w:sz w:val="20"/>
      <w:szCs w:val="20"/>
    </w:rPr>
  </w:style>
  <w:style w:type="character" w:customStyle="1" w:styleId="EndnoteTextChar">
    <w:name w:val="Endnote Text Char"/>
    <w:basedOn w:val="DefaultParagraphFont"/>
    <w:link w:val="EndnoteText"/>
    <w:uiPriority w:val="99"/>
    <w:semiHidden/>
    <w:rsid w:val="00B07389"/>
    <w:rPr>
      <w:sz w:val="20"/>
      <w:szCs w:val="20"/>
    </w:rPr>
  </w:style>
  <w:style w:type="character" w:styleId="EndnoteReference">
    <w:name w:val="endnote reference"/>
    <w:basedOn w:val="DefaultParagraphFont"/>
    <w:uiPriority w:val="99"/>
    <w:semiHidden/>
    <w:unhideWhenUsed/>
    <w:rsid w:val="00B07389"/>
    <w:rPr>
      <w:vertAlign w:val="superscript"/>
    </w:rPr>
  </w:style>
  <w:style w:type="paragraph" w:styleId="FootnoteText">
    <w:name w:val="footnote text"/>
    <w:basedOn w:val="Normal"/>
    <w:link w:val="FootnoteTextChar"/>
    <w:uiPriority w:val="99"/>
    <w:semiHidden/>
    <w:unhideWhenUsed/>
    <w:rsid w:val="00B07389"/>
    <w:rPr>
      <w:sz w:val="20"/>
      <w:szCs w:val="20"/>
    </w:rPr>
  </w:style>
  <w:style w:type="character" w:customStyle="1" w:styleId="FootnoteTextChar">
    <w:name w:val="Footnote Text Char"/>
    <w:basedOn w:val="DefaultParagraphFont"/>
    <w:link w:val="FootnoteText"/>
    <w:uiPriority w:val="99"/>
    <w:semiHidden/>
    <w:rsid w:val="00B07389"/>
    <w:rPr>
      <w:sz w:val="20"/>
      <w:szCs w:val="20"/>
    </w:rPr>
  </w:style>
  <w:style w:type="character" w:styleId="FootnoteReference">
    <w:name w:val="footnote reference"/>
    <w:basedOn w:val="DefaultParagraphFont"/>
    <w:uiPriority w:val="99"/>
    <w:semiHidden/>
    <w:unhideWhenUsed/>
    <w:rsid w:val="00B073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40916-C76C-3649-8AAB-AFF6BDD0C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7</Pages>
  <Words>1801</Words>
  <Characters>10267</Characters>
  <Application>Microsoft Office Word</Application>
  <DocSecurity>0</DocSecurity>
  <Lines>85</Lines>
  <Paragraphs>24</Paragraphs>
  <ScaleCrop>false</ScaleCrop>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Sandhu</dc:creator>
  <cp:keywords/>
  <dc:description/>
  <cp:lastModifiedBy>Monica Sandhu</cp:lastModifiedBy>
  <cp:revision>2</cp:revision>
  <dcterms:created xsi:type="dcterms:W3CDTF">2019-02-24T23:48:00Z</dcterms:created>
  <dcterms:modified xsi:type="dcterms:W3CDTF">2019-04-08T01:01:00Z</dcterms:modified>
</cp:coreProperties>
</file>