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hAnsi="Times New Roman"/>
          <w:sz w:val="24"/>
          <w:szCs w:val="24"/>
        </w:rPr>
      </w:pPr>
    </w:p>
    <w:p>
      <w:pPr>
        <w:pStyle w:val="Body"/>
        <w:rPr>
          <w:rFonts w:ascii="Times New Roman" w:hAnsi="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ADMS 3595M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Sung S. Kwon</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Friday, February 15, 2019</w:t>
      </w:r>
    </w:p>
    <w:p>
      <w:pPr>
        <w:pStyle w:val="Body"/>
        <w:rPr>
          <w:rFonts w:ascii="Times New Roman" w:cs="Times New Roman" w:hAnsi="Times New Roman" w:eastAsia="Times New Roman"/>
          <w:sz w:val="24"/>
          <w:szCs w:val="24"/>
        </w:rPr>
      </w:pPr>
    </w:p>
    <w:p>
      <w:pPr>
        <w:pStyle w:val="Body"/>
        <w:jc w:val="center"/>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Annual Report- Toronto Dominion Bank RA15-4</w:t>
      </w:r>
    </w:p>
    <w:p>
      <w:pPr>
        <w:pStyle w:val="Body"/>
        <w:jc w:val="center"/>
        <w:rPr>
          <w:rFonts w:ascii="Times New Roman" w:cs="Times New Roman" w:hAnsi="Times New Roman" w:eastAsia="Times New Roman"/>
          <w:b w:val="1"/>
          <w:bCs w:val="1"/>
          <w:sz w:val="24"/>
          <w:szCs w:val="24"/>
          <w:u w:val="single"/>
        </w:rPr>
      </w:pPr>
    </w:p>
    <w:p>
      <w:pPr>
        <w:pStyle w:val="Body"/>
        <w:numPr>
          <w:ilvl w:val="0"/>
          <w:numId w:val="2"/>
        </w:numPr>
        <w:spacing w:line="480" w:lineRule="auto"/>
        <w:jc w:val="left"/>
        <w:rPr>
          <w:rFonts w:ascii="Times New Roman" w:hAnsi="Times New Roman"/>
          <w:sz w:val="24"/>
          <w:szCs w:val="24"/>
          <w:lang w:val="en-US"/>
        </w:rPr>
      </w:pPr>
      <w:r>
        <w:rPr>
          <w:rFonts w:ascii="Times New Roman" w:hAnsi="Times New Roman"/>
          <w:sz w:val="24"/>
          <w:szCs w:val="24"/>
          <w:rtl w:val="0"/>
          <w:lang w:val="en-US"/>
        </w:rPr>
        <w:t>The Toronto Dominion Bank paid a stock dividend in order to make shares more accessible to a more vast range of investors, issuing a stock dividend reduces its price per share on the stock exchanges which is what makes it more accessible for a wider variety of investors. This stock dividend is is a stock split. It is a stock split because the transaction is the same as a 2-for-1 stock split that was issued in order to reduce the price per share.</w:t>
      </w: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367"/>
        <w:gridCol w:w="3300"/>
        <w:gridCol w:w="2693"/>
      </w:tblGrid>
      <w:tr>
        <w:tblPrEx>
          <w:shd w:val="clear" w:color="auto" w:fill="auto"/>
        </w:tblPrEx>
        <w:trPr>
          <w:trHeight w:val="595" w:hRule="atLeast"/>
        </w:trPr>
        <w:tc>
          <w:tcPr>
            <w:tcW w:type="dxa" w:w="336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top"/>
          </w:tcPr>
          <w:p/>
        </w:tc>
        <w:tc>
          <w:tcPr>
            <w:tcW w:type="dxa" w:w="33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top"/>
          </w:tcPr>
          <w:p>
            <w:pPr>
              <w:pStyle w:val="Table Style 2"/>
              <w:bidi w:val="0"/>
              <w:ind w:left="0" w:right="0" w:firstLine="0"/>
              <w:jc w:val="right"/>
              <w:rPr>
                <w:rtl w:val="0"/>
              </w:rPr>
            </w:pPr>
            <w:r>
              <w:rPr>
                <w:rFonts w:ascii="Times New Roman" w:hAnsi="Times New Roman"/>
                <w:b w:val="1"/>
                <w:bCs w:val="1"/>
                <w:sz w:val="24"/>
                <w:szCs w:val="24"/>
                <w:u w:color="000000"/>
                <w:rtl w:val="0"/>
              </w:rPr>
              <w:t>Adjusted 2013 in 2014 for stock dividend</w:t>
            </w:r>
          </w:p>
        </w:tc>
        <w:tc>
          <w:tcPr>
            <w:tcW w:type="dxa" w:w="269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top"/>
          </w:tcPr>
          <w:p>
            <w:pPr>
              <w:pStyle w:val="Table Style 2"/>
              <w:bidi w:val="0"/>
              <w:ind w:left="0" w:right="0" w:firstLine="0"/>
              <w:jc w:val="right"/>
              <w:rPr>
                <w:rtl w:val="0"/>
              </w:rPr>
            </w:pPr>
            <w:r>
              <w:rPr>
                <w:rFonts w:ascii="Times New Roman" w:hAnsi="Times New Roman"/>
                <w:b w:val="1"/>
                <w:bCs w:val="1"/>
                <w:sz w:val="24"/>
                <w:szCs w:val="24"/>
                <w:u w:color="000000"/>
                <w:rtl w:val="0"/>
              </w:rPr>
              <w:t>Unadjusted 2013(Original)</w:t>
            </w:r>
          </w:p>
        </w:tc>
      </w:tr>
      <w:tr>
        <w:tblPrEx>
          <w:shd w:val="clear" w:color="auto" w:fill="auto"/>
        </w:tblPrEx>
        <w:trPr>
          <w:trHeight w:val="895" w:hRule="atLeast"/>
        </w:trPr>
        <w:tc>
          <w:tcPr>
            <w:tcW w:type="dxa" w:w="336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sz w:val="24"/>
                <w:szCs w:val="24"/>
                <w:u w:color="000000"/>
                <w:rtl w:val="0"/>
              </w:rPr>
              <w:t>Number of outstanding common share as of October 31, 2013</w:t>
            </w:r>
          </w:p>
        </w:tc>
        <w:tc>
          <w:tcPr>
            <w:tcW w:type="dxa" w:w="33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pStyle w:val="Table Style 2"/>
              <w:bidi w:val="0"/>
              <w:ind w:left="0" w:right="0" w:firstLine="0"/>
              <w:jc w:val="right"/>
              <w:rPr>
                <w:rtl w:val="0"/>
              </w:rPr>
            </w:pPr>
            <w:r>
              <w:rPr>
                <w:rFonts w:ascii="Times New Roman" w:hAnsi="Times New Roman"/>
                <w:sz w:val="24"/>
                <w:szCs w:val="24"/>
                <w:u w:color="000000"/>
                <w:rtl w:val="0"/>
              </w:rPr>
              <w:t>1,838.9 million</w:t>
            </w:r>
          </w:p>
        </w:tc>
        <w:tc>
          <w:tcPr>
            <w:tcW w:type="dxa" w:w="269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pStyle w:val="Table Style 2"/>
              <w:bidi w:val="0"/>
              <w:ind w:left="0" w:right="0" w:firstLine="0"/>
              <w:jc w:val="right"/>
              <w:rPr>
                <w:rtl w:val="0"/>
              </w:rPr>
            </w:pPr>
            <w:r>
              <w:rPr>
                <w:rFonts w:ascii="Times New Roman" w:hAnsi="Times New Roman"/>
                <w:sz w:val="24"/>
                <w:szCs w:val="24"/>
                <w:u w:color="000000"/>
                <w:rtl w:val="0"/>
              </w:rPr>
              <w:t>919.4 million</w:t>
            </w:r>
          </w:p>
        </w:tc>
      </w:tr>
      <w:tr>
        <w:tblPrEx>
          <w:shd w:val="clear" w:color="auto" w:fill="auto"/>
        </w:tblPrEx>
        <w:trPr>
          <w:trHeight w:val="595" w:hRule="atLeast"/>
        </w:trPr>
        <w:tc>
          <w:tcPr>
            <w:tcW w:type="dxa" w:w="336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sz w:val="24"/>
                <w:szCs w:val="24"/>
                <w:u w:color="000000"/>
                <w:rtl w:val="0"/>
              </w:rPr>
              <w:t>Dollar Amount for common shares</w:t>
            </w:r>
          </w:p>
        </w:tc>
        <w:tc>
          <w:tcPr>
            <w:tcW w:type="dxa" w:w="33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top"/>
          </w:tcPr>
          <w:p>
            <w:pPr>
              <w:pStyle w:val="Table Style 2"/>
              <w:bidi w:val="0"/>
              <w:ind w:left="0" w:right="0" w:firstLine="0"/>
              <w:jc w:val="right"/>
              <w:rPr>
                <w:rtl w:val="0"/>
              </w:rPr>
            </w:pPr>
            <w:r>
              <w:rPr>
                <w:rFonts w:ascii="Times New Roman" w:hAnsi="Times New Roman"/>
                <w:sz w:val="24"/>
                <w:szCs w:val="24"/>
                <w:u w:color="000000"/>
                <w:rtl w:val="0"/>
              </w:rPr>
              <w:t>$19,316 million</w:t>
            </w:r>
          </w:p>
        </w:tc>
        <w:tc>
          <w:tcPr>
            <w:tcW w:type="dxa" w:w="269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top"/>
          </w:tcPr>
          <w:p>
            <w:pPr>
              <w:pStyle w:val="Table Style 2"/>
              <w:bidi w:val="0"/>
              <w:ind w:left="0" w:right="0" w:firstLine="0"/>
              <w:jc w:val="right"/>
              <w:rPr>
                <w:rtl w:val="0"/>
              </w:rPr>
            </w:pPr>
            <w:r>
              <w:rPr>
                <w:rFonts w:ascii="Times New Roman" w:hAnsi="Times New Roman"/>
                <w:sz w:val="24"/>
                <w:szCs w:val="24"/>
                <w:u w:color="000000"/>
                <w:rtl w:val="0"/>
              </w:rPr>
              <w:t>$19,316 million</w:t>
            </w:r>
          </w:p>
        </w:tc>
      </w:tr>
      <w:tr>
        <w:tblPrEx>
          <w:shd w:val="clear" w:color="auto" w:fill="auto"/>
        </w:tblPrEx>
        <w:trPr>
          <w:trHeight w:val="360" w:hRule="atLeast"/>
        </w:trPr>
        <w:tc>
          <w:tcPr>
            <w:tcW w:type="dxa" w:w="336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pStyle w:val="Table Style 2"/>
              <w:bidi w:val="0"/>
              <w:ind w:left="0" w:right="0" w:firstLine="0"/>
              <w:jc w:val="left"/>
              <w:rPr>
                <w:rtl w:val="0"/>
              </w:rPr>
            </w:pPr>
            <w:r>
              <w:rPr>
                <w:rFonts w:ascii="Times New Roman" w:hAnsi="Times New Roman"/>
                <w:sz w:val="24"/>
                <w:szCs w:val="24"/>
                <w:u w:color="000000"/>
                <w:rtl w:val="0"/>
              </w:rPr>
              <w:t>EPS (basic)</w:t>
            </w:r>
          </w:p>
        </w:tc>
        <w:tc>
          <w:tcPr>
            <w:tcW w:type="dxa" w:w="33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rPr>
              <w:t>$3.46</w:t>
            </w:r>
          </w:p>
        </w:tc>
        <w:tc>
          <w:tcPr>
            <w:tcW w:type="dxa" w:w="269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rPr>
              <w:t>$6.93</w:t>
            </w:r>
          </w:p>
        </w:tc>
      </w:tr>
    </w:tbl>
    <w:p>
      <w:pPr>
        <w:pStyle w:val="Body"/>
        <w:numPr>
          <w:ilvl w:val="0"/>
          <w:numId w:val="2"/>
        </w:numPr>
        <w:spacing w:line="480" w:lineRule="auto"/>
        <w:jc w:val="left"/>
        <w:rPr>
          <w:rFonts w:ascii="Times New Roman" w:hAnsi="Times New Roman"/>
          <w:sz w:val="24"/>
          <w:szCs w:val="24"/>
          <w:lang w:val="en-US"/>
        </w:rPr>
      </w:pPr>
      <w:r>
        <w:rPr>
          <w:rFonts w:ascii="Times New Roman" w:hAnsi="Times New Roman"/>
          <w:sz w:val="24"/>
          <w:szCs w:val="24"/>
          <w:rtl w:val="0"/>
          <w:lang w:val="en-US"/>
        </w:rPr>
        <w:t>Since no additional net assets were generated by the transaction, the share transaction had a no dollar effect on the total of shareholders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equity. The share transaction also had a no dollar effect on the total book value of the common shares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contributed capital reported. In terms of the number of outstanding shares; since the holder of each existing outstanding common share was given an additional common share, the number of outstanding common shares is be doubled. The book value per share is now depleted by fifty percent because while the number of outstanding shares doubled, the total book value remained unaffected. This fifty percent decrease is made evident in the 2013 data below. </w:t>
      </w: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47"/>
        <w:gridCol w:w="3148"/>
        <w:gridCol w:w="3065"/>
      </w:tblGrid>
      <w:tr>
        <w:tblPrEx>
          <w:shd w:val="clear" w:color="auto" w:fill="auto"/>
        </w:tblPrEx>
        <w:trPr>
          <w:trHeight w:val="317" w:hRule="atLeast"/>
        </w:trPr>
        <w:tc>
          <w:tcPr>
            <w:tcW w:type="dxa" w:w="31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top"/>
          </w:tcPr>
          <w:p/>
        </w:tc>
        <w:tc>
          <w:tcPr>
            <w:tcW w:type="dxa" w:w="31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Table Style 2"/>
              <w:bidi w:val="0"/>
              <w:ind w:left="0" w:right="0" w:firstLine="0"/>
              <w:jc w:val="left"/>
              <w:rPr>
                <w:rtl w:val="0"/>
              </w:rPr>
            </w:pPr>
            <w:r>
              <w:rPr>
                <w:rFonts w:ascii="Times New Roman" w:hAnsi="Times New Roman"/>
                <w:rtl w:val="0"/>
              </w:rPr>
              <w:t xml:space="preserve">High for the month of </w:t>
            </w:r>
          </w:p>
          <w:p>
            <w:pPr>
              <w:pStyle w:val="Table Style 2"/>
              <w:bidi w:val="0"/>
              <w:ind w:left="0" w:right="0" w:firstLine="0"/>
              <w:jc w:val="left"/>
              <w:rPr>
                <w:rtl w:val="0"/>
              </w:rPr>
            </w:pPr>
            <w:r>
              <w:rPr>
                <w:rFonts w:ascii="Times New Roman" w:hAnsi="Times New Roman"/>
                <w:rtl w:val="0"/>
              </w:rPr>
              <w:t>October</w:t>
            </w:r>
          </w:p>
        </w:tc>
        <w:tc>
          <w:tcPr>
            <w:tcW w:type="dxa" w:w="30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rPr>
              <w:t>Low for the month of October</w:t>
            </w:r>
          </w:p>
        </w:tc>
      </w:tr>
      <w:tr>
        <w:tblPrEx>
          <w:shd w:val="clear" w:color="auto" w:fill="auto"/>
        </w:tblPrEx>
        <w:trPr>
          <w:trHeight w:val="360" w:hRule="atLeast"/>
        </w:trPr>
        <w:tc>
          <w:tcPr>
            <w:tcW w:type="dxa" w:w="31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rtl w:val="0"/>
              </w:rPr>
              <w:t>October 2013</w:t>
            </w:r>
          </w:p>
        </w:tc>
        <w:tc>
          <w:tcPr>
            <w:tcW w:type="dxa" w:w="31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vertAlign w:val="baseline"/>
                <w:rtl w:val="0"/>
              </w:rPr>
              <w:t>$96.71</w:t>
            </w:r>
          </w:p>
        </w:tc>
        <w:tc>
          <w:tcPr>
            <w:tcW w:type="dxa" w:w="30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vertAlign w:val="baseline"/>
                <w:rtl w:val="0"/>
              </w:rPr>
              <w:t>$90.78</w:t>
            </w:r>
          </w:p>
        </w:tc>
      </w:tr>
      <w:tr>
        <w:tblPrEx>
          <w:shd w:val="clear" w:color="auto" w:fill="auto"/>
        </w:tblPrEx>
        <w:trPr>
          <w:trHeight w:val="360" w:hRule="atLeast"/>
        </w:trPr>
        <w:tc>
          <w:tcPr>
            <w:tcW w:type="dxa" w:w="31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rtl w:val="0"/>
              </w:rPr>
              <w:t>October 2014</w:t>
            </w:r>
          </w:p>
        </w:tc>
        <w:tc>
          <w:tcPr>
            <w:tcW w:type="dxa" w:w="31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$55.74</w:t>
            </w:r>
          </w:p>
        </w:tc>
        <w:tc>
          <w:tcPr>
            <w:tcW w:type="dxa" w:w="30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$50.11</w:t>
            </w:r>
          </w:p>
        </w:tc>
      </w:tr>
      <w:tr>
        <w:tblPrEx>
          <w:shd w:val="clear" w:color="auto" w:fill="auto"/>
        </w:tblPrEx>
        <w:trPr>
          <w:trHeight w:val="360" w:hRule="atLeast"/>
        </w:trPr>
        <w:tc>
          <w:tcPr>
            <w:tcW w:type="dxa" w:w="31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rtl w:val="0"/>
              </w:rPr>
              <w:t>October 2015</w:t>
            </w:r>
          </w:p>
        </w:tc>
        <w:tc>
          <w:tcPr>
            <w:tcW w:type="dxa" w:w="31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$55.38</w:t>
            </w:r>
          </w:p>
        </w:tc>
        <w:tc>
          <w:tcPr>
            <w:tcW w:type="dxa" w:w="30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20"/>
              <w:left w:type="dxa" w:w="20"/>
              <w:bottom w:type="dxa" w:w="20"/>
              <w:right w:type="dxa" w:w="2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$51.15</w:t>
            </w:r>
          </w:p>
        </w:tc>
      </w:tr>
    </w:tbl>
    <w:p>
      <w:pPr>
        <w:pStyle w:val="Body"/>
        <w:numPr>
          <w:ilvl w:val="0"/>
          <w:numId w:val="2"/>
        </w:numPr>
        <w:spacing w:line="480" w:lineRule="auto"/>
        <w:jc w:val="left"/>
        <w:rPr>
          <w:rFonts w:ascii="Times New Roman" w:hAnsi="Times New Roman"/>
          <w:sz w:val="24"/>
          <w:szCs w:val="24"/>
          <w:lang w:val="en-US"/>
        </w:rPr>
      </w:pPr>
      <w:r>
        <w:rPr>
          <w:rFonts w:ascii="Times New Roman" w:hAnsi="Times New Roman"/>
          <w:sz w:val="24"/>
          <w:szCs w:val="24"/>
          <w:rtl w:val="0"/>
          <w:lang w:val="en-US"/>
        </w:rPr>
        <w:t>According to the December 5th, 2013 News Release, the stock dividend would not affect aggregate cash dividends so that the dividend declared and paid per common share would be fifty percent of the amount it was before. With this in mind however, consistent with the past regular dividend increases, a one percent increase in the per share amount was included in the January 2014 dividend. The share</w:t>
      </w:r>
      <w:r>
        <w:rPr>
          <w:rFonts w:ascii="Times New Roman" w:hAnsi="Times New Roman" w:hint="default"/>
          <w:sz w:val="24"/>
          <w:szCs w:val="24"/>
          <w:rtl w:val="0"/>
          <w:lang w:val="en-US"/>
        </w:rPr>
        <w:t>’</w:t>
      </w:r>
      <w:r>
        <w:rPr>
          <w:rFonts w:ascii="Times New Roman" w:hAnsi="Times New Roman"/>
          <w:sz w:val="24"/>
          <w:szCs w:val="24"/>
          <w:rtl w:val="0"/>
          <w:lang w:val="en-US"/>
        </w:rPr>
        <w:t>s market value is expected to decrease to half of the pre-split amount. Below is information that was found in Toronto dominion</w:t>
      </w:r>
      <w:r>
        <w:rPr>
          <w:rFonts w:ascii="Times New Roman" w:hAnsi="Times New Roman" w:hint="default"/>
          <w:sz w:val="24"/>
          <w:szCs w:val="24"/>
          <w:rtl w:val="0"/>
          <w:lang w:val="en-US"/>
        </w:rPr>
        <w:t>’</w:t>
      </w:r>
      <w:r>
        <w:rPr>
          <w:rFonts w:ascii="Times New Roman" w:hAnsi="Times New Roman"/>
          <w:sz w:val="24"/>
          <w:szCs w:val="24"/>
          <w:rtl w:val="0"/>
          <w:lang w:val="en-US"/>
        </w:rPr>
        <w:t>s Annual Information Form which is filed in December of each year, it effectively shows what has since happened to market share</w:t>
      </w:r>
      <w:r>
        <w:rPr>
          <w:rFonts w:ascii="Times New Roman" w:hAnsi="Times New Roman" w:hint="default"/>
          <w:sz w:val="24"/>
          <w:szCs w:val="24"/>
          <w:rtl w:val="0"/>
          <w:lang w:val="en-US"/>
        </w:rPr>
        <w:t>’</w:t>
      </w:r>
      <w:r>
        <w:rPr>
          <w:rFonts w:ascii="Times New Roman" w:hAnsi="Times New Roman"/>
          <w:sz w:val="24"/>
          <w:szCs w:val="24"/>
          <w:rtl w:val="0"/>
          <w:lang w:val="en-US"/>
        </w:rPr>
        <w:t>s price on the Toronto Stock Exchange.</w:t>
      </w:r>
      <w:r>
        <w:rPr>
          <w:rFonts w:ascii="Times New Roman" w:hAnsi="Times New Roman"/>
          <w:sz w:val="24"/>
          <w:szCs w:val="24"/>
          <w:rtl w:val="0"/>
          <w:lang w:val="en-US"/>
        </w:rPr>
        <w:t>As soon as the additional shares were paid on January 31st, 2014 it can be seen that the price was decreased by half, after this date the market price slightly increased.</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Lettered"/>
  </w:abstractNum>
  <w:abstractNum w:abstractNumId="1">
    <w:multiLevelType w:val="hybridMultilevel"/>
    <w:styleLink w:val="Lettered"/>
    <w:lvl w:ilvl="0">
      <w:start w:val="1"/>
      <w:numFmt w:val="lowerLetter"/>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numbering" w:styleId="Lettered">
    <w:name w:val="Lettered"/>
    <w:pPr>
      <w:numPr>
        <w:numId w:val="1"/>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