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1F9" w:rsidRDefault="009E3F9E">
      <w:r>
        <w:t>OM assignment #5</w:t>
      </w:r>
    </w:p>
    <w:p w:rsidR="009E3F9E" w:rsidRDefault="009E3F9E" w:rsidP="009E3F9E">
      <w:pPr>
        <w:spacing w:after="0"/>
      </w:pPr>
      <w:r>
        <w:t>1a)</w:t>
      </w:r>
    </w:p>
    <w:p w:rsidR="009E3F9E" w:rsidRDefault="009E3F9E" w:rsidP="009E3F9E">
      <w:pPr>
        <w:spacing w:after="0"/>
      </w:pPr>
      <w:r>
        <w:t>Sample 1 = 8/300 = 0.02666 = 2.7%</w:t>
      </w:r>
    </w:p>
    <w:p w:rsidR="009E3F9E" w:rsidRDefault="009E3F9E" w:rsidP="009E3F9E">
      <w:pPr>
        <w:spacing w:after="0"/>
      </w:pPr>
      <w:r>
        <w:t>Sample 2 = 9/300 = 0.03 = 3%</w:t>
      </w:r>
    </w:p>
    <w:p w:rsidR="009E3F9E" w:rsidRDefault="009E3F9E" w:rsidP="009E3F9E">
      <w:pPr>
        <w:spacing w:after="0"/>
      </w:pPr>
      <w:r>
        <w:t>Sample 3 = 4/300 = 0.01333 = 1.3%</w:t>
      </w:r>
    </w:p>
    <w:p w:rsidR="009E3F9E" w:rsidRDefault="009E3F9E" w:rsidP="009E3F9E">
      <w:pPr>
        <w:spacing w:after="0"/>
      </w:pPr>
      <w:r>
        <w:t>Sample 4 = 7/300 = 0.02333 = 2.3%</w:t>
      </w:r>
    </w:p>
    <w:p w:rsidR="009E3F9E" w:rsidRDefault="009E3F9E" w:rsidP="009E3F9E">
      <w:pPr>
        <w:spacing w:after="0"/>
      </w:pPr>
      <w:r>
        <w:t>Sample 5 = 9/300 = 3%</w:t>
      </w:r>
    </w:p>
    <w:p w:rsidR="009E3F9E" w:rsidRDefault="009E3F9E" w:rsidP="009E3F9E">
      <w:pPr>
        <w:spacing w:after="0"/>
      </w:pPr>
      <w:r>
        <w:t>Sample 6 = 6/300 = 0.02 = 2%</w:t>
      </w:r>
    </w:p>
    <w:p w:rsidR="009E3F9E" w:rsidRDefault="009E3F9E" w:rsidP="009E3F9E">
      <w:pPr>
        <w:spacing w:after="0"/>
      </w:pPr>
      <w:r>
        <w:t>Sample 7 = 5/300 = 0.01666 = 1.7%</w:t>
      </w:r>
    </w:p>
    <w:p w:rsidR="009E3F9E" w:rsidRDefault="009E3F9E" w:rsidP="009E3F9E">
      <w:pPr>
        <w:spacing w:after="0"/>
      </w:pPr>
    </w:p>
    <w:p w:rsidR="009E3F9E" w:rsidRDefault="009E3F9E" w:rsidP="009E3F9E">
      <w:pPr>
        <w:spacing w:after="0"/>
      </w:pPr>
      <w:r>
        <w:t>b)  The best estimate for the true percentage would be to obtain the average among all the samples.</w:t>
      </w:r>
    </w:p>
    <w:p w:rsidR="009E3F9E" w:rsidRDefault="009E3F9E" w:rsidP="009E3F9E">
      <w:pPr>
        <w:spacing w:after="0"/>
      </w:pPr>
    </w:p>
    <w:p w:rsidR="009E3F9E" w:rsidRDefault="009E3F9E" w:rsidP="009E3F9E">
      <w:pPr>
        <w:spacing w:after="0"/>
      </w:pPr>
      <w:r>
        <w:t xml:space="preserve">Average = </w:t>
      </w:r>
      <w:r w:rsidR="001411C2">
        <w:t>0.02285 = 2.3%</w:t>
      </w:r>
    </w:p>
    <w:p w:rsidR="001411C2" w:rsidRDefault="001411C2" w:rsidP="009E3F9E">
      <w:pPr>
        <w:spacing w:after="0"/>
      </w:pPr>
    </w:p>
    <w:p w:rsidR="001411C2" w:rsidRDefault="001411C2" w:rsidP="009E3F9E">
      <w:pPr>
        <w:spacing w:after="0"/>
      </w:pPr>
      <w:r>
        <w:t>c)  This process would be statistically in control because all the percentages of defects are within the range of 4.7% and 0.3%.</w:t>
      </w:r>
      <w:r w:rsidR="00800AB3">
        <w:t xml:space="preserve">  It is also randomly distributed above and below the average so there are no patterns present.</w:t>
      </w:r>
      <w:r>
        <w:t xml:space="preserve">  It would only be out of control if there is a sample present with a value that is higher than 4.7% and under 0.3%.</w:t>
      </w:r>
    </w:p>
    <w:p w:rsidR="001411C2" w:rsidRDefault="001411C2" w:rsidP="009E3F9E">
      <w:pPr>
        <w:spacing w:after="0"/>
      </w:pPr>
    </w:p>
    <w:p w:rsidR="001411C2" w:rsidRDefault="001411C2" w:rsidP="009E3F9E">
      <w:pPr>
        <w:spacing w:after="0"/>
      </w:pPr>
      <w:r>
        <w:t>d)  p2bar = 2%</w:t>
      </w:r>
    </w:p>
    <w:p w:rsidR="001411C2" w:rsidRDefault="001411C2" w:rsidP="009E3F9E">
      <w:pPr>
        <w:spacing w:after="0"/>
      </w:pPr>
      <w:r>
        <w:t>0.02(+/-) 1.96*sqrt((0.02(1-0.02)/7)</w:t>
      </w:r>
    </w:p>
    <w:p w:rsidR="001411C2" w:rsidRDefault="001411C2" w:rsidP="009E3F9E">
      <w:pPr>
        <w:spacing w:after="0"/>
      </w:pPr>
      <w:r>
        <w:t>0.02 +/- 1.96*0.052915</w:t>
      </w:r>
    </w:p>
    <w:p w:rsidR="001411C2" w:rsidRDefault="001411C2" w:rsidP="009E3F9E">
      <w:pPr>
        <w:spacing w:after="0"/>
      </w:pPr>
      <w:r>
        <w:t>0.02 +/- 0.1037</w:t>
      </w:r>
    </w:p>
    <w:p w:rsidR="001411C2" w:rsidRDefault="001411C2" w:rsidP="009E3F9E">
      <w:pPr>
        <w:spacing w:after="0"/>
      </w:pPr>
      <w:r>
        <w:t>[-0.0837, 0.1237]</w:t>
      </w:r>
      <w:r w:rsidR="00743516">
        <w:t xml:space="preserve"> </w:t>
      </w:r>
      <w:r w:rsidR="00743516">
        <w:sym w:font="Wingdings" w:char="F0E0"/>
      </w:r>
      <w:r w:rsidR="00743516">
        <w:t xml:space="preserve"> [0, 0.1237</w:t>
      </w:r>
      <w:r w:rsidR="00D73C83">
        <w:t>]</w:t>
      </w:r>
    </w:p>
    <w:p w:rsidR="00743516" w:rsidRDefault="001411C2" w:rsidP="009E3F9E">
      <w:pPr>
        <w:spacing w:after="0"/>
      </w:pPr>
      <w:r>
        <w:t xml:space="preserve">The confidence level at 95% would be </w:t>
      </w:r>
      <w:r w:rsidR="00743516">
        <w:t>0% and 12.37% because it is not possible to have a negative percentage value for this process.</w:t>
      </w:r>
    </w:p>
    <w:p w:rsidR="001411C2" w:rsidRDefault="00743516" w:rsidP="009E3F9E">
      <w:pPr>
        <w:spacing w:after="0"/>
      </w:pPr>
      <w:r>
        <w:rPr>
          <w:noProof/>
          <w:lang w:eastAsia="en-CA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348.4pt;margin-top:221.95pt;width:86.8pt;height:26.45pt;z-index:251662336;mso-width-relative:margin;mso-height-relative:margin">
            <v:textbox>
              <w:txbxContent>
                <w:p w:rsidR="00743516" w:rsidRPr="00743516" w:rsidRDefault="00743516" w:rsidP="00743516">
                  <w:r>
                    <w:t>LCL</w:t>
                  </w:r>
                </w:p>
              </w:txbxContent>
            </v:textbox>
          </v:shape>
        </w:pict>
      </w:r>
      <w:r>
        <w:rPr>
          <w:noProof/>
          <w:lang w:eastAsia="en-CA"/>
        </w:rPr>
        <w:pict>
          <v:shape id="_x0000_s1028" type="#_x0000_t202" style="position:absolute;margin-left:348.4pt;margin-top:190.75pt;width:86.8pt;height:26.45pt;z-index:251661312;mso-width-relative:margin;mso-height-relative:margin">
            <v:textbox>
              <w:txbxContent>
                <w:p w:rsidR="00743516" w:rsidRPr="00743516" w:rsidRDefault="00743516" w:rsidP="00743516">
                  <w:r>
                    <w:t>Mean</w:t>
                  </w:r>
                </w:p>
              </w:txbxContent>
            </v:textbox>
          </v:shape>
        </w:pict>
      </w:r>
      <w:r w:rsidRPr="00D81B9E">
        <w:rPr>
          <w:noProof/>
          <w:lang w:val="en-US" w:eastAsia="zh-TW"/>
        </w:rPr>
        <w:pict>
          <v:shape id="_x0000_s1027" type="#_x0000_t202" style="position:absolute;margin-left:348.4pt;margin-top:23.4pt;width:86.8pt;height:26.45pt;z-index:251660288;mso-width-relative:margin;mso-height-relative:margin">
            <v:textbox>
              <w:txbxContent>
                <w:p w:rsidR="00743516" w:rsidRPr="00743516" w:rsidRDefault="00743516" w:rsidP="00743516">
                  <w:r>
                    <w:t>UCL</w:t>
                  </w:r>
                </w:p>
              </w:txbxContent>
            </v:textbox>
          </v:shape>
        </w:pict>
      </w:r>
      <w:r w:rsidR="001411C2">
        <w:t>e)</w:t>
      </w:r>
      <w:r w:rsidR="00800AB3" w:rsidRPr="00800AB3">
        <w:rPr>
          <w:noProof/>
          <w:lang w:eastAsia="en-CA"/>
        </w:rPr>
        <w:t xml:space="preserve"> </w:t>
      </w:r>
      <w:r w:rsidRPr="00743516">
        <w:rPr>
          <w:noProof/>
          <w:lang w:eastAsia="en-CA"/>
        </w:rPr>
        <w:drawing>
          <wp:inline distT="0" distB="0" distL="0" distR="0">
            <wp:extent cx="5417820" cy="3192780"/>
            <wp:effectExtent l="19050" t="0" r="11430" b="7620"/>
            <wp:docPr id="4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:rsidR="00800AB3" w:rsidRDefault="00800AB3" w:rsidP="009E3F9E">
      <w:pPr>
        <w:spacing w:after="0"/>
        <w:rPr>
          <w:noProof/>
          <w:lang w:eastAsia="en-CA"/>
        </w:rPr>
      </w:pPr>
    </w:p>
    <w:p w:rsidR="00800AB3" w:rsidRDefault="00800AB3" w:rsidP="009E3F9E">
      <w:pPr>
        <w:spacing w:after="0"/>
        <w:rPr>
          <w:noProof/>
          <w:lang w:eastAsia="en-CA"/>
        </w:rPr>
      </w:pPr>
      <w:r>
        <w:rPr>
          <w:noProof/>
          <w:lang w:eastAsia="en-CA"/>
        </w:rPr>
        <w:t>It is out of control because all the values are above the average line and none are below.  Since there is a pattern the process is statistically out of control.</w:t>
      </w:r>
    </w:p>
    <w:p w:rsidR="00800AB3" w:rsidRDefault="00800AB3" w:rsidP="009E3F9E">
      <w:pPr>
        <w:spacing w:after="0"/>
        <w:rPr>
          <w:noProof/>
          <w:lang w:eastAsia="en-CA"/>
        </w:rPr>
      </w:pPr>
    </w:p>
    <w:p w:rsidR="00800AB3" w:rsidRDefault="00800AB3" w:rsidP="009E3F9E">
      <w:pPr>
        <w:spacing w:after="0"/>
        <w:rPr>
          <w:noProof/>
          <w:lang w:eastAsia="en-CA"/>
        </w:rPr>
      </w:pPr>
    </w:p>
    <w:p w:rsidR="00800AB3" w:rsidRDefault="00800AB3" w:rsidP="009E3F9E">
      <w:pPr>
        <w:spacing w:after="0"/>
        <w:rPr>
          <w:noProof/>
          <w:lang w:eastAsia="en-CA"/>
        </w:rPr>
      </w:pPr>
    </w:p>
    <w:p w:rsidR="00800AB3" w:rsidRDefault="00800AB3" w:rsidP="009E3F9E">
      <w:pPr>
        <w:spacing w:after="0"/>
        <w:rPr>
          <w:noProof/>
          <w:lang w:eastAsia="en-CA"/>
        </w:rPr>
      </w:pPr>
      <w:r>
        <w:rPr>
          <w:noProof/>
          <w:lang w:eastAsia="en-CA"/>
        </w:rPr>
        <w:t>2</w:t>
      </w:r>
    </w:p>
    <w:tbl>
      <w:tblPr>
        <w:tblW w:w="9088" w:type="dxa"/>
        <w:tblInd w:w="98" w:type="dxa"/>
        <w:tblLook w:val="04A0"/>
      </w:tblPr>
      <w:tblGrid>
        <w:gridCol w:w="960"/>
        <w:gridCol w:w="960"/>
        <w:gridCol w:w="960"/>
        <w:gridCol w:w="960"/>
        <w:gridCol w:w="960"/>
        <w:gridCol w:w="960"/>
        <w:gridCol w:w="981"/>
        <w:gridCol w:w="1387"/>
        <w:gridCol w:w="960"/>
      </w:tblGrid>
      <w:tr w:rsidR="00C02F24" w:rsidRPr="00C02F24" w:rsidTr="00C02F24">
        <w:trPr>
          <w:trHeight w:val="336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Sample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X</w:t>
            </w:r>
            <w:r w:rsidRPr="00C02F24">
              <w:rPr>
                <w:rFonts w:eastAsia="Times New Roman" w:cs="Times New Roman"/>
                <w:color w:val="000000"/>
                <w:sz w:val="22"/>
                <w:vertAlign w:val="subscript"/>
                <w:lang w:eastAsia="en-CA"/>
              </w:rPr>
              <w:t>1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X</w:t>
            </w:r>
            <w:r w:rsidRPr="00C02F24">
              <w:rPr>
                <w:rFonts w:eastAsia="Times New Roman" w:cs="Times New Roman"/>
                <w:color w:val="000000"/>
                <w:sz w:val="22"/>
                <w:vertAlign w:val="subscript"/>
                <w:lang w:eastAsia="en-CA"/>
              </w:rPr>
              <w:t>2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X</w:t>
            </w:r>
            <w:r w:rsidRPr="00C02F24">
              <w:rPr>
                <w:rFonts w:eastAsia="Times New Roman" w:cs="Times New Roman"/>
                <w:color w:val="000000"/>
                <w:sz w:val="22"/>
                <w:vertAlign w:val="subscript"/>
                <w:lang w:eastAsia="en-CA"/>
              </w:rPr>
              <w:t>3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X</w:t>
            </w:r>
            <w:r w:rsidRPr="00C02F24">
              <w:rPr>
                <w:rFonts w:eastAsia="Times New Roman" w:cs="Times New Roman"/>
                <w:color w:val="000000"/>
                <w:sz w:val="22"/>
                <w:vertAlign w:val="subscript"/>
                <w:lang w:eastAsia="en-CA"/>
              </w:rPr>
              <w:t>4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X</w:t>
            </w:r>
            <w:r w:rsidRPr="00C02F24">
              <w:rPr>
                <w:rFonts w:eastAsia="Times New Roman" w:cs="Times New Roman"/>
                <w:color w:val="000000"/>
                <w:sz w:val="22"/>
                <w:vertAlign w:val="subscript"/>
                <w:lang w:eastAsia="en-CA"/>
              </w:rPr>
              <w:t>5</w:t>
            </w:r>
          </w:p>
        </w:tc>
        <w:tc>
          <w:tcPr>
            <w:tcW w:w="9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X</w:t>
            </w:r>
            <w:r w:rsidRPr="00C02F24">
              <w:rPr>
                <w:rFonts w:eastAsia="Times New Roman" w:cs="Times New Roman"/>
                <w:color w:val="000000"/>
                <w:sz w:val="22"/>
                <w:vertAlign w:val="subscript"/>
                <w:lang w:eastAsia="en-CA"/>
              </w:rPr>
              <w:t>6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mean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R</w:t>
            </w:r>
          </w:p>
        </w:tc>
      </w:tr>
      <w:tr w:rsidR="00C02F24" w:rsidRPr="00C02F24" w:rsidTr="00C02F24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85.2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84.2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84.1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84.2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85.7</w:t>
            </w:r>
          </w:p>
        </w:tc>
        <w:tc>
          <w:tcPr>
            <w:tcW w:w="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84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  <w:t>84.56666667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  <w:t>1.7</w:t>
            </w:r>
          </w:p>
        </w:tc>
      </w:tr>
      <w:tr w:rsidR="00C02F24" w:rsidRPr="00C02F24" w:rsidTr="00C02F24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83.4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83.3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84.4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84.7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86.8</w:t>
            </w:r>
          </w:p>
        </w:tc>
        <w:tc>
          <w:tcPr>
            <w:tcW w:w="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86.5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  <w:t>84.85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  <w:t>3.5</w:t>
            </w:r>
          </w:p>
        </w:tc>
      </w:tr>
      <w:tr w:rsidR="00C02F24" w:rsidRPr="00C02F24" w:rsidTr="00C02F24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86.3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84.3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86.2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83.2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84.1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84.4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  <w:t>84.75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  <w:t>3.1</w:t>
            </w:r>
          </w:p>
        </w:tc>
      </w:tr>
      <w:tr w:rsidR="00C02F24" w:rsidRPr="00C02F24" w:rsidTr="00C02F24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86.8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84.8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83.5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83.1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86.8</w:t>
            </w:r>
          </w:p>
        </w:tc>
        <w:tc>
          <w:tcPr>
            <w:tcW w:w="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83.3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  <w:t>84.71666667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  <w:t>3.7</w:t>
            </w:r>
          </w:p>
        </w:tc>
      </w:tr>
      <w:tr w:rsidR="00C02F24" w:rsidRPr="00C02F24" w:rsidTr="00C02F24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86.7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86.8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83.4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83.6</w:t>
            </w:r>
          </w:p>
        </w:tc>
        <w:tc>
          <w:tcPr>
            <w:tcW w:w="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84.5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  <w:t>85.16666667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  <w:t>3.4</w:t>
            </w:r>
          </w:p>
        </w:tc>
      </w:tr>
      <w:tr w:rsidR="00C02F24" w:rsidRPr="00C02F24" w:rsidTr="00C02F24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85.4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86.8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85.4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84.2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85.1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85.5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  <w:t>85.4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  <w:t>2.6</w:t>
            </w:r>
          </w:p>
        </w:tc>
      </w:tr>
      <w:tr w:rsidR="00C02F24" w:rsidRPr="00C02F24" w:rsidTr="00C02F24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85.1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83.3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84.3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84.8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84.5</w:t>
            </w:r>
          </w:p>
        </w:tc>
        <w:tc>
          <w:tcPr>
            <w:tcW w:w="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86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  <w:t>84.66666667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  <w:t>2.7</w:t>
            </w:r>
          </w:p>
        </w:tc>
      </w:tr>
      <w:tr w:rsidR="00C02F24" w:rsidRPr="00C02F24" w:rsidTr="00C02F24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86.3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84.6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84.8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85.5</w:t>
            </w:r>
          </w:p>
        </w:tc>
        <w:tc>
          <w:tcPr>
            <w:tcW w:w="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84.9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  <w:t>85.18333333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  <w:t>1.7</w:t>
            </w:r>
          </w:p>
        </w:tc>
      </w:tr>
      <w:tr w:rsidR="00C02F24" w:rsidRPr="00C02F24" w:rsidTr="00C02F24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85.7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85.3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86.5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86.3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84.8</w:t>
            </w:r>
          </w:p>
        </w:tc>
        <w:tc>
          <w:tcPr>
            <w:tcW w:w="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86.6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  <w:t>85.86666667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  <w:t>1.8</w:t>
            </w:r>
          </w:p>
        </w:tc>
      </w:tr>
      <w:tr w:rsidR="00C02F24" w:rsidRPr="00C02F24" w:rsidTr="00C02F24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83.9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84.2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85.8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86.9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83.7</w:t>
            </w:r>
          </w:p>
        </w:tc>
        <w:tc>
          <w:tcPr>
            <w:tcW w:w="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2F24" w:rsidRPr="00C02F24" w:rsidRDefault="00C02F24" w:rsidP="00C02F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eastAsia="Times New Roman" w:cs="Times New Roman"/>
                <w:color w:val="000000"/>
                <w:sz w:val="22"/>
                <w:lang w:eastAsia="en-CA"/>
              </w:rPr>
              <w:t>84.9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  <w:t>84.9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  <w:t>3.2</w:t>
            </w:r>
          </w:p>
        </w:tc>
      </w:tr>
      <w:tr w:rsidR="00C02F24" w:rsidRPr="00C02F24" w:rsidTr="00C02F24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  <w:t>X2bar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  <w:t>Rbar</w:t>
            </w:r>
          </w:p>
        </w:tc>
      </w:tr>
      <w:tr w:rsidR="00C02F24" w:rsidRPr="00C02F24" w:rsidTr="00C02F24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  <w:t>average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  <w:t>85.00666667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  <w:t>2.74</w:t>
            </w:r>
          </w:p>
        </w:tc>
      </w:tr>
      <w:tr w:rsidR="00C02F24" w:rsidRPr="00C02F24" w:rsidTr="00C02F24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  <w:t>x-chart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  <w:t>rounded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  <w:t>85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  <w:t>2.74</w:t>
            </w:r>
          </w:p>
        </w:tc>
      </w:tr>
      <w:tr w:rsidR="00C02F24" w:rsidRPr="00C02F24" w:rsidTr="00C02F24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  <w:t>n = 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</w:tr>
      <w:tr w:rsidR="00C02F24" w:rsidRPr="00C02F24" w:rsidTr="00C02F24">
        <w:trPr>
          <w:trHeight w:val="288"/>
        </w:trPr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  <w:t>A2 = 0.483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</w:tr>
      <w:tr w:rsidR="00C02F24" w:rsidRPr="00C02F24" w:rsidTr="00C02F24">
        <w:trPr>
          <w:trHeight w:val="288"/>
        </w:trPr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  <w:t>85 +/- 0.483*2.74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</w:tr>
      <w:tr w:rsidR="00C02F24" w:rsidRPr="00C02F24" w:rsidTr="00C02F24">
        <w:trPr>
          <w:trHeight w:val="288"/>
        </w:trPr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  <w:t>85 +/- 1.32342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</w:tr>
      <w:tr w:rsidR="00C02F24" w:rsidRPr="00C02F24" w:rsidTr="00C02F24">
        <w:trPr>
          <w:trHeight w:val="288"/>
        </w:trPr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0B57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  <w:lastRenderedPageBreak/>
              <w:t>UCL = 86.32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</w:tr>
      <w:tr w:rsidR="00C02F24" w:rsidRPr="00C02F24" w:rsidTr="00C02F24">
        <w:trPr>
          <w:trHeight w:val="288"/>
        </w:trPr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0B57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  <w:t>LCL = 83.68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</w:tr>
      <w:tr w:rsidR="00C02F24" w:rsidRPr="00C02F24" w:rsidTr="00C02F24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</w:tr>
      <w:tr w:rsidR="00C02F24" w:rsidRPr="00C02F24" w:rsidTr="00C02F24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  <w:t>r-chart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</w:tr>
      <w:tr w:rsidR="00C02F24" w:rsidRPr="00C02F24" w:rsidTr="00C02F24">
        <w:trPr>
          <w:trHeight w:val="288"/>
        </w:trPr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  <w:t>D3= 0.000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</w:tr>
      <w:tr w:rsidR="00C02F24" w:rsidRPr="00C02F24" w:rsidTr="00C02F24">
        <w:trPr>
          <w:trHeight w:val="288"/>
        </w:trPr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  <w:t>D4= 2.004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</w:tr>
      <w:tr w:rsidR="00C02F24" w:rsidRPr="00C02F24" w:rsidTr="00C02F24">
        <w:trPr>
          <w:trHeight w:val="288"/>
        </w:trPr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  <w:t>LCL = 2.74*0 = 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</w:tr>
      <w:tr w:rsidR="00C02F24" w:rsidRPr="00C02F24" w:rsidTr="00C02F24">
        <w:trPr>
          <w:trHeight w:val="288"/>
        </w:trPr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  <w:t>UCL = 2.74*2.004 = 5.49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</w:p>
        </w:tc>
      </w:tr>
    </w:tbl>
    <w:p w:rsidR="00C02F24" w:rsidRDefault="00C02F24" w:rsidP="009E3F9E">
      <w:pPr>
        <w:spacing w:after="0"/>
        <w:rPr>
          <w:noProof/>
          <w:lang w:eastAsia="en-CA"/>
        </w:rPr>
      </w:pPr>
    </w:p>
    <w:p w:rsidR="00C02F24" w:rsidRDefault="00743516" w:rsidP="009E3F9E">
      <w:pPr>
        <w:spacing w:after="0"/>
      </w:pPr>
      <w:r>
        <w:rPr>
          <w:rFonts w:ascii="Calibri" w:eastAsia="Times New Roman" w:hAnsi="Calibri" w:cs="Times New Roman"/>
          <w:noProof/>
          <w:color w:val="000000"/>
          <w:sz w:val="22"/>
          <w:lang w:eastAsia="en-CA"/>
        </w:rPr>
        <w:pict>
          <v:shape id="_x0000_s1032" type="#_x0000_t202" style="position:absolute;margin-left:360.4pt;margin-top:129.35pt;width:86.8pt;height:26.45pt;z-index:251665408;mso-width-relative:margin;mso-height-relative:margin">
            <v:textbox>
              <w:txbxContent>
                <w:p w:rsidR="00743516" w:rsidRPr="00743516" w:rsidRDefault="00743516" w:rsidP="00743516">
                  <w:r>
                    <w:t>LCL</w:t>
                  </w:r>
                </w:p>
              </w:txbxContent>
            </v:textbox>
          </v:shape>
        </w:pict>
      </w:r>
      <w:r>
        <w:rPr>
          <w:rFonts w:ascii="Calibri" w:eastAsia="Times New Roman" w:hAnsi="Calibri" w:cs="Times New Roman"/>
          <w:noProof/>
          <w:color w:val="000000"/>
          <w:sz w:val="22"/>
          <w:lang w:eastAsia="en-CA"/>
        </w:rPr>
        <w:pict>
          <v:shape id="_x0000_s1031" type="#_x0000_t202" style="position:absolute;margin-left:360.4pt;margin-top:87.3pt;width:86.8pt;height:26.45pt;z-index:251664384;mso-width-relative:margin;mso-height-relative:margin">
            <v:textbox>
              <w:txbxContent>
                <w:p w:rsidR="00743516" w:rsidRPr="00743516" w:rsidRDefault="00743516" w:rsidP="00743516">
                  <w:r>
                    <w:t>Mean</w:t>
                  </w:r>
                </w:p>
              </w:txbxContent>
            </v:textbox>
          </v:shape>
        </w:pict>
      </w:r>
      <w:r>
        <w:rPr>
          <w:rFonts w:ascii="Calibri" w:eastAsia="Times New Roman" w:hAnsi="Calibri" w:cs="Times New Roman"/>
          <w:noProof/>
          <w:color w:val="000000"/>
          <w:sz w:val="22"/>
          <w:lang w:eastAsia="en-CA"/>
        </w:rPr>
        <w:pict>
          <v:shape id="_x0000_s1030" type="#_x0000_t202" style="position:absolute;margin-left:360.4pt;margin-top:47.1pt;width:86.8pt;height:26.45pt;z-index:251663360;mso-width-relative:margin;mso-height-relative:margin">
            <v:textbox>
              <w:txbxContent>
                <w:p w:rsidR="00743516" w:rsidRPr="00743516" w:rsidRDefault="00743516" w:rsidP="00743516">
                  <w:r>
                    <w:t>UCL</w:t>
                  </w:r>
                </w:p>
              </w:txbxContent>
            </v:textbox>
          </v:shape>
        </w:pict>
      </w:r>
      <w:r w:rsidR="00C02F24" w:rsidRPr="00C02F24">
        <w:rPr>
          <w:noProof/>
          <w:lang w:eastAsia="en-CA"/>
        </w:rPr>
        <w:drawing>
          <wp:inline distT="0" distB="0" distL="0" distR="0">
            <wp:extent cx="4697730" cy="2743200"/>
            <wp:effectExtent l="19050" t="0" r="26670" b="0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C02F24" w:rsidRDefault="00743516" w:rsidP="009E3F9E">
      <w:pPr>
        <w:spacing w:after="0"/>
      </w:pPr>
      <w:r>
        <w:rPr>
          <w:noProof/>
          <w:lang w:eastAsia="en-CA"/>
        </w:rPr>
        <w:pict>
          <v:shape id="_x0000_s1035" type="#_x0000_t202" style="position:absolute;margin-left:347.2pt;margin-top:174.6pt;width:86.8pt;height:26.45pt;z-index:251668480;mso-width-relative:margin;mso-height-relative:margin">
            <v:textbox>
              <w:txbxContent>
                <w:p w:rsidR="00743516" w:rsidRPr="00743516" w:rsidRDefault="00743516" w:rsidP="00743516">
                  <w:r>
                    <w:t>LCL</w:t>
                  </w:r>
                </w:p>
              </w:txbxContent>
            </v:textbox>
          </v:shape>
        </w:pict>
      </w:r>
      <w:r>
        <w:rPr>
          <w:noProof/>
          <w:lang w:eastAsia="en-CA"/>
        </w:rPr>
        <w:pict>
          <v:shape id="_x0000_s1034" type="#_x0000_t202" style="position:absolute;margin-left:351.4pt;margin-top:106.2pt;width:86.8pt;height:26.45pt;z-index:251667456;mso-width-relative:margin;mso-height-relative:margin">
            <v:textbox>
              <w:txbxContent>
                <w:p w:rsidR="00743516" w:rsidRPr="00743516" w:rsidRDefault="00743516" w:rsidP="00743516">
                  <w:r>
                    <w:t>Mean</w:t>
                  </w:r>
                </w:p>
              </w:txbxContent>
            </v:textbox>
          </v:shape>
        </w:pict>
      </w:r>
      <w:r>
        <w:rPr>
          <w:noProof/>
          <w:lang w:eastAsia="en-CA"/>
        </w:rPr>
        <w:pict>
          <v:shape id="_x0000_s1033" type="#_x0000_t202" style="position:absolute;margin-left:351.4pt;margin-top:39.05pt;width:86.8pt;height:26.45pt;z-index:251666432;mso-width-relative:margin;mso-height-relative:margin">
            <v:textbox>
              <w:txbxContent>
                <w:p w:rsidR="00743516" w:rsidRPr="00743516" w:rsidRDefault="00743516" w:rsidP="00743516">
                  <w:r>
                    <w:t>UCL</w:t>
                  </w:r>
                  <w:r>
                    <w:tab/>
                  </w:r>
                </w:p>
              </w:txbxContent>
            </v:textbox>
          </v:shape>
        </w:pict>
      </w:r>
      <w:r w:rsidR="00C02F24" w:rsidRPr="00C02F24">
        <w:rPr>
          <w:noProof/>
          <w:lang w:eastAsia="en-CA"/>
        </w:rPr>
        <w:drawing>
          <wp:inline distT="0" distB="0" distL="0" distR="0">
            <wp:extent cx="4572000" cy="2743200"/>
            <wp:effectExtent l="19050" t="0" r="19050" b="0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C02F24" w:rsidRDefault="00C02F24" w:rsidP="009E3F9E">
      <w:pPr>
        <w:spacing w:after="0"/>
      </w:pPr>
    </w:p>
    <w:p w:rsidR="00C02F24" w:rsidRDefault="00C02F24" w:rsidP="009E3F9E">
      <w:pPr>
        <w:spacing w:after="0"/>
      </w:pPr>
      <w:r>
        <w:t>Based on the charts, the process is in control because there aren’t any immediate identifiable patterns that would suggest that the process is out of control.</w:t>
      </w:r>
    </w:p>
    <w:p w:rsidR="00C02F24" w:rsidRDefault="00C02F24" w:rsidP="009E3F9E">
      <w:pPr>
        <w:spacing w:after="0"/>
      </w:pPr>
    </w:p>
    <w:p w:rsidR="00C02F24" w:rsidRDefault="00C02F24" w:rsidP="009E3F9E">
      <w:pPr>
        <w:spacing w:after="0"/>
      </w:pPr>
      <w:r>
        <w:t>3)</w:t>
      </w:r>
    </w:p>
    <w:tbl>
      <w:tblPr>
        <w:tblW w:w="9088" w:type="dxa"/>
        <w:tblInd w:w="98" w:type="dxa"/>
        <w:tblLook w:val="04A0"/>
      </w:tblPr>
      <w:tblGrid>
        <w:gridCol w:w="9088"/>
      </w:tblGrid>
      <w:tr w:rsidR="00C02F24" w:rsidRPr="00C02F24" w:rsidTr="000B5753">
        <w:trPr>
          <w:trHeight w:val="288"/>
        </w:trPr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C02F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  <w:r w:rsidRPr="00C02F24"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  <w:lastRenderedPageBreak/>
              <w:t xml:space="preserve">UCL = </w:t>
            </w:r>
            <w:r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  <w:t>87</w:t>
            </w:r>
          </w:p>
        </w:tc>
      </w:tr>
      <w:tr w:rsidR="00C02F24" w:rsidRPr="00C02F24" w:rsidTr="000B5753">
        <w:trPr>
          <w:trHeight w:val="288"/>
        </w:trPr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24" w:rsidRPr="00C02F24" w:rsidRDefault="00C02F24" w:rsidP="003A0C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  <w:t>LCL = 84</w:t>
            </w:r>
            <w:r w:rsidR="003A0CE7">
              <w:rPr>
                <w:rFonts w:ascii="Calibri" w:eastAsia="Times New Roman" w:hAnsi="Calibri" w:cs="Times New Roman"/>
                <w:color w:val="000000"/>
                <w:sz w:val="22"/>
                <w:lang w:eastAsia="en-CA"/>
              </w:rPr>
              <w:t>.5</w:t>
            </w:r>
          </w:p>
        </w:tc>
      </w:tr>
    </w:tbl>
    <w:p w:rsidR="00C02F24" w:rsidRDefault="00C02F24" w:rsidP="009E3F9E">
      <w:pPr>
        <w:spacing w:after="0"/>
      </w:pPr>
      <w:r>
        <w:t>X2bar = 85</w:t>
      </w:r>
    </w:p>
    <w:p w:rsidR="003A0CE7" w:rsidRDefault="003A0CE7" w:rsidP="009E3F9E">
      <w:pPr>
        <w:spacing w:after="0"/>
      </w:pPr>
      <w:r>
        <w:t>K=2.536</w:t>
      </w:r>
    </w:p>
    <w:p w:rsidR="003A0CE7" w:rsidRDefault="003A0CE7" w:rsidP="009E3F9E">
      <w:pPr>
        <w:spacing w:after="0"/>
      </w:pPr>
      <w:r>
        <w:t>Rbar = 2.74</w:t>
      </w:r>
    </w:p>
    <w:p w:rsidR="003A0CE7" w:rsidRDefault="003A0CE7" w:rsidP="003A0CE7">
      <w:pPr>
        <w:spacing w:after="0"/>
      </w:pPr>
      <w:r>
        <w:t>Sigma = Rbar / K = 2.74/2.536 = 1.08</w:t>
      </w:r>
    </w:p>
    <w:p w:rsidR="003A0CE7" w:rsidRDefault="003A0CE7" w:rsidP="009E3F9E">
      <w:pPr>
        <w:spacing w:after="0"/>
      </w:pPr>
    </w:p>
    <w:p w:rsidR="00C02F24" w:rsidRDefault="003A0CE7" w:rsidP="009E3F9E">
      <w:pPr>
        <w:spacing w:after="0"/>
      </w:pPr>
      <w:r>
        <w:t>Z(UCL) = 2/1.08 = 1.85</w:t>
      </w:r>
      <w:r w:rsidR="00B5546B">
        <w:t xml:space="preserve">  </w:t>
      </w:r>
      <w:r w:rsidR="00B5546B">
        <w:sym w:font="Wingdings" w:char="F0E0"/>
      </w:r>
      <w:r w:rsidR="00B5546B">
        <w:t xml:space="preserve"> 0.4678</w:t>
      </w:r>
    </w:p>
    <w:p w:rsidR="003A0CE7" w:rsidRDefault="003A0CE7" w:rsidP="009E3F9E">
      <w:pPr>
        <w:spacing w:after="0"/>
      </w:pPr>
      <w:r>
        <w:t xml:space="preserve">Z(LCL) = </w:t>
      </w:r>
      <w:r w:rsidR="00B5546B">
        <w:t xml:space="preserve">0.5 / 1.08 = 0.46 </w:t>
      </w:r>
      <w:r w:rsidR="00B5546B">
        <w:sym w:font="Wingdings" w:char="F0E0"/>
      </w:r>
      <w:r w:rsidR="00B5546B">
        <w:t xml:space="preserve"> 0.1772</w:t>
      </w:r>
    </w:p>
    <w:p w:rsidR="00B5546B" w:rsidRDefault="00B5546B" w:rsidP="009E3F9E">
      <w:pPr>
        <w:spacing w:after="0"/>
      </w:pPr>
    </w:p>
    <w:p w:rsidR="00B5546B" w:rsidRDefault="00B5546B" w:rsidP="009E3F9E">
      <w:pPr>
        <w:spacing w:after="0"/>
      </w:pPr>
      <w:r>
        <w:t>P = 0.4678 + 0.1772 = 0.645</w:t>
      </w:r>
    </w:p>
    <w:p w:rsidR="00B5546B" w:rsidRDefault="00B5546B" w:rsidP="009E3F9E">
      <w:pPr>
        <w:spacing w:after="0"/>
      </w:pPr>
      <w:r>
        <w:t>Therefore, the percentage of concrete slabs that meet the designer specification is 64.5%.</w:t>
      </w:r>
    </w:p>
    <w:sectPr w:rsidR="00B5546B" w:rsidSect="00D201F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9E3F9E"/>
    <w:rsid w:val="000A34D0"/>
    <w:rsid w:val="001411C2"/>
    <w:rsid w:val="00217FF4"/>
    <w:rsid w:val="003A0CE7"/>
    <w:rsid w:val="007219DB"/>
    <w:rsid w:val="00743516"/>
    <w:rsid w:val="00800AB3"/>
    <w:rsid w:val="009E3F9E"/>
    <w:rsid w:val="00B5546B"/>
    <w:rsid w:val="00C02F24"/>
    <w:rsid w:val="00D201F9"/>
    <w:rsid w:val="00D73C83"/>
    <w:rsid w:val="00E458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01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0A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0AB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46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3.xml"/><Relationship Id="rId5" Type="http://schemas.openxmlformats.org/officeDocument/2006/relationships/chart" Target="charts/chart2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Kenny\Desktop\OM%20assign%205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Kenny\Desktop\OM%20assign%205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Kenny\Desktop\OM%20assign%205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CA"/>
  <c:chart>
    <c:plotArea>
      <c:layout>
        <c:manualLayout>
          <c:layoutTarget val="inner"/>
          <c:xMode val="edge"/>
          <c:yMode val="edge"/>
          <c:x val="8.0488407699037617E-2"/>
          <c:y val="4.6770924467774859E-2"/>
          <c:w val="0.69941426071740975"/>
          <c:h val="0.89719889180519152"/>
        </c:manualLayout>
      </c:layout>
      <c:lineChart>
        <c:grouping val="standard"/>
        <c:ser>
          <c:idx val="0"/>
          <c:order val="0"/>
          <c:tx>
            <c:strRef>
              <c:f>'Q1'!$D$4</c:f>
              <c:strCache>
                <c:ptCount val="1"/>
                <c:pt idx="0">
                  <c:v>average</c:v>
                </c:pt>
              </c:strCache>
            </c:strRef>
          </c:tx>
          <c:marker>
            <c:symbol val="none"/>
          </c:marker>
          <c:val>
            <c:numRef>
              <c:f>'Q1'!$E$4:$K$4</c:f>
              <c:numCache>
                <c:formatCode>General</c:formatCode>
                <c:ptCount val="7"/>
                <c:pt idx="0">
                  <c:v>2</c:v>
                </c:pt>
                <c:pt idx="1">
                  <c:v>2</c:v>
                </c:pt>
                <c:pt idx="2">
                  <c:v>2</c:v>
                </c:pt>
                <c:pt idx="3">
                  <c:v>2</c:v>
                </c:pt>
                <c:pt idx="4">
                  <c:v>2</c:v>
                </c:pt>
                <c:pt idx="5">
                  <c:v>2</c:v>
                </c:pt>
                <c:pt idx="6">
                  <c:v>2</c:v>
                </c:pt>
              </c:numCache>
            </c:numRef>
          </c:val>
        </c:ser>
        <c:ser>
          <c:idx val="1"/>
          <c:order val="1"/>
          <c:tx>
            <c:strRef>
              <c:f>'Q1'!$D$5</c:f>
              <c:strCache>
                <c:ptCount val="1"/>
                <c:pt idx="0">
                  <c:v>UCL</c:v>
                </c:pt>
              </c:strCache>
            </c:strRef>
          </c:tx>
          <c:marker>
            <c:symbol val="none"/>
          </c:marker>
          <c:val>
            <c:numRef>
              <c:f>'Q1'!$E$5:$K$5</c:f>
              <c:numCache>
                <c:formatCode>General</c:formatCode>
                <c:ptCount val="7"/>
                <c:pt idx="0">
                  <c:v>12.370000000000001</c:v>
                </c:pt>
                <c:pt idx="1">
                  <c:v>12.370000000000001</c:v>
                </c:pt>
                <c:pt idx="2">
                  <c:v>12.370000000000001</c:v>
                </c:pt>
                <c:pt idx="3">
                  <c:v>12.370000000000001</c:v>
                </c:pt>
                <c:pt idx="4">
                  <c:v>12.370000000000001</c:v>
                </c:pt>
                <c:pt idx="5">
                  <c:v>12.370000000000001</c:v>
                </c:pt>
                <c:pt idx="6">
                  <c:v>12.370000000000001</c:v>
                </c:pt>
              </c:numCache>
            </c:numRef>
          </c:val>
        </c:ser>
        <c:ser>
          <c:idx val="2"/>
          <c:order val="2"/>
          <c:tx>
            <c:strRef>
              <c:f>'Q1'!$D$6</c:f>
              <c:strCache>
                <c:ptCount val="1"/>
                <c:pt idx="0">
                  <c:v>LCL</c:v>
                </c:pt>
              </c:strCache>
            </c:strRef>
          </c:tx>
          <c:marker>
            <c:symbol val="none"/>
          </c:marker>
          <c:val>
            <c:numRef>
              <c:f>'Q1'!$E$6:$K$6</c:f>
              <c:numCache>
                <c:formatCode>General</c:formatCode>
                <c:ptCount val="7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</c:numCache>
            </c:numRef>
          </c:val>
        </c:ser>
        <c:ser>
          <c:idx val="3"/>
          <c:order val="3"/>
          <c:tx>
            <c:strRef>
              <c:f>'Q1'!$D$3</c:f>
              <c:strCache>
                <c:ptCount val="1"/>
                <c:pt idx="0">
                  <c:v> Number of errors</c:v>
                </c:pt>
              </c:strCache>
            </c:strRef>
          </c:tx>
          <c:marker>
            <c:symbol val="none"/>
          </c:marker>
          <c:val>
            <c:numRef>
              <c:f>'Q1'!$E$3:$K$3</c:f>
              <c:numCache>
                <c:formatCode>General</c:formatCode>
                <c:ptCount val="7"/>
                <c:pt idx="0">
                  <c:v>8</c:v>
                </c:pt>
                <c:pt idx="1">
                  <c:v>9</c:v>
                </c:pt>
                <c:pt idx="2">
                  <c:v>4</c:v>
                </c:pt>
                <c:pt idx="3">
                  <c:v>7</c:v>
                </c:pt>
                <c:pt idx="4">
                  <c:v>9</c:v>
                </c:pt>
                <c:pt idx="5">
                  <c:v>6</c:v>
                </c:pt>
                <c:pt idx="6">
                  <c:v>5</c:v>
                </c:pt>
              </c:numCache>
            </c:numRef>
          </c:val>
        </c:ser>
        <c:marker val="1"/>
        <c:axId val="49410432"/>
        <c:axId val="49411968"/>
      </c:lineChart>
      <c:catAx>
        <c:axId val="49410432"/>
        <c:scaling>
          <c:orientation val="minMax"/>
        </c:scaling>
        <c:axPos val="b"/>
        <c:numFmt formatCode="General" sourceLinked="1"/>
        <c:tickLblPos val="nextTo"/>
        <c:crossAx val="49411968"/>
        <c:crosses val="autoZero"/>
        <c:auto val="1"/>
        <c:lblAlgn val="ctr"/>
        <c:lblOffset val="100"/>
      </c:catAx>
      <c:valAx>
        <c:axId val="49411968"/>
        <c:scaling>
          <c:orientation val="minMax"/>
        </c:scaling>
        <c:axPos val="l"/>
        <c:majorGridlines/>
        <c:numFmt formatCode="General" sourceLinked="1"/>
        <c:tickLblPos val="nextTo"/>
        <c:crossAx val="49410432"/>
        <c:crosses val="autoZero"/>
        <c:crossBetween val="between"/>
      </c:valAx>
    </c:plotArea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CA"/>
  <c:chart>
    <c:title>
      <c:tx>
        <c:rich>
          <a:bodyPr/>
          <a:lstStyle/>
          <a:p>
            <a:pPr>
              <a:defRPr/>
            </a:pPr>
            <a:r>
              <a:rPr lang="en-CA"/>
              <a:t>X-Chart</a:t>
            </a:r>
          </a:p>
        </c:rich>
      </c:tx>
    </c:title>
    <c:plotArea>
      <c:layout/>
      <c:lineChart>
        <c:grouping val="standard"/>
        <c:ser>
          <c:idx val="0"/>
          <c:order val="0"/>
          <c:marker>
            <c:symbol val="none"/>
          </c:marker>
          <c:val>
            <c:numRef>
              <c:f>'Q2'!$H$2:$H$11</c:f>
              <c:numCache>
                <c:formatCode>General</c:formatCode>
                <c:ptCount val="10"/>
                <c:pt idx="0">
                  <c:v>84.566666666666663</c:v>
                </c:pt>
                <c:pt idx="1">
                  <c:v>84.850000000000009</c:v>
                </c:pt>
                <c:pt idx="2">
                  <c:v>84.75</c:v>
                </c:pt>
                <c:pt idx="3">
                  <c:v>84.716666666666697</c:v>
                </c:pt>
                <c:pt idx="4">
                  <c:v>85.166666666666671</c:v>
                </c:pt>
                <c:pt idx="5">
                  <c:v>85.399999999999991</c:v>
                </c:pt>
                <c:pt idx="6">
                  <c:v>84.666666666666671</c:v>
                </c:pt>
                <c:pt idx="7">
                  <c:v>85.183333333333266</c:v>
                </c:pt>
                <c:pt idx="8">
                  <c:v>85.866666666666674</c:v>
                </c:pt>
                <c:pt idx="9">
                  <c:v>84.90000000000002</c:v>
                </c:pt>
              </c:numCache>
            </c:numRef>
          </c:val>
        </c:ser>
        <c:ser>
          <c:idx val="1"/>
          <c:order val="1"/>
          <c:tx>
            <c:strRef>
              <c:f>'Q2'!$K$1</c:f>
              <c:strCache>
                <c:ptCount val="1"/>
                <c:pt idx="0">
                  <c:v>average</c:v>
                </c:pt>
              </c:strCache>
            </c:strRef>
          </c:tx>
          <c:marker>
            <c:symbol val="none"/>
          </c:marker>
          <c:val>
            <c:numRef>
              <c:f>'Q2'!$K$2:$K$11</c:f>
              <c:numCache>
                <c:formatCode>General</c:formatCode>
                <c:ptCount val="10"/>
                <c:pt idx="0">
                  <c:v>85</c:v>
                </c:pt>
                <c:pt idx="1">
                  <c:v>85</c:v>
                </c:pt>
                <c:pt idx="2">
                  <c:v>85</c:v>
                </c:pt>
                <c:pt idx="3">
                  <c:v>85</c:v>
                </c:pt>
                <c:pt idx="4">
                  <c:v>85</c:v>
                </c:pt>
                <c:pt idx="5">
                  <c:v>85</c:v>
                </c:pt>
                <c:pt idx="6">
                  <c:v>85</c:v>
                </c:pt>
                <c:pt idx="7">
                  <c:v>85</c:v>
                </c:pt>
                <c:pt idx="8">
                  <c:v>85</c:v>
                </c:pt>
                <c:pt idx="9">
                  <c:v>85</c:v>
                </c:pt>
              </c:numCache>
            </c:numRef>
          </c:val>
        </c:ser>
        <c:ser>
          <c:idx val="2"/>
          <c:order val="2"/>
          <c:tx>
            <c:strRef>
              <c:f>'Q2'!$L$1</c:f>
              <c:strCache>
                <c:ptCount val="1"/>
                <c:pt idx="0">
                  <c:v>UCL</c:v>
                </c:pt>
              </c:strCache>
            </c:strRef>
          </c:tx>
          <c:marker>
            <c:symbol val="none"/>
          </c:marker>
          <c:val>
            <c:numRef>
              <c:f>'Q2'!$L$2:$L$11</c:f>
              <c:numCache>
                <c:formatCode>General</c:formatCode>
                <c:ptCount val="10"/>
                <c:pt idx="0">
                  <c:v>86.32</c:v>
                </c:pt>
                <c:pt idx="1">
                  <c:v>86.32</c:v>
                </c:pt>
                <c:pt idx="2">
                  <c:v>86.32</c:v>
                </c:pt>
                <c:pt idx="3">
                  <c:v>86.32</c:v>
                </c:pt>
                <c:pt idx="4">
                  <c:v>86.32</c:v>
                </c:pt>
                <c:pt idx="5">
                  <c:v>86.32</c:v>
                </c:pt>
                <c:pt idx="6">
                  <c:v>86.32</c:v>
                </c:pt>
                <c:pt idx="7">
                  <c:v>86.32</c:v>
                </c:pt>
                <c:pt idx="8">
                  <c:v>86.32</c:v>
                </c:pt>
                <c:pt idx="9">
                  <c:v>86.32</c:v>
                </c:pt>
              </c:numCache>
            </c:numRef>
          </c:val>
        </c:ser>
        <c:ser>
          <c:idx val="3"/>
          <c:order val="3"/>
          <c:tx>
            <c:strRef>
              <c:f>'Q2'!$M$1</c:f>
              <c:strCache>
                <c:ptCount val="1"/>
                <c:pt idx="0">
                  <c:v>LCL</c:v>
                </c:pt>
              </c:strCache>
            </c:strRef>
          </c:tx>
          <c:marker>
            <c:symbol val="none"/>
          </c:marker>
          <c:val>
            <c:numRef>
              <c:f>'Q2'!$M$2:$M$11</c:f>
              <c:numCache>
                <c:formatCode>General</c:formatCode>
                <c:ptCount val="10"/>
                <c:pt idx="0">
                  <c:v>83.679999999999978</c:v>
                </c:pt>
                <c:pt idx="1">
                  <c:v>83.679999999999978</c:v>
                </c:pt>
                <c:pt idx="2">
                  <c:v>83.679999999999978</c:v>
                </c:pt>
                <c:pt idx="3">
                  <c:v>83.679999999999978</c:v>
                </c:pt>
                <c:pt idx="4">
                  <c:v>83.679999999999978</c:v>
                </c:pt>
                <c:pt idx="5">
                  <c:v>83.679999999999978</c:v>
                </c:pt>
                <c:pt idx="6">
                  <c:v>83.679999999999978</c:v>
                </c:pt>
                <c:pt idx="7">
                  <c:v>83.679999999999978</c:v>
                </c:pt>
                <c:pt idx="8">
                  <c:v>83.679999999999978</c:v>
                </c:pt>
                <c:pt idx="9">
                  <c:v>83.679999999999978</c:v>
                </c:pt>
              </c:numCache>
            </c:numRef>
          </c:val>
        </c:ser>
        <c:marker val="1"/>
        <c:axId val="51689728"/>
        <c:axId val="51888128"/>
      </c:lineChart>
      <c:catAx>
        <c:axId val="51689728"/>
        <c:scaling>
          <c:orientation val="minMax"/>
        </c:scaling>
        <c:axPos val="b"/>
        <c:tickLblPos val="nextTo"/>
        <c:crossAx val="51888128"/>
        <c:crosses val="autoZero"/>
        <c:auto val="1"/>
        <c:lblAlgn val="ctr"/>
        <c:lblOffset val="100"/>
      </c:catAx>
      <c:valAx>
        <c:axId val="51888128"/>
        <c:scaling>
          <c:orientation val="minMax"/>
        </c:scaling>
        <c:axPos val="l"/>
        <c:majorGridlines/>
        <c:numFmt formatCode="General" sourceLinked="1"/>
        <c:tickLblPos val="nextTo"/>
        <c:crossAx val="51689728"/>
        <c:crosses val="autoZero"/>
        <c:crossBetween val="between"/>
      </c:valAx>
    </c:plotArea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CA"/>
  <c:chart>
    <c:title>
      <c:tx>
        <c:rich>
          <a:bodyPr/>
          <a:lstStyle/>
          <a:p>
            <a:pPr>
              <a:defRPr/>
            </a:pPr>
            <a:r>
              <a:rPr lang="en-CA"/>
              <a:t>R-Chart</a:t>
            </a:r>
          </a:p>
        </c:rich>
      </c:tx>
    </c:title>
    <c:plotArea>
      <c:layout/>
      <c:lineChart>
        <c:grouping val="standard"/>
        <c:ser>
          <c:idx val="0"/>
          <c:order val="0"/>
          <c:marker>
            <c:symbol val="none"/>
          </c:marker>
          <c:val>
            <c:numRef>
              <c:f>'Q2'!$I$2:$I$11</c:f>
              <c:numCache>
                <c:formatCode>General</c:formatCode>
                <c:ptCount val="10"/>
                <c:pt idx="0">
                  <c:v>1.7000000000000028</c:v>
                </c:pt>
                <c:pt idx="1">
                  <c:v>3.5</c:v>
                </c:pt>
                <c:pt idx="2">
                  <c:v>3.0999999999999943</c:v>
                </c:pt>
                <c:pt idx="3">
                  <c:v>3.7000000000000042</c:v>
                </c:pt>
                <c:pt idx="4">
                  <c:v>3.3999999999999901</c:v>
                </c:pt>
                <c:pt idx="5">
                  <c:v>2.5999999999999943</c:v>
                </c:pt>
                <c:pt idx="6">
                  <c:v>2.7000000000000042</c:v>
                </c:pt>
                <c:pt idx="7">
                  <c:v>1.7000000000000028</c:v>
                </c:pt>
                <c:pt idx="8">
                  <c:v>1.799999999999996</c:v>
                </c:pt>
                <c:pt idx="9">
                  <c:v>3.2000000000000042</c:v>
                </c:pt>
              </c:numCache>
            </c:numRef>
          </c:val>
        </c:ser>
        <c:ser>
          <c:idx val="1"/>
          <c:order val="1"/>
          <c:tx>
            <c:strRef>
              <c:f>'Q2'!$N$1</c:f>
              <c:strCache>
                <c:ptCount val="1"/>
                <c:pt idx="0">
                  <c:v>R</c:v>
                </c:pt>
              </c:strCache>
            </c:strRef>
          </c:tx>
          <c:marker>
            <c:symbol val="none"/>
          </c:marker>
          <c:val>
            <c:numRef>
              <c:f>'Q2'!$N$2:$N$11</c:f>
              <c:numCache>
                <c:formatCode>General</c:formatCode>
                <c:ptCount val="10"/>
                <c:pt idx="0">
                  <c:v>2.74</c:v>
                </c:pt>
                <c:pt idx="1">
                  <c:v>2.74</c:v>
                </c:pt>
                <c:pt idx="2">
                  <c:v>2.74</c:v>
                </c:pt>
                <c:pt idx="3">
                  <c:v>2.74</c:v>
                </c:pt>
                <c:pt idx="4">
                  <c:v>2.74</c:v>
                </c:pt>
                <c:pt idx="5">
                  <c:v>2.74</c:v>
                </c:pt>
                <c:pt idx="6">
                  <c:v>2.74</c:v>
                </c:pt>
                <c:pt idx="7">
                  <c:v>2.74</c:v>
                </c:pt>
                <c:pt idx="8">
                  <c:v>2.74</c:v>
                </c:pt>
                <c:pt idx="9">
                  <c:v>2.74</c:v>
                </c:pt>
              </c:numCache>
            </c:numRef>
          </c:val>
        </c:ser>
        <c:ser>
          <c:idx val="2"/>
          <c:order val="2"/>
          <c:tx>
            <c:strRef>
              <c:f>'Q2'!$O$1</c:f>
              <c:strCache>
                <c:ptCount val="1"/>
                <c:pt idx="0">
                  <c:v>UCL</c:v>
                </c:pt>
              </c:strCache>
            </c:strRef>
          </c:tx>
          <c:marker>
            <c:symbol val="none"/>
          </c:marker>
          <c:val>
            <c:numRef>
              <c:f>'Q2'!$O$2:$O$11</c:f>
              <c:numCache>
                <c:formatCode>General</c:formatCode>
                <c:ptCount val="10"/>
                <c:pt idx="0">
                  <c:v>5.49</c:v>
                </c:pt>
                <c:pt idx="1">
                  <c:v>5.49</c:v>
                </c:pt>
                <c:pt idx="2">
                  <c:v>5.49</c:v>
                </c:pt>
                <c:pt idx="3">
                  <c:v>5.49</c:v>
                </c:pt>
                <c:pt idx="4">
                  <c:v>5.49</c:v>
                </c:pt>
                <c:pt idx="5">
                  <c:v>5.49</c:v>
                </c:pt>
                <c:pt idx="6">
                  <c:v>5.49</c:v>
                </c:pt>
                <c:pt idx="7">
                  <c:v>5.49</c:v>
                </c:pt>
                <c:pt idx="8">
                  <c:v>5.49</c:v>
                </c:pt>
                <c:pt idx="9">
                  <c:v>5.49</c:v>
                </c:pt>
              </c:numCache>
            </c:numRef>
          </c:val>
        </c:ser>
        <c:ser>
          <c:idx val="3"/>
          <c:order val="3"/>
          <c:tx>
            <c:strRef>
              <c:f>'Q2'!$P$1</c:f>
              <c:strCache>
                <c:ptCount val="1"/>
                <c:pt idx="0">
                  <c:v>LCL</c:v>
                </c:pt>
              </c:strCache>
            </c:strRef>
          </c:tx>
          <c:marker>
            <c:symbol val="none"/>
          </c:marker>
          <c:val>
            <c:numRef>
              <c:f>'Q2'!$P$2:$P$11</c:f>
              <c:numCache>
                <c:formatCode>General</c:formatCode>
                <c:ptCount val="10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</c:numCache>
            </c:numRef>
          </c:val>
        </c:ser>
        <c:marker val="1"/>
        <c:axId val="81389440"/>
        <c:axId val="81390976"/>
      </c:lineChart>
      <c:catAx>
        <c:axId val="81389440"/>
        <c:scaling>
          <c:orientation val="minMax"/>
        </c:scaling>
        <c:axPos val="b"/>
        <c:tickLblPos val="nextTo"/>
        <c:crossAx val="81390976"/>
        <c:crosses val="autoZero"/>
        <c:auto val="1"/>
        <c:lblAlgn val="ctr"/>
        <c:lblOffset val="100"/>
      </c:catAx>
      <c:valAx>
        <c:axId val="81390976"/>
        <c:scaling>
          <c:orientation val="minMax"/>
        </c:scaling>
        <c:axPos val="l"/>
        <c:majorGridlines/>
        <c:numFmt formatCode="General" sourceLinked="1"/>
        <c:tickLblPos val="nextTo"/>
        <c:crossAx val="81389440"/>
        <c:crosses val="autoZero"/>
        <c:crossBetween val="between"/>
      </c:valAx>
    </c:plotArea>
    <c:plotVisOnly val="1"/>
  </c:chart>
  <c:externalData r:id="rId1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358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Kenny</dc:creator>
  <cp:lastModifiedBy>Kenny</cp:lastModifiedBy>
  <cp:revision>4</cp:revision>
  <dcterms:created xsi:type="dcterms:W3CDTF">2012-12-05T04:04:00Z</dcterms:created>
  <dcterms:modified xsi:type="dcterms:W3CDTF">2012-12-05T15:49:00Z</dcterms:modified>
</cp:coreProperties>
</file>