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DC3" w:rsidRPr="00BA656F" w:rsidRDefault="001D19AC" w:rsidP="00332DC3">
      <w:pPr>
        <w:rPr>
          <w:rFonts w:ascii="Times New Roman" w:hAnsi="Times New Roman" w:cs="Times New Roman"/>
          <w:lang w:val="en-CA"/>
        </w:rPr>
      </w:pPr>
      <w:r>
        <w:rPr>
          <w:rFonts w:ascii="Times New Roman" w:hAnsi="Times New Roman" w:cs="Times New Roman"/>
          <w:lang w:val="en-CA"/>
        </w:rPr>
        <w:t>-</w:t>
      </w:r>
      <w:bookmarkStart w:id="0" w:name="_GoBack"/>
      <w:bookmarkEnd w:id="0"/>
    </w:p>
    <w:p w:rsidR="00332DC3" w:rsidRDefault="00332DC3" w:rsidP="00332DC3">
      <w:pPr>
        <w:rPr>
          <w:rFonts w:ascii="Times New Roman" w:hAnsi="Times New Roman" w:cs="Times New Roman"/>
          <w:lang w:val="en-CA"/>
        </w:rPr>
      </w:pPr>
    </w:p>
    <w:p w:rsidR="00332DC3" w:rsidRDefault="00332DC3" w:rsidP="00102042">
      <w:pPr>
        <w:rPr>
          <w:rFonts w:ascii="Times New Roman" w:hAnsi="Times New Roman" w:cs="Times New Roman"/>
          <w:lang w:val="en-CA"/>
        </w:rPr>
      </w:pPr>
      <w:r>
        <w:rPr>
          <w:rFonts w:ascii="Times New Roman" w:hAnsi="Times New Roman" w:cs="Times New Roman"/>
          <w:lang w:val="en-CA"/>
        </w:rPr>
        <w:t xml:space="preserve">Professor: </w:t>
      </w:r>
      <w:r w:rsidR="00102042">
        <w:rPr>
          <w:rFonts w:ascii="Times New Roman" w:hAnsi="Times New Roman" w:cs="Times New Roman"/>
          <w:lang w:val="en-CA"/>
        </w:rPr>
        <w:t>Atiq Rehman</w:t>
      </w:r>
    </w:p>
    <w:p w:rsidR="00B61445" w:rsidRDefault="00102042" w:rsidP="00332DC3">
      <w:pPr>
        <w:rPr>
          <w:rFonts w:ascii="Times New Roman" w:hAnsi="Times New Roman" w:cs="Times New Roman"/>
          <w:lang w:val="en-CA"/>
        </w:rPr>
      </w:pPr>
      <w:r>
        <w:rPr>
          <w:rFonts w:ascii="Times New Roman" w:hAnsi="Times New Roman" w:cs="Times New Roman"/>
          <w:lang w:val="en-CA"/>
        </w:rPr>
        <w:t>HSS2342</w:t>
      </w:r>
    </w:p>
    <w:p w:rsidR="00332DC3" w:rsidRDefault="00332DC3" w:rsidP="00332DC3">
      <w:pPr>
        <w:rPr>
          <w:rFonts w:ascii="Times New Roman" w:hAnsi="Times New Roman" w:cs="Times New Roman"/>
          <w:lang w:val="en-CA"/>
        </w:rPr>
      </w:pPr>
    </w:p>
    <w:p w:rsidR="00332DC3" w:rsidRDefault="00102042" w:rsidP="00332DC3">
      <w:pPr>
        <w:rPr>
          <w:rFonts w:ascii="Times New Roman" w:hAnsi="Times New Roman" w:cs="Times New Roman"/>
          <w:lang w:val="en-CA"/>
        </w:rPr>
      </w:pPr>
      <w:r>
        <w:rPr>
          <w:rFonts w:ascii="Times New Roman" w:hAnsi="Times New Roman" w:cs="Times New Roman"/>
          <w:lang w:val="en-CA"/>
        </w:rPr>
        <w:t>February 28, 2019</w:t>
      </w:r>
    </w:p>
    <w:p w:rsidR="00332DC3" w:rsidRDefault="00332DC3" w:rsidP="00332DC3">
      <w:pPr>
        <w:rPr>
          <w:rFonts w:ascii="Times New Roman" w:hAnsi="Times New Roman" w:cs="Times New Roman"/>
          <w:lang w:val="en-CA"/>
        </w:rPr>
      </w:pPr>
    </w:p>
    <w:p w:rsidR="00332DC3" w:rsidRPr="00102042" w:rsidRDefault="00332DC3" w:rsidP="00102042">
      <w:pPr>
        <w:jc w:val="center"/>
        <w:rPr>
          <w:rFonts w:ascii="Times New Roman" w:hAnsi="Times New Roman" w:cs="Times New Roman"/>
          <w:b/>
          <w:bCs/>
          <w:lang w:val="en-CA"/>
        </w:rPr>
      </w:pPr>
    </w:p>
    <w:p w:rsidR="00CE3EA3" w:rsidRDefault="00102042" w:rsidP="00102042">
      <w:pPr>
        <w:spacing w:line="480" w:lineRule="auto"/>
        <w:jc w:val="center"/>
        <w:rPr>
          <w:rFonts w:asciiTheme="majorBidi" w:hAnsiTheme="majorBidi" w:cstheme="majorBidi"/>
          <w:b/>
          <w:bCs/>
          <w:lang w:val="en-CA"/>
        </w:rPr>
      </w:pPr>
      <w:r w:rsidRPr="00102042">
        <w:rPr>
          <w:rFonts w:ascii="Times New Roman" w:hAnsi="Times New Roman" w:cs="Times New Roman"/>
          <w:b/>
          <w:bCs/>
          <w:lang w:val="en-CA"/>
        </w:rPr>
        <w:t>(MLA) Assignment 1: Health implication and claims of energy drinks</w:t>
      </w:r>
    </w:p>
    <w:p w:rsidR="00102042" w:rsidRPr="00CE3EA3" w:rsidRDefault="00102042" w:rsidP="00102042">
      <w:pPr>
        <w:spacing w:line="480" w:lineRule="auto"/>
        <w:jc w:val="center"/>
        <w:rPr>
          <w:rFonts w:asciiTheme="majorBidi" w:hAnsiTheme="majorBidi" w:cstheme="majorBidi"/>
          <w:b/>
          <w:bCs/>
          <w:lang w:val="en-CA"/>
        </w:rPr>
      </w:pPr>
    </w:p>
    <w:p w:rsidR="00C5721C" w:rsidRDefault="006570CE" w:rsidP="0081061A">
      <w:pPr>
        <w:spacing w:line="480" w:lineRule="auto"/>
        <w:ind w:firstLine="720"/>
        <w:rPr>
          <w:rFonts w:asciiTheme="majorBidi" w:hAnsiTheme="majorBidi" w:cstheme="majorBidi"/>
        </w:rPr>
      </w:pPr>
      <w:r>
        <w:rPr>
          <w:rFonts w:asciiTheme="majorBidi" w:hAnsiTheme="majorBidi" w:cstheme="majorBidi"/>
        </w:rPr>
        <w:t xml:space="preserve">Energy drinks are beverages </w:t>
      </w:r>
      <w:r w:rsidR="003F5B22">
        <w:rPr>
          <w:rFonts w:asciiTheme="majorBidi" w:hAnsiTheme="majorBidi" w:cstheme="majorBidi"/>
        </w:rPr>
        <w:t xml:space="preserve">that allegedly increase energy and enhance mental alertness, and are popular with teenagers and young adults (Torpy and Livingston 297). They are usually especially rich in caffeine. They may also contain other </w:t>
      </w:r>
      <w:r w:rsidR="00C37D94">
        <w:rPr>
          <w:rFonts w:asciiTheme="majorBidi" w:hAnsiTheme="majorBidi" w:cstheme="majorBidi"/>
        </w:rPr>
        <w:t>ingredients such as sugars, taurine, ginseng, B vitamins, glucuronolactate, yohimbe</w:t>
      </w:r>
      <w:r w:rsidR="002F6C03">
        <w:rPr>
          <w:rFonts w:asciiTheme="majorBidi" w:hAnsiTheme="majorBidi" w:cstheme="majorBidi"/>
        </w:rPr>
        <w:t xml:space="preserve"> and </w:t>
      </w:r>
      <w:r w:rsidR="00C37D94">
        <w:rPr>
          <w:rFonts w:asciiTheme="majorBidi" w:hAnsiTheme="majorBidi" w:cstheme="majorBidi"/>
        </w:rPr>
        <w:t>carnitine</w:t>
      </w:r>
      <w:r w:rsidR="002F6C03">
        <w:rPr>
          <w:rFonts w:asciiTheme="majorBidi" w:hAnsiTheme="majorBidi" w:cstheme="majorBidi"/>
        </w:rPr>
        <w:t xml:space="preserve"> (NCCIH). However, the contents and quantities of ingredients may slightly vary among brands. Energy drinks have been an issue since their rise in popularity and demand in 1999 (TMC)</w:t>
      </w:r>
      <w:r w:rsidR="005E20EB">
        <w:rPr>
          <w:rFonts w:asciiTheme="majorBidi" w:hAnsiTheme="majorBidi" w:cstheme="majorBidi"/>
        </w:rPr>
        <w:t>, especially due to the reason that health care workers and consumers alike mistakenly believe that energy drinks are benign. Energy drinks claim to have positive and beneficial health claims such as improved concentration</w:t>
      </w:r>
      <w:r w:rsidR="00304781">
        <w:rPr>
          <w:rFonts w:asciiTheme="majorBidi" w:hAnsiTheme="majorBidi" w:cstheme="majorBidi"/>
        </w:rPr>
        <w:t xml:space="preserve"> and energy levels</w:t>
      </w:r>
      <w:r w:rsidR="005E20EB">
        <w:rPr>
          <w:rFonts w:asciiTheme="majorBidi" w:hAnsiTheme="majorBidi" w:cstheme="majorBidi"/>
        </w:rPr>
        <w:t>, increased alertness,</w:t>
      </w:r>
      <w:r w:rsidR="001137C9">
        <w:rPr>
          <w:rFonts w:asciiTheme="majorBidi" w:hAnsiTheme="majorBidi" w:cstheme="majorBidi"/>
        </w:rPr>
        <w:t xml:space="preserve"> enhanced mood and</w:t>
      </w:r>
      <w:r w:rsidR="005E20EB">
        <w:rPr>
          <w:rFonts w:asciiTheme="majorBidi" w:hAnsiTheme="majorBidi" w:cstheme="majorBidi"/>
        </w:rPr>
        <w:t xml:space="preserve"> endurance </w:t>
      </w:r>
      <w:r w:rsidR="001137C9">
        <w:rPr>
          <w:rFonts w:asciiTheme="majorBidi" w:hAnsiTheme="majorBidi" w:cstheme="majorBidi"/>
        </w:rPr>
        <w:t xml:space="preserve">capacity </w:t>
      </w:r>
      <w:r w:rsidR="008A3D37">
        <w:rPr>
          <w:rFonts w:asciiTheme="majorBidi" w:hAnsiTheme="majorBidi" w:cstheme="majorBidi"/>
        </w:rPr>
        <w:t>(Salas &amp; Sim</w:t>
      </w:r>
      <w:r w:rsidR="008A3D37">
        <w:rPr>
          <w:rFonts w:asciiTheme="majorBidi" w:hAnsiTheme="majorBidi" w:cstheme="majorBidi"/>
          <w:lang w:val="en-CA"/>
        </w:rPr>
        <w:t>ō</w:t>
      </w:r>
      <w:r w:rsidR="008A3D37">
        <w:rPr>
          <w:rFonts w:asciiTheme="majorBidi" w:hAnsiTheme="majorBidi" w:cstheme="majorBidi"/>
        </w:rPr>
        <w:t>es 432). Not only are these claims false to a certain degree, but energy drinks also have problematic adverse effects such as toxicity</w:t>
      </w:r>
      <w:r w:rsidR="00A77AAF">
        <w:rPr>
          <w:rFonts w:asciiTheme="majorBidi" w:hAnsiTheme="majorBidi" w:cstheme="majorBidi"/>
        </w:rPr>
        <w:t>, heart disease, and even stroke</w:t>
      </w:r>
      <w:r w:rsidR="003766D8">
        <w:rPr>
          <w:rFonts w:asciiTheme="majorBidi" w:hAnsiTheme="majorBidi" w:cstheme="majorBidi"/>
        </w:rPr>
        <w:t xml:space="preserve"> (</w:t>
      </w:r>
      <w:proofErr w:type="spellStart"/>
      <w:r w:rsidR="003766D8">
        <w:rPr>
          <w:rFonts w:asciiTheme="majorBidi" w:hAnsiTheme="majorBidi" w:cstheme="majorBidi"/>
        </w:rPr>
        <w:t>Guilbeau</w:t>
      </w:r>
      <w:proofErr w:type="spellEnd"/>
      <w:r w:rsidR="003766D8">
        <w:rPr>
          <w:rFonts w:asciiTheme="majorBidi" w:hAnsiTheme="majorBidi" w:cstheme="majorBidi"/>
        </w:rPr>
        <w:t xml:space="preserve"> 424).</w:t>
      </w:r>
    </w:p>
    <w:p w:rsidR="00942E15" w:rsidRDefault="00304781" w:rsidP="00942E15">
      <w:pPr>
        <w:spacing w:line="480" w:lineRule="auto"/>
        <w:ind w:firstLine="720"/>
        <w:rPr>
          <w:rFonts w:asciiTheme="majorBidi" w:hAnsiTheme="majorBidi" w:cstheme="majorBidi"/>
        </w:rPr>
      </w:pPr>
      <w:r>
        <w:rPr>
          <w:rFonts w:asciiTheme="majorBidi" w:hAnsiTheme="majorBidi" w:cstheme="majorBidi"/>
        </w:rPr>
        <w:t>The high caff</w:t>
      </w:r>
      <w:r w:rsidRPr="00304781">
        <w:rPr>
          <w:rFonts w:asciiTheme="majorBidi" w:hAnsiTheme="majorBidi" w:cstheme="majorBidi"/>
        </w:rPr>
        <w:t>eine</w:t>
      </w:r>
      <w:r>
        <w:rPr>
          <w:rFonts w:asciiTheme="majorBidi" w:hAnsiTheme="majorBidi" w:cstheme="majorBidi"/>
        </w:rPr>
        <w:t xml:space="preserve"> content</w:t>
      </w:r>
      <w:r w:rsidRPr="00304781">
        <w:rPr>
          <w:rFonts w:asciiTheme="majorBidi" w:hAnsiTheme="majorBidi" w:cstheme="majorBidi"/>
        </w:rPr>
        <w:t xml:space="preserve"> is metabolized by the liver and converted to theobromine and t</w:t>
      </w:r>
      <w:r>
        <w:rPr>
          <w:rFonts w:asciiTheme="majorBidi" w:hAnsiTheme="majorBidi" w:cstheme="majorBidi"/>
        </w:rPr>
        <w:t>heophylline (Adams &amp; Urban 107). At the cellular level, caff</w:t>
      </w:r>
      <w:r w:rsidRPr="00304781">
        <w:rPr>
          <w:rFonts w:asciiTheme="majorBidi" w:hAnsiTheme="majorBidi" w:cstheme="majorBidi"/>
        </w:rPr>
        <w:t>eine increases intracellular calcium and relea</w:t>
      </w:r>
      <w:r>
        <w:rPr>
          <w:rFonts w:asciiTheme="majorBidi" w:hAnsiTheme="majorBidi" w:cstheme="majorBidi"/>
        </w:rPr>
        <w:t>ses noradrenaline. This verifies the health claim that energy drinks increase mental alertness</w:t>
      </w:r>
      <w:r w:rsidR="0081061A">
        <w:rPr>
          <w:rFonts w:asciiTheme="majorBidi" w:hAnsiTheme="majorBidi" w:cstheme="majorBidi"/>
        </w:rPr>
        <w:t xml:space="preserve"> and endurance capacity</w:t>
      </w:r>
      <w:r>
        <w:rPr>
          <w:rFonts w:asciiTheme="majorBidi" w:hAnsiTheme="majorBidi" w:cstheme="majorBidi"/>
        </w:rPr>
        <w:t xml:space="preserve"> since one of the main effects of the neurotransmitter noradrenaline is increased</w:t>
      </w:r>
      <w:r w:rsidR="0081061A">
        <w:rPr>
          <w:rFonts w:asciiTheme="majorBidi" w:hAnsiTheme="majorBidi" w:cstheme="majorBidi"/>
        </w:rPr>
        <w:t xml:space="preserve"> endurance,</w:t>
      </w:r>
      <w:r>
        <w:rPr>
          <w:rFonts w:asciiTheme="majorBidi" w:hAnsiTheme="majorBidi" w:cstheme="majorBidi"/>
        </w:rPr>
        <w:t xml:space="preserve"> alertness</w:t>
      </w:r>
      <w:r w:rsidR="004D29EC">
        <w:rPr>
          <w:rFonts w:asciiTheme="majorBidi" w:hAnsiTheme="majorBidi" w:cstheme="majorBidi"/>
        </w:rPr>
        <w:t xml:space="preserve"> and concentration</w:t>
      </w:r>
      <w:r>
        <w:rPr>
          <w:rFonts w:asciiTheme="majorBidi" w:hAnsiTheme="majorBidi" w:cstheme="majorBidi"/>
        </w:rPr>
        <w:t xml:space="preserve"> due to vasodilation and higher blood pressure among other effects (Net</w:t>
      </w:r>
      <w:r w:rsidR="004D29EC">
        <w:rPr>
          <w:rFonts w:asciiTheme="majorBidi" w:hAnsiTheme="majorBidi" w:cstheme="majorBidi"/>
        </w:rPr>
        <w:t xml:space="preserve"> </w:t>
      </w:r>
      <w:r>
        <w:rPr>
          <w:rFonts w:asciiTheme="majorBidi" w:hAnsiTheme="majorBidi" w:cstheme="majorBidi"/>
        </w:rPr>
        <w:t>Doctor).</w:t>
      </w:r>
      <w:r w:rsidR="004D29EC">
        <w:rPr>
          <w:rFonts w:asciiTheme="majorBidi" w:hAnsiTheme="majorBidi" w:cstheme="majorBidi"/>
        </w:rPr>
        <w:t xml:space="preserve"> This </w:t>
      </w:r>
      <w:r w:rsidR="0081061A">
        <w:rPr>
          <w:rFonts w:asciiTheme="majorBidi" w:hAnsiTheme="majorBidi" w:cstheme="majorBidi"/>
        </w:rPr>
        <w:t>chemical cascade</w:t>
      </w:r>
      <w:r w:rsidR="004D29EC">
        <w:rPr>
          <w:rFonts w:asciiTheme="majorBidi" w:hAnsiTheme="majorBidi" w:cstheme="majorBidi"/>
        </w:rPr>
        <w:t xml:space="preserve"> also includes the </w:t>
      </w:r>
      <w:r w:rsidR="004D29EC">
        <w:rPr>
          <w:rFonts w:asciiTheme="majorBidi" w:hAnsiTheme="majorBidi" w:cstheme="majorBidi"/>
        </w:rPr>
        <w:lastRenderedPageBreak/>
        <w:t>intensifying of</w:t>
      </w:r>
      <w:r w:rsidRPr="00304781">
        <w:rPr>
          <w:rFonts w:asciiTheme="majorBidi" w:hAnsiTheme="majorBidi" w:cstheme="majorBidi"/>
        </w:rPr>
        <w:t xml:space="preserve"> dopamine receptors with stimulation of the cardiovascular system as well as the brain’s respiratory and vasomotor centers</w:t>
      </w:r>
      <w:r>
        <w:rPr>
          <w:rFonts w:asciiTheme="majorBidi" w:hAnsiTheme="majorBidi" w:cstheme="majorBidi"/>
        </w:rPr>
        <w:t xml:space="preserve"> (Adams &amp; Urban 107)</w:t>
      </w:r>
      <w:r w:rsidRPr="00304781">
        <w:rPr>
          <w:rFonts w:asciiTheme="majorBidi" w:hAnsiTheme="majorBidi" w:cstheme="majorBidi"/>
        </w:rPr>
        <w:t>.</w:t>
      </w:r>
      <w:r w:rsidR="004D29EC">
        <w:rPr>
          <w:rFonts w:asciiTheme="majorBidi" w:hAnsiTheme="majorBidi" w:cstheme="majorBidi"/>
        </w:rPr>
        <w:t xml:space="preserve"> While it is true that dopamine may cause an elevated mood, it is important to factor in that too much dopamine uptake, stimulated by caffeine, can cause a subsequent depressive phase, similar to that of dopamine releasing “party” drugs such as MDMA (</w:t>
      </w:r>
      <w:proofErr w:type="spellStart"/>
      <w:r w:rsidR="004D29EC">
        <w:rPr>
          <w:rFonts w:asciiTheme="majorBidi" w:hAnsiTheme="majorBidi" w:cstheme="majorBidi"/>
        </w:rPr>
        <w:t>Vanattou</w:t>
      </w:r>
      <w:proofErr w:type="spellEnd"/>
      <w:r w:rsidR="004D29EC">
        <w:rPr>
          <w:rFonts w:asciiTheme="majorBidi" w:hAnsiTheme="majorBidi" w:cstheme="majorBidi"/>
        </w:rPr>
        <w:t xml:space="preserve"> et. Al 220). This is ultimately destructive and only contributes to the deterioration of the consumer’s mental health. Energy drinks’ claims of boosted </w:t>
      </w:r>
      <w:r w:rsidR="001137C9">
        <w:rPr>
          <w:rFonts w:asciiTheme="majorBidi" w:hAnsiTheme="majorBidi" w:cstheme="majorBidi"/>
        </w:rPr>
        <w:t xml:space="preserve">energy also appear to be false and non-beneficial. While it is true that ingredients such as caffeine and guarana may heighten alertness due to the chemical </w:t>
      </w:r>
      <w:r w:rsidR="0081061A">
        <w:rPr>
          <w:rFonts w:asciiTheme="majorBidi" w:hAnsiTheme="majorBidi" w:cstheme="majorBidi"/>
        </w:rPr>
        <w:t>processes</w:t>
      </w:r>
      <w:r w:rsidR="001137C9">
        <w:rPr>
          <w:rFonts w:asciiTheme="majorBidi" w:hAnsiTheme="majorBidi" w:cstheme="majorBidi"/>
        </w:rPr>
        <w:t xml:space="preserve"> explained above and</w:t>
      </w:r>
      <w:r w:rsidR="0081061A">
        <w:rPr>
          <w:rFonts w:asciiTheme="majorBidi" w:hAnsiTheme="majorBidi" w:cstheme="majorBidi"/>
        </w:rPr>
        <w:t xml:space="preserve"> their</w:t>
      </w:r>
      <w:r w:rsidR="001137C9">
        <w:rPr>
          <w:rFonts w:asciiTheme="majorBidi" w:hAnsiTheme="majorBidi" w:cstheme="majorBidi"/>
        </w:rPr>
        <w:t xml:space="preserve"> subsequent physiological effects, real “energy” is only retrieved from calories. Therefore, the experienced heightened alertness and concentration does not give you actual usable energy (White).</w:t>
      </w:r>
    </w:p>
    <w:p w:rsidR="00942E15" w:rsidRDefault="00942E15" w:rsidP="008A10F2">
      <w:pPr>
        <w:spacing w:line="480" w:lineRule="auto"/>
        <w:ind w:firstLine="720"/>
        <w:rPr>
          <w:rFonts w:asciiTheme="majorBidi" w:hAnsiTheme="majorBidi" w:cstheme="majorBidi"/>
          <w:color w:val="2D2D2D"/>
          <w:shd w:val="clear" w:color="auto" w:fill="FFFFFF"/>
        </w:rPr>
      </w:pPr>
      <w:r>
        <w:rPr>
          <w:rFonts w:asciiTheme="majorBidi" w:hAnsiTheme="majorBidi" w:cstheme="majorBidi"/>
        </w:rPr>
        <w:t>Energy drinks can cause toxicity and acute hepatitis due to its high content of Niacin. Energy drinks such as Red Bull contain 200%</w:t>
      </w:r>
      <w:r w:rsidR="00904E0D">
        <w:rPr>
          <w:rFonts w:asciiTheme="majorBidi" w:hAnsiTheme="majorBidi" w:cstheme="majorBidi"/>
        </w:rPr>
        <w:t xml:space="preserve"> (30 mg)</w:t>
      </w:r>
      <w:r>
        <w:rPr>
          <w:rFonts w:asciiTheme="majorBidi" w:hAnsiTheme="majorBidi" w:cstheme="majorBidi"/>
        </w:rPr>
        <w:t xml:space="preserve"> the daily value of Niacin</w:t>
      </w:r>
      <w:r w:rsidR="00904E0D">
        <w:rPr>
          <w:rFonts w:asciiTheme="majorBidi" w:hAnsiTheme="majorBidi" w:cstheme="majorBidi"/>
        </w:rPr>
        <w:t>, which is roughly 12 mg a day</w:t>
      </w:r>
      <w:r>
        <w:rPr>
          <w:rFonts w:asciiTheme="majorBidi" w:hAnsiTheme="majorBidi" w:cstheme="majorBidi"/>
        </w:rPr>
        <w:t xml:space="preserve"> (U14PP).</w:t>
      </w:r>
      <w:r w:rsidR="00904E0D">
        <w:rPr>
          <w:rFonts w:asciiTheme="majorBidi" w:hAnsiTheme="majorBidi" w:cstheme="majorBidi"/>
        </w:rPr>
        <w:t xml:space="preserve"> This can cause major hepatic side effects and lead to jaundice and acute hepatitis (</w:t>
      </w:r>
      <w:proofErr w:type="spellStart"/>
      <w:r w:rsidR="00904E0D">
        <w:rPr>
          <w:rFonts w:asciiTheme="majorBidi" w:hAnsiTheme="majorBidi" w:cstheme="majorBidi"/>
        </w:rPr>
        <w:t>Wolk</w:t>
      </w:r>
      <w:proofErr w:type="spellEnd"/>
      <w:r w:rsidR="00904E0D">
        <w:rPr>
          <w:rFonts w:asciiTheme="majorBidi" w:hAnsiTheme="majorBidi" w:cstheme="majorBidi"/>
        </w:rPr>
        <w:t xml:space="preserve"> 243). This influx of niacin through the body can also have devastating renal effects and can even lead to </w:t>
      </w:r>
      <w:r w:rsidR="00904E0D" w:rsidRPr="00904E0D">
        <w:rPr>
          <w:rFonts w:asciiTheme="majorBidi" w:hAnsiTheme="majorBidi" w:cstheme="majorBidi"/>
          <w:color w:val="2D2D2D"/>
          <w:shd w:val="clear" w:color="auto" w:fill="FFFFFF"/>
        </w:rPr>
        <w:t>acute tubular necrosis</w:t>
      </w:r>
      <w:r w:rsidR="00904E0D">
        <w:rPr>
          <w:rFonts w:asciiTheme="majorBidi" w:hAnsiTheme="majorBidi" w:cstheme="majorBidi"/>
          <w:color w:val="2D2D2D"/>
          <w:shd w:val="clear" w:color="auto" w:fill="FFFFFF"/>
        </w:rPr>
        <w:t xml:space="preserve"> (</w:t>
      </w:r>
      <w:proofErr w:type="spellStart"/>
      <w:r w:rsidR="00904E0D">
        <w:rPr>
          <w:rFonts w:asciiTheme="majorBidi" w:hAnsiTheme="majorBidi" w:cstheme="majorBidi"/>
          <w:color w:val="2D2D2D"/>
          <w:shd w:val="clear" w:color="auto" w:fill="FFFFFF"/>
        </w:rPr>
        <w:t>Wolk</w:t>
      </w:r>
      <w:proofErr w:type="spellEnd"/>
      <w:r w:rsidR="00904E0D">
        <w:rPr>
          <w:rFonts w:asciiTheme="majorBidi" w:hAnsiTheme="majorBidi" w:cstheme="majorBidi"/>
          <w:color w:val="2D2D2D"/>
          <w:shd w:val="clear" w:color="auto" w:fill="FFFFFF"/>
        </w:rPr>
        <w:t xml:space="preserve"> 243).</w:t>
      </w:r>
      <w:r w:rsidR="008A10F2">
        <w:rPr>
          <w:rFonts w:asciiTheme="majorBidi" w:hAnsiTheme="majorBidi" w:cstheme="majorBidi"/>
          <w:color w:val="2D2D2D"/>
          <w:shd w:val="clear" w:color="auto" w:fill="FFFFFF"/>
        </w:rPr>
        <w:t xml:space="preserve"> There are also many recorded cases of energy drinks’ physiological effects causing atrial fibrillation and hypoxia related issues such as heart attack and stroke. The constant unnatural readjustment of your heart rate and blood pressure due to energy drinks’ physiological effects can cause an imbalance in your hearts rhythmic beating and therefore lead to atrial fibrillation (The American Journal of Nursing 21). The variable changes in blood pressure may also trigger brain or heart hypoxia due to the dislodging and immobilization of built up plaque in blood vessels. Obese people are especially vulnerable to this (The American Journal of Nursing 21)</w:t>
      </w:r>
    </w:p>
    <w:p w:rsidR="008A10F2" w:rsidRPr="00304781" w:rsidRDefault="008A10F2" w:rsidP="008A10F2">
      <w:pPr>
        <w:spacing w:line="480" w:lineRule="auto"/>
        <w:ind w:firstLine="720"/>
        <w:rPr>
          <w:rFonts w:asciiTheme="majorBidi" w:hAnsiTheme="majorBidi" w:cstheme="majorBidi"/>
        </w:rPr>
      </w:pPr>
      <w:r>
        <w:rPr>
          <w:rFonts w:asciiTheme="majorBidi" w:hAnsiTheme="majorBidi" w:cstheme="majorBidi"/>
          <w:color w:val="2D2D2D"/>
          <w:shd w:val="clear" w:color="auto" w:fill="FFFFFF"/>
        </w:rPr>
        <w:lastRenderedPageBreak/>
        <w:t xml:space="preserve">Overall, I would advise Phil to not rely on energy drinks for </w:t>
      </w:r>
      <w:r w:rsidR="00410948">
        <w:rPr>
          <w:rFonts w:asciiTheme="majorBidi" w:hAnsiTheme="majorBidi" w:cstheme="majorBidi"/>
          <w:color w:val="2D2D2D"/>
          <w:shd w:val="clear" w:color="auto" w:fill="FFFFFF"/>
        </w:rPr>
        <w:t>alertness and for his success in university, since as demonstrated above, energy drinks’ adverse effects far outweigh its benefits. Most health claims made by energy drink companies are simply a product of clever marketing skills and it is up to us to do our due diligence regarding those claims since not only are they false, but the underlying effects of the ingredients in energy drinks can have devastating effects on our physical and mental health over a long period of time.</w:t>
      </w:r>
    </w:p>
    <w:p w:rsidR="003F5B22" w:rsidRDefault="003F5B22" w:rsidP="00B61445">
      <w:pPr>
        <w:spacing w:line="480" w:lineRule="auto"/>
        <w:ind w:firstLine="720"/>
        <w:rPr>
          <w:rFonts w:asciiTheme="majorBidi" w:hAnsiTheme="majorBidi" w:cstheme="majorBidi"/>
        </w:rPr>
      </w:pPr>
    </w:p>
    <w:p w:rsidR="003F5B22" w:rsidRDefault="003F5B22" w:rsidP="00B61445">
      <w:pPr>
        <w:spacing w:line="480" w:lineRule="auto"/>
        <w:ind w:firstLine="720"/>
        <w:rPr>
          <w:rFonts w:asciiTheme="majorBidi" w:hAnsiTheme="majorBidi" w:cstheme="majorBidi"/>
        </w:rPr>
      </w:pPr>
    </w:p>
    <w:p w:rsidR="003F5B22" w:rsidRDefault="003F5B22" w:rsidP="00B61445">
      <w:pPr>
        <w:spacing w:line="480" w:lineRule="auto"/>
        <w:ind w:firstLine="720"/>
        <w:rPr>
          <w:rFonts w:asciiTheme="majorBidi" w:hAnsiTheme="majorBidi" w:cstheme="majorBidi"/>
        </w:rPr>
      </w:pPr>
    </w:p>
    <w:p w:rsidR="003F5B22" w:rsidRDefault="003F5B22" w:rsidP="00B61445">
      <w:pPr>
        <w:spacing w:line="480" w:lineRule="auto"/>
        <w:ind w:firstLine="720"/>
        <w:rPr>
          <w:rFonts w:asciiTheme="majorBidi" w:hAnsiTheme="majorBidi" w:cstheme="majorBidi"/>
        </w:rPr>
      </w:pPr>
    </w:p>
    <w:p w:rsidR="003F5B22" w:rsidRDefault="003F5B22" w:rsidP="00B61445">
      <w:pPr>
        <w:spacing w:line="480" w:lineRule="auto"/>
        <w:ind w:firstLine="720"/>
        <w:rPr>
          <w:rFonts w:asciiTheme="majorBidi" w:hAnsiTheme="majorBidi" w:cstheme="majorBidi"/>
        </w:rPr>
      </w:pPr>
    </w:p>
    <w:p w:rsidR="003F5B22" w:rsidRDefault="003F5B22" w:rsidP="00B61445">
      <w:pPr>
        <w:spacing w:line="480" w:lineRule="auto"/>
        <w:ind w:firstLine="720"/>
        <w:rPr>
          <w:rFonts w:asciiTheme="majorBidi" w:hAnsiTheme="majorBidi" w:cstheme="majorBidi"/>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410948" w:rsidRDefault="00410948" w:rsidP="001E51B4">
      <w:pPr>
        <w:spacing w:line="480" w:lineRule="auto"/>
        <w:rPr>
          <w:rFonts w:asciiTheme="majorBidi" w:hAnsiTheme="majorBidi" w:cstheme="majorBidi"/>
          <w:b/>
          <w:bCs/>
          <w:color w:val="3E3E3E"/>
        </w:rPr>
      </w:pPr>
    </w:p>
    <w:p w:rsidR="001E51B4" w:rsidRPr="00410948" w:rsidRDefault="00B61445" w:rsidP="001E51B4">
      <w:pPr>
        <w:spacing w:line="480" w:lineRule="auto"/>
        <w:rPr>
          <w:rFonts w:asciiTheme="majorBidi" w:hAnsiTheme="majorBidi" w:cstheme="majorBidi"/>
        </w:rPr>
      </w:pPr>
      <w:r w:rsidRPr="00410948">
        <w:rPr>
          <w:rFonts w:asciiTheme="majorBidi" w:hAnsiTheme="majorBidi" w:cstheme="majorBidi"/>
        </w:rPr>
        <w:lastRenderedPageBreak/>
        <w:t>Works Cited</w:t>
      </w:r>
    </w:p>
    <w:p w:rsidR="00410948" w:rsidRDefault="00410948" w:rsidP="00410948">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 xml:space="preserve">Adams, M and C Urban. connections to nursing practice (2nd </w:t>
      </w:r>
      <w:proofErr w:type="spellStart"/>
      <w:r w:rsidRPr="00410948">
        <w:rPr>
          <w:rFonts w:asciiTheme="majorBidi" w:hAnsiTheme="majorBidi" w:cstheme="majorBidi"/>
          <w:shd w:val="clear" w:color="auto" w:fill="FFFFFF"/>
        </w:rPr>
        <w:t>ed</w:t>
      </w:r>
      <w:proofErr w:type="spellEnd"/>
      <w:r w:rsidRPr="00410948">
        <w:rPr>
          <w:rFonts w:asciiTheme="majorBidi" w:hAnsiTheme="majorBidi" w:cstheme="majorBidi"/>
          <w:shd w:val="clear" w:color="auto" w:fill="FFFFFF"/>
        </w:rPr>
        <w:t xml:space="preserve">). </w:t>
      </w:r>
      <w:proofErr w:type="spellStart"/>
      <w:r w:rsidRPr="00410948">
        <w:rPr>
          <w:rFonts w:asciiTheme="majorBidi" w:hAnsiTheme="majorBidi" w:cstheme="majorBidi"/>
          <w:shd w:val="clear" w:color="auto" w:fill="FFFFFF"/>
        </w:rPr>
        <w:t>n.p</w:t>
      </w:r>
      <w:proofErr w:type="spellEnd"/>
      <w:r w:rsidRPr="00410948">
        <w:rPr>
          <w:rFonts w:asciiTheme="majorBidi" w:hAnsiTheme="majorBidi" w:cstheme="majorBidi"/>
          <w:shd w:val="clear" w:color="auto" w:fill="FFFFFF"/>
        </w:rPr>
        <w:t>.: Pearson, Chap. 8, 2012, p. 107</w:t>
      </w:r>
    </w:p>
    <w:p w:rsidR="002F6C03" w:rsidRPr="00410948" w:rsidRDefault="00410948" w:rsidP="00304781">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 xml:space="preserve"> </w:t>
      </w:r>
      <w:r w:rsidR="002F6C03" w:rsidRPr="00410948">
        <w:rPr>
          <w:rFonts w:asciiTheme="majorBidi" w:hAnsiTheme="majorBidi" w:cstheme="majorBidi"/>
          <w:shd w:val="clear" w:color="auto" w:fill="FFFFFF"/>
        </w:rPr>
        <w:t>“Energy Drinks.” </w:t>
      </w:r>
      <w:r w:rsidR="002F6C03" w:rsidRPr="00410948">
        <w:rPr>
          <w:rFonts w:asciiTheme="majorBidi" w:hAnsiTheme="majorBidi" w:cstheme="majorBidi"/>
          <w:i/>
          <w:iCs/>
        </w:rPr>
        <w:t>National Center for Complementary and Integrative Health (NCCIH)</w:t>
      </w:r>
      <w:r w:rsidR="002F6C03" w:rsidRPr="00410948">
        <w:rPr>
          <w:rFonts w:asciiTheme="majorBidi" w:hAnsiTheme="majorBidi" w:cstheme="majorBidi"/>
          <w:shd w:val="clear" w:color="auto" w:fill="FFFFFF"/>
        </w:rPr>
        <w:t>, U.S. Department of Health and Human Services, 26 July 2018, nccih.nih.gov/health/energy-drinks.</w:t>
      </w:r>
    </w:p>
    <w:p w:rsidR="00410948" w:rsidRPr="00410948" w:rsidRDefault="00410948" w:rsidP="00410948">
      <w:pPr>
        <w:spacing w:line="480" w:lineRule="auto"/>
        <w:rPr>
          <w:color w:val="333333"/>
          <w:shd w:val="clear" w:color="auto" w:fill="FFFFFF"/>
        </w:rPr>
      </w:pPr>
      <w:r>
        <w:rPr>
          <w:color w:val="333333"/>
          <w:shd w:val="clear" w:color="auto" w:fill="FFFFFF"/>
        </w:rPr>
        <w:t>“Energy Drink Ingredients.” </w:t>
      </w:r>
      <w:r>
        <w:rPr>
          <w:i/>
          <w:iCs/>
          <w:color w:val="333333"/>
        </w:rPr>
        <w:t>Unit 14 Print Production</w:t>
      </w:r>
      <w:r>
        <w:rPr>
          <w:color w:val="333333"/>
          <w:shd w:val="clear" w:color="auto" w:fill="FFFFFF"/>
        </w:rPr>
        <w:t>, bigrossgetcrunk.blogspot.com/2012/09/energy-drink-ingredients.html.</w:t>
      </w:r>
    </w:p>
    <w:p w:rsidR="005E20EB" w:rsidRDefault="002F6C03" w:rsidP="00304781">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“Energy Drinks: Health Risks Behind the Boost.” </w:t>
      </w:r>
      <w:r w:rsidRPr="00410948">
        <w:rPr>
          <w:rFonts w:asciiTheme="majorBidi" w:hAnsiTheme="majorBidi" w:cstheme="majorBidi"/>
          <w:i/>
          <w:iCs/>
        </w:rPr>
        <w:t>TMC News</w:t>
      </w:r>
      <w:r w:rsidRPr="00410948">
        <w:rPr>
          <w:rFonts w:asciiTheme="majorBidi" w:hAnsiTheme="majorBidi" w:cstheme="majorBidi"/>
          <w:shd w:val="clear" w:color="auto" w:fill="FFFFFF"/>
        </w:rPr>
        <w:t xml:space="preserve">, 3 Apr. 2018, </w:t>
      </w:r>
      <w:hyperlink r:id="rId7" w:history="1">
        <w:r w:rsidR="005E20EB" w:rsidRPr="00410948">
          <w:rPr>
            <w:rStyle w:val="Hyperlink"/>
            <w:rFonts w:asciiTheme="majorBidi" w:hAnsiTheme="majorBidi" w:cstheme="majorBidi"/>
            <w:color w:val="auto"/>
            <w:shd w:val="clear" w:color="auto" w:fill="FFFFFF"/>
          </w:rPr>
          <w:t>www.tmc.edu/news/2018/04/energy-drinks-health-risks-behind-the-boost/</w:t>
        </w:r>
      </w:hyperlink>
      <w:r w:rsidRPr="00410948">
        <w:rPr>
          <w:rFonts w:asciiTheme="majorBidi" w:hAnsiTheme="majorBidi" w:cstheme="majorBidi"/>
          <w:shd w:val="clear" w:color="auto" w:fill="FFFFFF"/>
        </w:rPr>
        <w:t>.</w:t>
      </w:r>
    </w:p>
    <w:p w:rsidR="00410948" w:rsidRDefault="00410948" w:rsidP="00410948">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Guilbeau, Janis R. “Health Risks of Energy Drinks: What Nurses and Consumers Need to Know.” </w:t>
      </w:r>
      <w:r w:rsidRPr="00410948">
        <w:rPr>
          <w:rFonts w:asciiTheme="majorBidi" w:hAnsiTheme="majorBidi" w:cstheme="majorBidi"/>
          <w:i/>
          <w:iCs/>
          <w:shd w:val="clear" w:color="auto" w:fill="FFFFFF"/>
        </w:rPr>
        <w:t>Nursing for Women’s Health</w:t>
      </w:r>
      <w:r w:rsidRPr="00410948">
        <w:rPr>
          <w:rFonts w:asciiTheme="majorBidi" w:hAnsiTheme="majorBidi" w:cstheme="majorBidi"/>
          <w:shd w:val="clear" w:color="auto" w:fill="FFFFFF"/>
        </w:rPr>
        <w:t>, vol. 16, no. 5, 2012, pp. 424</w:t>
      </w:r>
    </w:p>
    <w:p w:rsidR="00410948" w:rsidRPr="00410948" w:rsidRDefault="00410948" w:rsidP="00410948">
      <w:pPr>
        <w:spacing w:line="480" w:lineRule="auto"/>
        <w:rPr>
          <w:color w:val="333333"/>
          <w:shd w:val="clear" w:color="auto" w:fill="FFFFFF"/>
        </w:rPr>
      </w:pPr>
      <w:r w:rsidRPr="00410948">
        <w:rPr>
          <w:rFonts w:asciiTheme="majorBidi" w:hAnsiTheme="majorBidi" w:cstheme="majorBidi"/>
          <w:i/>
          <w:iCs/>
        </w:rPr>
        <w:t>Network</w:t>
      </w:r>
      <w:r w:rsidRPr="00410948">
        <w:rPr>
          <w:rFonts w:asciiTheme="majorBidi" w:hAnsiTheme="majorBidi" w:cstheme="majorBidi"/>
          <w:shd w:val="clear" w:color="auto" w:fill="FFFFFF"/>
        </w:rPr>
        <w:t xml:space="preserve">, Food Network, 24 Sept. 2012, </w:t>
      </w:r>
      <w:hyperlink r:id="rId8" w:history="1">
        <w:r w:rsidRPr="00410948">
          <w:rPr>
            <w:rStyle w:val="Hyperlink"/>
            <w:rFonts w:asciiTheme="majorBidi" w:hAnsiTheme="majorBidi" w:cstheme="majorBidi"/>
            <w:color w:val="auto"/>
            <w:shd w:val="clear" w:color="auto" w:fill="FFFFFF"/>
          </w:rPr>
          <w:t>www.foodnetwork.com/healthyeats/2012/09/nutrition-news-investigating-health-claims-on-energy-drinks</w:t>
        </w:r>
      </w:hyperlink>
      <w:r>
        <w:rPr>
          <w:color w:val="333333"/>
          <w:shd w:val="clear" w:color="auto" w:fill="FFFFFF"/>
        </w:rPr>
        <w:t>.</w:t>
      </w:r>
    </w:p>
    <w:p w:rsidR="00410948" w:rsidRDefault="00410948" w:rsidP="00410948">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“Noradrenaline (Norepinephrine).” </w:t>
      </w:r>
      <w:proofErr w:type="spellStart"/>
      <w:r w:rsidRPr="00410948">
        <w:rPr>
          <w:rFonts w:asciiTheme="majorBidi" w:hAnsiTheme="majorBidi" w:cstheme="majorBidi"/>
          <w:i/>
          <w:iCs/>
        </w:rPr>
        <w:t>Netdoctor</w:t>
      </w:r>
      <w:proofErr w:type="spellEnd"/>
      <w:r w:rsidRPr="00410948">
        <w:rPr>
          <w:rFonts w:asciiTheme="majorBidi" w:hAnsiTheme="majorBidi" w:cstheme="majorBidi"/>
          <w:shd w:val="clear" w:color="auto" w:fill="FFFFFF"/>
        </w:rPr>
        <w:t xml:space="preserve">, </w:t>
      </w:r>
      <w:proofErr w:type="spellStart"/>
      <w:r w:rsidRPr="00410948">
        <w:rPr>
          <w:rFonts w:asciiTheme="majorBidi" w:hAnsiTheme="majorBidi" w:cstheme="majorBidi"/>
          <w:shd w:val="clear" w:color="auto" w:fill="FFFFFF"/>
        </w:rPr>
        <w:t>Netdoctor</w:t>
      </w:r>
      <w:proofErr w:type="spellEnd"/>
      <w:r w:rsidRPr="00410948">
        <w:rPr>
          <w:rFonts w:asciiTheme="majorBidi" w:hAnsiTheme="majorBidi" w:cstheme="majorBidi"/>
          <w:shd w:val="clear" w:color="auto" w:fill="FFFFFF"/>
        </w:rPr>
        <w:t xml:space="preserve">, 15 May 2018, </w:t>
      </w:r>
      <w:hyperlink r:id="rId9" w:history="1">
        <w:r w:rsidRPr="00410948">
          <w:rPr>
            <w:rStyle w:val="Hyperlink"/>
            <w:rFonts w:asciiTheme="majorBidi" w:hAnsiTheme="majorBidi" w:cstheme="majorBidi"/>
            <w:color w:val="auto"/>
            <w:shd w:val="clear" w:color="auto" w:fill="FFFFFF"/>
          </w:rPr>
          <w:t>www.netdoctor.co.uk/medicines/heart-blood/a7006/noradrenaline-norepinephrine/</w:t>
        </w:r>
      </w:hyperlink>
      <w:r w:rsidRPr="00410948">
        <w:rPr>
          <w:rFonts w:asciiTheme="majorBidi" w:hAnsiTheme="majorBidi" w:cstheme="majorBidi"/>
          <w:shd w:val="clear" w:color="auto" w:fill="FFFFFF"/>
        </w:rPr>
        <w:t>.</w:t>
      </w:r>
    </w:p>
    <w:p w:rsidR="00410948" w:rsidRPr="00410948" w:rsidRDefault="00410948" w:rsidP="00410948">
      <w:pPr>
        <w:spacing w:line="480" w:lineRule="auto"/>
        <w:rPr>
          <w:rFonts w:asciiTheme="majorBidi" w:hAnsiTheme="majorBidi" w:cstheme="majorBidi"/>
          <w:color w:val="333333"/>
          <w:shd w:val="clear" w:color="auto" w:fill="FFFFFF"/>
        </w:rPr>
      </w:pPr>
      <w:r>
        <w:rPr>
          <w:rFonts w:ascii="Helvetica" w:hAnsi="Helvetica" w:cs="Helvetica"/>
          <w:color w:val="3A3A3A"/>
          <w:sz w:val="23"/>
          <w:szCs w:val="23"/>
          <w:shd w:val="clear" w:color="auto" w:fill="FFFFFF"/>
        </w:rPr>
        <w:t xml:space="preserve">“People with Cardiovascular Disease Should Avoid Energy Drinks Loaded with Caffeine and </w:t>
      </w:r>
      <w:proofErr w:type="gramStart"/>
      <w:r>
        <w:rPr>
          <w:rFonts w:ascii="Helvetica" w:hAnsi="Helvetica" w:cs="Helvetica"/>
          <w:color w:val="3A3A3A"/>
          <w:sz w:val="23"/>
          <w:szCs w:val="23"/>
          <w:shd w:val="clear" w:color="auto" w:fill="FFFFFF"/>
        </w:rPr>
        <w:t>Taurine.(</w:t>
      </w:r>
      <w:proofErr w:type="spellStart"/>
      <w:proofErr w:type="gramEnd"/>
      <w:r>
        <w:rPr>
          <w:rFonts w:ascii="Helvetica" w:hAnsi="Helvetica" w:cs="Helvetica"/>
          <w:color w:val="3A3A3A"/>
          <w:sz w:val="23"/>
          <w:szCs w:val="23"/>
          <w:shd w:val="clear" w:color="auto" w:fill="FFFFFF"/>
        </w:rPr>
        <w:t>NewsCAP</w:t>
      </w:r>
      <w:proofErr w:type="spellEnd"/>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American Journal of Nursing</w:t>
      </w:r>
      <w:r>
        <w:rPr>
          <w:rFonts w:ascii="Helvetica" w:hAnsi="Helvetica" w:cs="Helvetica"/>
          <w:color w:val="3A3A3A"/>
          <w:sz w:val="23"/>
          <w:szCs w:val="23"/>
          <w:shd w:val="clear" w:color="auto" w:fill="FFFFFF"/>
        </w:rPr>
        <w:t>, vol. 109, no. 9, 2009, p. 21.</w:t>
      </w:r>
    </w:p>
    <w:p w:rsidR="003766D8" w:rsidRDefault="005E20EB" w:rsidP="00304781">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 xml:space="preserve">Salas, Blanca, and Bruno </w:t>
      </w:r>
      <w:proofErr w:type="spellStart"/>
      <w:r w:rsidRPr="00410948">
        <w:rPr>
          <w:rFonts w:asciiTheme="majorBidi" w:hAnsiTheme="majorBidi" w:cstheme="majorBidi"/>
          <w:shd w:val="clear" w:color="auto" w:fill="FFFFFF"/>
        </w:rPr>
        <w:t>Simões</w:t>
      </w:r>
      <w:proofErr w:type="spellEnd"/>
      <w:r w:rsidRPr="00410948">
        <w:rPr>
          <w:rFonts w:asciiTheme="majorBidi" w:hAnsiTheme="majorBidi" w:cstheme="majorBidi"/>
          <w:shd w:val="clear" w:color="auto" w:fill="FFFFFF"/>
        </w:rPr>
        <w:t>. “Provisional Findings by EFSA on the Safety of Caffeine and the Possible Implications on Caffeine Health Claims and Energy Drinks.” </w:t>
      </w:r>
      <w:r w:rsidRPr="00410948">
        <w:rPr>
          <w:rFonts w:asciiTheme="majorBidi" w:hAnsiTheme="majorBidi" w:cstheme="majorBidi"/>
          <w:i/>
          <w:iCs/>
          <w:shd w:val="clear" w:color="auto" w:fill="FFFFFF"/>
        </w:rPr>
        <w:t xml:space="preserve">European Journal of Risk </w:t>
      </w:r>
      <w:proofErr w:type="gramStart"/>
      <w:r w:rsidRPr="00410948">
        <w:rPr>
          <w:rFonts w:asciiTheme="majorBidi" w:hAnsiTheme="majorBidi" w:cstheme="majorBidi"/>
          <w:i/>
          <w:iCs/>
          <w:shd w:val="clear" w:color="auto" w:fill="FFFFFF"/>
        </w:rPr>
        <w:t>Regulation :</w:t>
      </w:r>
      <w:proofErr w:type="gramEnd"/>
      <w:r w:rsidRPr="00410948">
        <w:rPr>
          <w:rFonts w:asciiTheme="majorBidi" w:hAnsiTheme="majorBidi" w:cstheme="majorBidi"/>
          <w:i/>
          <w:iCs/>
          <w:shd w:val="clear" w:color="auto" w:fill="FFFFFF"/>
        </w:rPr>
        <w:t xml:space="preserve"> EJRR</w:t>
      </w:r>
      <w:r w:rsidRPr="00410948">
        <w:rPr>
          <w:rFonts w:asciiTheme="majorBidi" w:hAnsiTheme="majorBidi" w:cstheme="majorBidi"/>
          <w:shd w:val="clear" w:color="auto" w:fill="FFFFFF"/>
        </w:rPr>
        <w:t>, vol. 6, no. 3, 2015, pp. 432</w:t>
      </w:r>
    </w:p>
    <w:p w:rsidR="00410948" w:rsidRPr="00410948" w:rsidRDefault="00410948" w:rsidP="00410948">
      <w:pPr>
        <w:spacing w:line="480" w:lineRule="auto"/>
        <w:rPr>
          <w:rFonts w:asciiTheme="majorBidi" w:hAnsiTheme="majorBidi" w:cstheme="majorBidi"/>
          <w:shd w:val="clear" w:color="auto" w:fill="FFFFFF"/>
        </w:rPr>
      </w:pPr>
      <w:r w:rsidRPr="00410948">
        <w:rPr>
          <w:rFonts w:asciiTheme="majorBidi" w:hAnsiTheme="majorBidi" w:cstheme="majorBidi"/>
          <w:shd w:val="clear" w:color="auto" w:fill="FFFFFF"/>
        </w:rPr>
        <w:t>Torpy, Janet M, and Edward H Livingston. “Energy Drinks.” </w:t>
      </w:r>
      <w:r w:rsidRPr="00410948">
        <w:rPr>
          <w:rFonts w:asciiTheme="majorBidi" w:hAnsiTheme="majorBidi" w:cstheme="majorBidi"/>
          <w:i/>
          <w:iCs/>
          <w:shd w:val="clear" w:color="auto" w:fill="FFFFFF"/>
        </w:rPr>
        <w:t>JAMA</w:t>
      </w:r>
      <w:r w:rsidRPr="00410948">
        <w:rPr>
          <w:rFonts w:asciiTheme="majorBidi" w:hAnsiTheme="majorBidi" w:cstheme="majorBidi"/>
          <w:shd w:val="clear" w:color="auto" w:fill="FFFFFF"/>
        </w:rPr>
        <w:t>, vol. 309, no. 3, 2013, p. 297</w:t>
      </w:r>
    </w:p>
    <w:p w:rsidR="004D29EC" w:rsidRPr="00410948" w:rsidRDefault="004D29EC" w:rsidP="00304781">
      <w:pPr>
        <w:spacing w:line="480" w:lineRule="auto"/>
        <w:rPr>
          <w:rFonts w:asciiTheme="majorBidi" w:hAnsiTheme="majorBidi" w:cstheme="majorBidi"/>
          <w:shd w:val="clear" w:color="auto" w:fill="FFFFFF"/>
        </w:rPr>
      </w:pPr>
      <w:proofErr w:type="spellStart"/>
      <w:r w:rsidRPr="00410948">
        <w:rPr>
          <w:rFonts w:asciiTheme="majorBidi" w:hAnsiTheme="majorBidi" w:cstheme="majorBidi"/>
          <w:shd w:val="clear" w:color="auto" w:fill="FFFFFF"/>
          <w:lang w:val="fr-CA"/>
        </w:rPr>
        <w:lastRenderedPageBreak/>
        <w:t>Vanattou-SaA</w:t>
      </w:r>
      <w:proofErr w:type="spellEnd"/>
      <w:r w:rsidRPr="00410948">
        <w:rPr>
          <w:rFonts w:asciiTheme="majorBidi" w:hAnsiTheme="majorBidi" w:cstheme="majorBidi"/>
          <w:shd w:val="clear" w:color="auto" w:fill="FFFFFF"/>
          <w:lang w:val="fr-CA"/>
        </w:rPr>
        <w:t>[macron]</w:t>
      </w:r>
      <w:proofErr w:type="spellStart"/>
      <w:r w:rsidRPr="00410948">
        <w:rPr>
          <w:rFonts w:asciiTheme="majorBidi" w:hAnsiTheme="majorBidi" w:cstheme="majorBidi"/>
          <w:shd w:val="clear" w:color="auto" w:fill="FFFFFF"/>
          <w:lang w:val="fr-CA"/>
        </w:rPr>
        <w:t>foudine</w:t>
      </w:r>
      <w:proofErr w:type="spellEnd"/>
      <w:r w:rsidRPr="00410948">
        <w:rPr>
          <w:rFonts w:asciiTheme="majorBidi" w:hAnsiTheme="majorBidi" w:cstheme="majorBidi"/>
          <w:shd w:val="clear" w:color="auto" w:fill="FFFFFF"/>
          <w:lang w:val="fr-CA"/>
        </w:rPr>
        <w:t xml:space="preserve">, Natacha, et al. </w:t>
      </w:r>
      <w:r w:rsidRPr="00410948">
        <w:rPr>
          <w:rFonts w:asciiTheme="majorBidi" w:hAnsiTheme="majorBidi" w:cstheme="majorBidi"/>
          <w:shd w:val="clear" w:color="auto" w:fill="FFFFFF"/>
        </w:rPr>
        <w:t xml:space="preserve">“A Role for Adenosine A.sub.1 Receptor Blockade in the Ability of Caffeine to Promote MDMA ‘Ecstasy’-Induced Striatal Dopamine </w:t>
      </w:r>
      <w:proofErr w:type="gramStart"/>
      <w:r w:rsidRPr="00410948">
        <w:rPr>
          <w:rFonts w:asciiTheme="majorBidi" w:hAnsiTheme="majorBidi" w:cstheme="majorBidi"/>
          <w:shd w:val="clear" w:color="auto" w:fill="FFFFFF"/>
        </w:rPr>
        <w:t>Release.(</w:t>
      </w:r>
      <w:proofErr w:type="gramEnd"/>
      <w:r w:rsidRPr="00410948">
        <w:rPr>
          <w:rFonts w:asciiTheme="majorBidi" w:hAnsiTheme="majorBidi" w:cstheme="majorBidi"/>
          <w:shd w:val="clear" w:color="auto" w:fill="FFFFFF"/>
        </w:rPr>
        <w:t>Report).” </w:t>
      </w:r>
      <w:r w:rsidRPr="00410948">
        <w:rPr>
          <w:rFonts w:asciiTheme="majorBidi" w:hAnsiTheme="majorBidi" w:cstheme="majorBidi"/>
          <w:i/>
          <w:iCs/>
          <w:shd w:val="clear" w:color="auto" w:fill="FFFFFF"/>
        </w:rPr>
        <w:t>European Journal of Pharmacology</w:t>
      </w:r>
      <w:r w:rsidRPr="00410948">
        <w:rPr>
          <w:rFonts w:asciiTheme="majorBidi" w:hAnsiTheme="majorBidi" w:cstheme="majorBidi"/>
          <w:shd w:val="clear" w:color="auto" w:fill="FFFFFF"/>
        </w:rPr>
        <w:t>, vol. 650, no. 1, 2011, p. 220.</w:t>
      </w:r>
    </w:p>
    <w:p w:rsidR="00942E15" w:rsidRDefault="001137C9" w:rsidP="00410948">
      <w:pPr>
        <w:spacing w:line="480" w:lineRule="auto"/>
        <w:rPr>
          <w:color w:val="333333"/>
          <w:shd w:val="clear" w:color="auto" w:fill="FFFFFF"/>
        </w:rPr>
      </w:pPr>
      <w:r w:rsidRPr="00410948">
        <w:rPr>
          <w:rFonts w:asciiTheme="majorBidi" w:hAnsiTheme="majorBidi" w:cstheme="majorBidi"/>
          <w:shd w:val="clear" w:color="auto" w:fill="FFFFFF"/>
        </w:rPr>
        <w:t>White, Dana Angelo. “Nutrition News: Investigating Health Claims on Energy Drinks.” </w:t>
      </w:r>
      <w:r w:rsidRPr="00410948">
        <w:rPr>
          <w:rFonts w:asciiTheme="majorBidi" w:hAnsiTheme="majorBidi" w:cstheme="majorBidi"/>
          <w:i/>
          <w:iCs/>
        </w:rPr>
        <w:t xml:space="preserve">Food </w:t>
      </w:r>
    </w:p>
    <w:p w:rsidR="008A10F2" w:rsidRPr="00410948" w:rsidRDefault="00904E0D" w:rsidP="00410948">
      <w:pPr>
        <w:spacing w:line="480" w:lineRule="auto"/>
        <w:rPr>
          <w:rFonts w:ascii="Helvetica" w:hAnsi="Helvetica" w:cs="Helvetica"/>
          <w:color w:val="3A3A3A"/>
          <w:sz w:val="23"/>
          <w:szCs w:val="23"/>
          <w:shd w:val="clear" w:color="auto" w:fill="FFFFFF"/>
        </w:rPr>
      </w:pPr>
      <w:proofErr w:type="spellStart"/>
      <w:r w:rsidRPr="00A77AAF">
        <w:rPr>
          <w:rFonts w:ascii="Helvetica" w:hAnsi="Helvetica" w:cs="Helvetica"/>
          <w:color w:val="3A3A3A"/>
          <w:sz w:val="23"/>
          <w:szCs w:val="23"/>
          <w:shd w:val="clear" w:color="auto" w:fill="FFFFFF"/>
          <w:lang w:val="en-CA"/>
        </w:rPr>
        <w:t>Wolk</w:t>
      </w:r>
      <w:proofErr w:type="spellEnd"/>
      <w:r w:rsidRPr="00A77AAF">
        <w:rPr>
          <w:rFonts w:ascii="Helvetica" w:hAnsi="Helvetica" w:cs="Helvetica"/>
          <w:color w:val="3A3A3A"/>
          <w:sz w:val="23"/>
          <w:szCs w:val="23"/>
          <w:shd w:val="clear" w:color="auto" w:fill="FFFFFF"/>
          <w:lang w:val="en-CA"/>
        </w:rPr>
        <w:t xml:space="preserve">, Brian J., et al. </w:t>
      </w:r>
      <w:r>
        <w:rPr>
          <w:rFonts w:ascii="Helvetica" w:hAnsi="Helvetica" w:cs="Helvetica"/>
          <w:color w:val="3A3A3A"/>
          <w:sz w:val="23"/>
          <w:szCs w:val="23"/>
          <w:shd w:val="clear" w:color="auto" w:fill="FFFFFF"/>
        </w:rPr>
        <w:t>“Toxicity of Energy Drinks.” </w:t>
      </w:r>
      <w:r>
        <w:rPr>
          <w:rFonts w:ascii="Helvetica" w:hAnsi="Helvetica" w:cs="Helvetica"/>
          <w:i/>
          <w:iCs/>
          <w:color w:val="3A3A3A"/>
          <w:sz w:val="23"/>
          <w:szCs w:val="23"/>
          <w:shd w:val="clear" w:color="auto" w:fill="FFFFFF"/>
        </w:rPr>
        <w:t>Current Opinion in Pediatrics</w:t>
      </w:r>
      <w:r>
        <w:rPr>
          <w:rFonts w:ascii="Helvetica" w:hAnsi="Helvetica" w:cs="Helvetica"/>
          <w:color w:val="3A3A3A"/>
          <w:sz w:val="23"/>
          <w:szCs w:val="23"/>
          <w:shd w:val="clear" w:color="auto" w:fill="FFFFFF"/>
        </w:rPr>
        <w:t>, vol. 24, no. 2, 2012, pp. 243</w:t>
      </w:r>
    </w:p>
    <w:sectPr w:rsidR="008A10F2" w:rsidRPr="00410948">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5AA" w:rsidRDefault="00DE45AA" w:rsidP="00B61445">
      <w:r>
        <w:separator/>
      </w:r>
    </w:p>
  </w:endnote>
  <w:endnote w:type="continuationSeparator" w:id="0">
    <w:p w:rsidR="00DE45AA" w:rsidRDefault="00DE45AA" w:rsidP="00B61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5AA" w:rsidRDefault="00DE45AA" w:rsidP="00B61445">
      <w:r>
        <w:separator/>
      </w:r>
    </w:p>
  </w:footnote>
  <w:footnote w:type="continuationSeparator" w:id="0">
    <w:p w:rsidR="00DE45AA" w:rsidRDefault="00DE45AA" w:rsidP="00B61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1743383"/>
      <w:docPartObj>
        <w:docPartGallery w:val="Page Numbers (Top of Page)"/>
        <w:docPartUnique/>
      </w:docPartObj>
    </w:sdtPr>
    <w:sdtEndPr>
      <w:rPr>
        <w:color w:val="7F7F7F" w:themeColor="background1" w:themeShade="7F"/>
        <w:spacing w:val="60"/>
      </w:rPr>
    </w:sdtEndPr>
    <w:sdtContent>
      <w:p w:rsidR="00B61445" w:rsidRDefault="00B61445">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1D19AC" w:rsidRPr="001D19AC">
          <w:rPr>
            <w:b/>
            <w:bCs/>
            <w:noProof/>
          </w:rPr>
          <w:t>1</w:t>
        </w:r>
        <w:r>
          <w:rPr>
            <w:b/>
            <w:bCs/>
            <w:noProof/>
          </w:rPr>
          <w:fldChar w:fldCharType="end"/>
        </w:r>
        <w:r>
          <w:rPr>
            <w:b/>
            <w:bCs/>
          </w:rPr>
          <w:t xml:space="preserve"> | </w:t>
        </w:r>
        <w:r>
          <w:rPr>
            <w:color w:val="7F7F7F" w:themeColor="background1" w:themeShade="7F"/>
            <w:spacing w:val="60"/>
          </w:rPr>
          <w:t>Page</w:t>
        </w:r>
      </w:p>
    </w:sdtContent>
  </w:sdt>
  <w:p w:rsidR="00B61445" w:rsidRDefault="00B61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44F69"/>
    <w:multiLevelType w:val="hybridMultilevel"/>
    <w:tmpl w:val="60169968"/>
    <w:lvl w:ilvl="0" w:tplc="B65EA7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2CD4021A"/>
    <w:multiLevelType w:val="hybridMultilevel"/>
    <w:tmpl w:val="70CA8F58"/>
    <w:lvl w:ilvl="0" w:tplc="D9961260">
      <w:start w:val="2"/>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3F207EBB"/>
    <w:multiLevelType w:val="hybridMultilevel"/>
    <w:tmpl w:val="B25859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3F9D3915"/>
    <w:multiLevelType w:val="hybridMultilevel"/>
    <w:tmpl w:val="68A26CD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196679B"/>
    <w:multiLevelType w:val="hybridMultilevel"/>
    <w:tmpl w:val="089EFFE6"/>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7E0306D4"/>
    <w:multiLevelType w:val="hybridMultilevel"/>
    <w:tmpl w:val="56D24B3E"/>
    <w:lvl w:ilvl="0" w:tplc="1009000F">
      <w:start w:val="2"/>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DC3"/>
    <w:rsid w:val="00090E37"/>
    <w:rsid w:val="00102042"/>
    <w:rsid w:val="001137C9"/>
    <w:rsid w:val="00126B5F"/>
    <w:rsid w:val="00137FD1"/>
    <w:rsid w:val="00172149"/>
    <w:rsid w:val="001C5AE8"/>
    <w:rsid w:val="001D19AC"/>
    <w:rsid w:val="001E2227"/>
    <w:rsid w:val="001E51B4"/>
    <w:rsid w:val="001F39C2"/>
    <w:rsid w:val="002F6C03"/>
    <w:rsid w:val="00304781"/>
    <w:rsid w:val="00332DC3"/>
    <w:rsid w:val="003766D8"/>
    <w:rsid w:val="003B54D7"/>
    <w:rsid w:val="003F5B22"/>
    <w:rsid w:val="00406F8B"/>
    <w:rsid w:val="00410948"/>
    <w:rsid w:val="004C159B"/>
    <w:rsid w:val="004D29EC"/>
    <w:rsid w:val="005677D7"/>
    <w:rsid w:val="005952EF"/>
    <w:rsid w:val="005E20EB"/>
    <w:rsid w:val="006570CE"/>
    <w:rsid w:val="0081061A"/>
    <w:rsid w:val="008121A1"/>
    <w:rsid w:val="008A10F2"/>
    <w:rsid w:val="008A3D37"/>
    <w:rsid w:val="00900C4D"/>
    <w:rsid w:val="00904E0D"/>
    <w:rsid w:val="00925350"/>
    <w:rsid w:val="00942E15"/>
    <w:rsid w:val="009D3EBC"/>
    <w:rsid w:val="009F0DC9"/>
    <w:rsid w:val="00A067CD"/>
    <w:rsid w:val="00A34E47"/>
    <w:rsid w:val="00A77AAF"/>
    <w:rsid w:val="00B61445"/>
    <w:rsid w:val="00C37D94"/>
    <w:rsid w:val="00C5721C"/>
    <w:rsid w:val="00CE3EA3"/>
    <w:rsid w:val="00D435FC"/>
    <w:rsid w:val="00D43A64"/>
    <w:rsid w:val="00DE45AA"/>
    <w:rsid w:val="00E205D5"/>
    <w:rsid w:val="00EC669C"/>
    <w:rsid w:val="00EF0724"/>
    <w:rsid w:val="00EF798C"/>
    <w:rsid w:val="00F13E2C"/>
    <w:rsid w:val="00F75D7D"/>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DF64D"/>
  <w15:chartTrackingRefBased/>
  <w15:docId w15:val="{F1D6A48F-CFAE-495B-9D3E-29B855894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2DC3"/>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F39C2"/>
    <w:pPr>
      <w:spacing w:before="100" w:beforeAutospacing="1" w:after="100" w:afterAutospacing="1"/>
    </w:pPr>
    <w:rPr>
      <w:rFonts w:ascii="Times New Roman" w:eastAsia="Times New Roman" w:hAnsi="Times New Roman" w:cs="Times New Roman"/>
      <w:lang w:val="en-CA" w:eastAsia="en-CA"/>
    </w:rPr>
  </w:style>
  <w:style w:type="character" w:styleId="Hyperlink">
    <w:name w:val="Hyperlink"/>
    <w:basedOn w:val="DefaultParagraphFont"/>
    <w:uiPriority w:val="99"/>
    <w:unhideWhenUsed/>
    <w:rsid w:val="001F39C2"/>
    <w:rPr>
      <w:color w:val="0000FF"/>
      <w:u w:val="single"/>
    </w:rPr>
  </w:style>
  <w:style w:type="paragraph" w:styleId="ListParagraph">
    <w:name w:val="List Paragraph"/>
    <w:basedOn w:val="Normal"/>
    <w:uiPriority w:val="34"/>
    <w:qFormat/>
    <w:rsid w:val="00CE3EA3"/>
    <w:pPr>
      <w:ind w:left="720"/>
      <w:contextualSpacing/>
    </w:pPr>
  </w:style>
  <w:style w:type="character" w:styleId="FollowedHyperlink">
    <w:name w:val="FollowedHyperlink"/>
    <w:basedOn w:val="DefaultParagraphFont"/>
    <w:uiPriority w:val="99"/>
    <w:semiHidden/>
    <w:unhideWhenUsed/>
    <w:rsid w:val="00925350"/>
    <w:rPr>
      <w:color w:val="954F72" w:themeColor="followedHyperlink"/>
      <w:u w:val="single"/>
    </w:rPr>
  </w:style>
  <w:style w:type="paragraph" w:styleId="Header">
    <w:name w:val="header"/>
    <w:basedOn w:val="Normal"/>
    <w:link w:val="HeaderChar"/>
    <w:uiPriority w:val="99"/>
    <w:unhideWhenUsed/>
    <w:rsid w:val="00B61445"/>
    <w:pPr>
      <w:tabs>
        <w:tab w:val="center" w:pos="4680"/>
        <w:tab w:val="right" w:pos="9360"/>
      </w:tabs>
    </w:pPr>
  </w:style>
  <w:style w:type="character" w:customStyle="1" w:styleId="HeaderChar">
    <w:name w:val="Header Char"/>
    <w:basedOn w:val="DefaultParagraphFont"/>
    <w:link w:val="Header"/>
    <w:uiPriority w:val="99"/>
    <w:rsid w:val="00B61445"/>
    <w:rPr>
      <w:sz w:val="24"/>
      <w:szCs w:val="24"/>
      <w:lang w:val="en-US"/>
    </w:rPr>
  </w:style>
  <w:style w:type="paragraph" w:styleId="Footer">
    <w:name w:val="footer"/>
    <w:basedOn w:val="Normal"/>
    <w:link w:val="FooterChar"/>
    <w:uiPriority w:val="99"/>
    <w:unhideWhenUsed/>
    <w:rsid w:val="00B61445"/>
    <w:pPr>
      <w:tabs>
        <w:tab w:val="center" w:pos="4680"/>
        <w:tab w:val="right" w:pos="9360"/>
      </w:tabs>
    </w:pPr>
  </w:style>
  <w:style w:type="character" w:customStyle="1" w:styleId="FooterChar">
    <w:name w:val="Footer Char"/>
    <w:basedOn w:val="DefaultParagraphFont"/>
    <w:link w:val="Footer"/>
    <w:uiPriority w:val="99"/>
    <w:rsid w:val="00B61445"/>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87959">
      <w:bodyDiv w:val="1"/>
      <w:marLeft w:val="0"/>
      <w:marRight w:val="0"/>
      <w:marTop w:val="0"/>
      <w:marBottom w:val="0"/>
      <w:divBdr>
        <w:top w:val="none" w:sz="0" w:space="0" w:color="auto"/>
        <w:left w:val="none" w:sz="0" w:space="0" w:color="auto"/>
        <w:bottom w:val="none" w:sz="0" w:space="0" w:color="auto"/>
        <w:right w:val="none" w:sz="0" w:space="0" w:color="auto"/>
      </w:divBdr>
    </w:div>
    <w:div w:id="1142962575">
      <w:bodyDiv w:val="1"/>
      <w:marLeft w:val="0"/>
      <w:marRight w:val="0"/>
      <w:marTop w:val="0"/>
      <w:marBottom w:val="0"/>
      <w:divBdr>
        <w:top w:val="none" w:sz="0" w:space="0" w:color="auto"/>
        <w:left w:val="none" w:sz="0" w:space="0" w:color="auto"/>
        <w:bottom w:val="none" w:sz="0" w:space="0" w:color="auto"/>
        <w:right w:val="none" w:sz="0" w:space="0" w:color="auto"/>
      </w:divBdr>
    </w:div>
    <w:div w:id="1324239126">
      <w:bodyDiv w:val="1"/>
      <w:marLeft w:val="0"/>
      <w:marRight w:val="0"/>
      <w:marTop w:val="0"/>
      <w:marBottom w:val="0"/>
      <w:divBdr>
        <w:top w:val="none" w:sz="0" w:space="0" w:color="auto"/>
        <w:left w:val="none" w:sz="0" w:space="0" w:color="auto"/>
        <w:bottom w:val="none" w:sz="0" w:space="0" w:color="auto"/>
        <w:right w:val="none" w:sz="0" w:space="0" w:color="auto"/>
      </w:divBdr>
    </w:div>
    <w:div w:id="1416828364">
      <w:bodyDiv w:val="1"/>
      <w:marLeft w:val="0"/>
      <w:marRight w:val="0"/>
      <w:marTop w:val="0"/>
      <w:marBottom w:val="0"/>
      <w:divBdr>
        <w:top w:val="none" w:sz="0" w:space="0" w:color="auto"/>
        <w:left w:val="none" w:sz="0" w:space="0" w:color="auto"/>
        <w:bottom w:val="none" w:sz="0" w:space="0" w:color="auto"/>
        <w:right w:val="none" w:sz="0" w:space="0" w:color="auto"/>
      </w:divBdr>
    </w:div>
    <w:div w:id="1454862067">
      <w:bodyDiv w:val="1"/>
      <w:marLeft w:val="0"/>
      <w:marRight w:val="0"/>
      <w:marTop w:val="0"/>
      <w:marBottom w:val="0"/>
      <w:divBdr>
        <w:top w:val="none" w:sz="0" w:space="0" w:color="auto"/>
        <w:left w:val="none" w:sz="0" w:space="0" w:color="auto"/>
        <w:bottom w:val="none" w:sz="0" w:space="0" w:color="auto"/>
        <w:right w:val="none" w:sz="0" w:space="0" w:color="auto"/>
      </w:divBdr>
    </w:div>
    <w:div w:id="1883592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odnetwork.com/healthyeats/2012/09/nutrition-news-investigating-health-claims-on-energy-drinks" TargetMode="External"/><Relationship Id="rId3" Type="http://schemas.openxmlformats.org/officeDocument/2006/relationships/settings" Target="settings.xml"/><Relationship Id="rId7" Type="http://schemas.openxmlformats.org/officeDocument/2006/relationships/hyperlink" Target="http://www.tmc.edu/news/2018/04/energy-drinks-health-risks-behind-the-boo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etdoctor.co.uk/medicines/heart-blood/a7006/noradrenaline-norepinephr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1361</TotalTime>
  <Pages>1</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Hamilton</dc:creator>
  <cp:keywords/>
  <dc:description/>
  <cp:lastModifiedBy>Samuel Hamilton</cp:lastModifiedBy>
  <cp:revision>7</cp:revision>
  <dcterms:created xsi:type="dcterms:W3CDTF">2018-12-04T00:18:00Z</dcterms:created>
  <dcterms:modified xsi:type="dcterms:W3CDTF">2019-03-13T05:31:00Z</dcterms:modified>
</cp:coreProperties>
</file>