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3BEE3" w14:textId="1759CA27" w:rsidR="008D25ED" w:rsidRDefault="008D25ED" w:rsidP="008D25ED">
      <w:pPr>
        <w:pStyle w:val="NormalWeb"/>
        <w:spacing w:before="0" w:beforeAutospacing="0" w:after="0" w:afterAutospacing="0"/>
        <w:jc w:val="center"/>
        <w:rPr>
          <w:rFonts w:ascii="Cambria" w:hAnsi="Cambria"/>
          <w:sz w:val="20"/>
          <w:szCs w:val="20"/>
        </w:rPr>
      </w:pPr>
      <w:r>
        <w:rPr>
          <w:rFonts w:ascii="Cambria" w:hAnsi="Cambria"/>
          <w:sz w:val="20"/>
          <w:szCs w:val="20"/>
        </w:rPr>
        <w:t>Le système monétaire</w:t>
      </w:r>
    </w:p>
    <w:p w14:paraId="6AACF895" w14:textId="77777777" w:rsidR="008D25ED" w:rsidRDefault="008D25ED" w:rsidP="008D25ED">
      <w:pPr>
        <w:pStyle w:val="NormalWeb"/>
        <w:spacing w:before="0" w:beforeAutospacing="0" w:after="0" w:afterAutospacing="0"/>
        <w:jc w:val="center"/>
        <w:rPr>
          <w:rFonts w:ascii="Cambria" w:hAnsi="Cambria"/>
          <w:sz w:val="20"/>
          <w:szCs w:val="20"/>
        </w:rPr>
      </w:pPr>
    </w:p>
    <w:p w14:paraId="7C4BA357" w14:textId="62A40CE0" w:rsidR="008D25ED" w:rsidRDefault="008D25ED" w:rsidP="00DF73D2">
      <w:pPr>
        <w:pStyle w:val="NormalWeb"/>
        <w:spacing w:before="0" w:beforeAutospacing="0" w:after="0" w:afterAutospacing="0"/>
        <w:rPr>
          <w:rFonts w:ascii="Cambria" w:hAnsi="Cambria"/>
          <w:sz w:val="20"/>
          <w:szCs w:val="20"/>
        </w:rPr>
      </w:pPr>
      <w:r>
        <w:rPr>
          <w:rFonts w:ascii="Cambria" w:hAnsi="Cambria"/>
          <w:sz w:val="20"/>
          <w:szCs w:val="20"/>
        </w:rPr>
        <w:t xml:space="preserve">La grande question du système monétaire est sa raison d’être. Pourquoi avons-nous créé un tel système? Cette question </w:t>
      </w:r>
      <w:r w:rsidR="00D95F47">
        <w:rPr>
          <w:rFonts w:ascii="Cambria" w:hAnsi="Cambria"/>
          <w:sz w:val="20"/>
          <w:szCs w:val="20"/>
        </w:rPr>
        <w:t>se</w:t>
      </w:r>
      <w:r>
        <w:rPr>
          <w:rFonts w:ascii="Cambria" w:hAnsi="Cambria"/>
          <w:sz w:val="20"/>
          <w:szCs w:val="20"/>
        </w:rPr>
        <w:t xml:space="preserve"> répond facilement en considérant ce qui la précédée, le troc. Le troc est un échange d’un bien ou de</w:t>
      </w:r>
      <w:bookmarkStart w:id="0" w:name="_GoBack"/>
      <w:bookmarkEnd w:id="0"/>
      <w:r>
        <w:rPr>
          <w:rFonts w:ascii="Cambria" w:hAnsi="Cambria"/>
          <w:sz w:val="20"/>
          <w:szCs w:val="20"/>
        </w:rPr>
        <w:t xml:space="preserve"> service contre un autre.  Une économie fondée</w:t>
      </w:r>
      <w:r w:rsidR="00DF73D2">
        <w:rPr>
          <w:rFonts w:ascii="Cambria" w:hAnsi="Cambria"/>
          <w:sz w:val="20"/>
          <w:szCs w:val="20"/>
        </w:rPr>
        <w:t xml:space="preserve"> sur le troc ne peut pas se permettre d'allouer ses ressources efficacement</w:t>
      </w:r>
      <w:r>
        <w:rPr>
          <w:rFonts w:ascii="Cambria" w:hAnsi="Cambria"/>
          <w:sz w:val="20"/>
          <w:szCs w:val="20"/>
        </w:rPr>
        <w:t xml:space="preserve">, c’est donc qu’on a </w:t>
      </w:r>
      <w:r w:rsidR="00D806C3">
        <w:rPr>
          <w:rFonts w:ascii="Cambria" w:hAnsi="Cambria"/>
          <w:sz w:val="20"/>
          <w:szCs w:val="20"/>
        </w:rPr>
        <w:t>créé</w:t>
      </w:r>
      <w:r>
        <w:rPr>
          <w:rFonts w:ascii="Cambria" w:hAnsi="Cambria"/>
          <w:sz w:val="20"/>
          <w:szCs w:val="20"/>
        </w:rPr>
        <w:t xml:space="preserve"> la monnaie (e</w:t>
      </w:r>
      <w:r w:rsidR="00DF73D2">
        <w:rPr>
          <w:rFonts w:ascii="Cambria" w:hAnsi="Cambria"/>
          <w:sz w:val="20"/>
          <w:szCs w:val="20"/>
        </w:rPr>
        <w:t>nsemble des actifs utilisés couramment comme moyen de paiement lors d'achats de biens et de services</w:t>
      </w:r>
      <w:r>
        <w:rPr>
          <w:rFonts w:ascii="Cambria" w:hAnsi="Cambria"/>
          <w:sz w:val="20"/>
          <w:szCs w:val="20"/>
        </w:rPr>
        <w:t>).</w:t>
      </w:r>
    </w:p>
    <w:p w14:paraId="2E88A260" w14:textId="4ACA0B1A" w:rsidR="008D25ED" w:rsidRDefault="008D25ED" w:rsidP="00DF73D2">
      <w:pPr>
        <w:pStyle w:val="NormalWeb"/>
        <w:spacing w:before="0" w:beforeAutospacing="0" w:after="0" w:afterAutospacing="0"/>
        <w:rPr>
          <w:rFonts w:ascii="Cambria" w:hAnsi="Cambria"/>
          <w:sz w:val="20"/>
          <w:szCs w:val="20"/>
        </w:rPr>
      </w:pPr>
    </w:p>
    <w:tbl>
      <w:tblPr>
        <w:tblStyle w:val="TableGrid"/>
        <w:tblW w:w="0" w:type="auto"/>
        <w:tblLook w:val="04A0" w:firstRow="1" w:lastRow="0" w:firstColumn="1" w:lastColumn="0" w:noHBand="0" w:noVBand="1"/>
      </w:tblPr>
      <w:tblGrid>
        <w:gridCol w:w="1271"/>
        <w:gridCol w:w="7359"/>
      </w:tblGrid>
      <w:tr w:rsidR="008D25ED" w:rsidRPr="00D95F47" w14:paraId="65EFF247" w14:textId="77777777" w:rsidTr="008D25ED">
        <w:tc>
          <w:tcPr>
            <w:tcW w:w="1271" w:type="dxa"/>
          </w:tcPr>
          <w:p w14:paraId="3AFE60AA" w14:textId="097BE11F" w:rsidR="008D25ED" w:rsidRDefault="008D25ED" w:rsidP="00DF73D2">
            <w:pPr>
              <w:pStyle w:val="NormalWeb"/>
              <w:spacing w:before="0" w:beforeAutospacing="0" w:after="0" w:afterAutospacing="0"/>
              <w:rPr>
                <w:rFonts w:ascii="Cambria" w:hAnsi="Cambria"/>
                <w:sz w:val="20"/>
                <w:szCs w:val="20"/>
              </w:rPr>
            </w:pPr>
            <w:r>
              <w:rPr>
                <w:rFonts w:ascii="Cambria" w:hAnsi="Cambria"/>
                <w:sz w:val="20"/>
                <w:szCs w:val="20"/>
              </w:rPr>
              <w:t>Les rôles du système monétaire</w:t>
            </w:r>
          </w:p>
        </w:tc>
        <w:tc>
          <w:tcPr>
            <w:tcW w:w="7359" w:type="dxa"/>
          </w:tcPr>
          <w:p w14:paraId="53C8D5BD" w14:textId="26BF57C9" w:rsidR="008D25ED" w:rsidRDefault="008D25ED" w:rsidP="008D25ED">
            <w:pPr>
              <w:pStyle w:val="NormalWeb"/>
              <w:spacing w:before="0" w:beforeAutospacing="0" w:after="0" w:afterAutospacing="0"/>
              <w:rPr>
                <w:rFonts w:ascii="Cambria" w:hAnsi="Cambria"/>
                <w:sz w:val="20"/>
                <w:szCs w:val="20"/>
              </w:rPr>
            </w:pPr>
            <w:r>
              <w:rPr>
                <w:rFonts w:ascii="Cambria" w:hAnsi="Cambria"/>
                <w:sz w:val="20"/>
                <w:szCs w:val="20"/>
              </w:rPr>
              <w:t>Moyen d'échange : intermédiaire pour l'achat d'un bien ou d'un service</w:t>
            </w:r>
          </w:p>
          <w:p w14:paraId="159779DD" w14:textId="77777777" w:rsidR="008D25ED" w:rsidRDefault="008D25ED" w:rsidP="008D25ED">
            <w:pPr>
              <w:pStyle w:val="NormalWeb"/>
              <w:spacing w:before="0" w:beforeAutospacing="0" w:after="0" w:afterAutospacing="0"/>
              <w:rPr>
                <w:rFonts w:ascii="Cambria" w:hAnsi="Cambria"/>
                <w:sz w:val="20"/>
                <w:szCs w:val="20"/>
              </w:rPr>
            </w:pPr>
          </w:p>
          <w:p w14:paraId="2DE617E7" w14:textId="1DC61964" w:rsidR="008D25ED" w:rsidRDefault="008D25ED" w:rsidP="008D25ED">
            <w:pPr>
              <w:pStyle w:val="NormalWeb"/>
              <w:spacing w:before="0" w:beforeAutospacing="0" w:after="0" w:afterAutospacing="0"/>
              <w:rPr>
                <w:rFonts w:ascii="Cambria" w:hAnsi="Cambria"/>
                <w:sz w:val="20"/>
                <w:szCs w:val="20"/>
              </w:rPr>
            </w:pPr>
            <w:r>
              <w:rPr>
                <w:rFonts w:ascii="Cambria" w:hAnsi="Cambria"/>
                <w:sz w:val="20"/>
                <w:szCs w:val="20"/>
              </w:rPr>
              <w:t>Unité de compte : Étalon de mesure de la valeur</w:t>
            </w:r>
          </w:p>
          <w:p w14:paraId="0D9EA3E9" w14:textId="77777777" w:rsidR="008D25ED" w:rsidRDefault="008D25ED" w:rsidP="008D25ED">
            <w:pPr>
              <w:pStyle w:val="NormalWeb"/>
              <w:spacing w:before="0" w:beforeAutospacing="0" w:after="0" w:afterAutospacing="0"/>
              <w:rPr>
                <w:rFonts w:ascii="Cambria" w:hAnsi="Cambria"/>
                <w:sz w:val="20"/>
                <w:szCs w:val="20"/>
              </w:rPr>
            </w:pPr>
          </w:p>
          <w:p w14:paraId="6F2FBB27" w14:textId="5ABC8747" w:rsidR="008D25ED" w:rsidRDefault="008D25ED" w:rsidP="008D25ED">
            <w:pPr>
              <w:pStyle w:val="NormalWeb"/>
              <w:spacing w:before="0" w:beforeAutospacing="0" w:after="0" w:afterAutospacing="0"/>
              <w:rPr>
                <w:rFonts w:ascii="Cambria" w:hAnsi="Cambria"/>
                <w:sz w:val="20"/>
                <w:szCs w:val="20"/>
              </w:rPr>
            </w:pPr>
            <w:r>
              <w:rPr>
                <w:rFonts w:ascii="Cambria" w:hAnsi="Cambria"/>
                <w:sz w:val="20"/>
                <w:szCs w:val="20"/>
              </w:rPr>
              <w:t>Réserve de valeur : actif à reporter pour un futur pouvoir d'achat</w:t>
            </w:r>
          </w:p>
          <w:p w14:paraId="7929FE44" w14:textId="77777777" w:rsidR="008D25ED" w:rsidRDefault="008D25ED" w:rsidP="008D25ED">
            <w:pPr>
              <w:pStyle w:val="NormalWeb"/>
              <w:spacing w:before="0" w:beforeAutospacing="0" w:after="0" w:afterAutospacing="0"/>
              <w:rPr>
                <w:rFonts w:ascii="Cambria" w:hAnsi="Cambria"/>
                <w:sz w:val="20"/>
                <w:szCs w:val="20"/>
              </w:rPr>
            </w:pPr>
          </w:p>
          <w:p w14:paraId="4BCF2CA1" w14:textId="1A02D174" w:rsidR="008D25ED" w:rsidRDefault="008D25ED" w:rsidP="008D25ED">
            <w:pPr>
              <w:pStyle w:val="NormalWeb"/>
              <w:spacing w:before="0" w:beforeAutospacing="0" w:after="0" w:afterAutospacing="0"/>
              <w:rPr>
                <w:rFonts w:ascii="Cambria" w:hAnsi="Cambria"/>
                <w:sz w:val="20"/>
                <w:szCs w:val="20"/>
              </w:rPr>
            </w:pPr>
            <w:r>
              <w:rPr>
                <w:rFonts w:ascii="Cambria" w:hAnsi="Cambria"/>
                <w:sz w:val="20"/>
                <w:szCs w:val="20"/>
              </w:rPr>
              <w:t>Liquidité : facilité avec laquelle on peut transformer un actif en moyen d'échange</w:t>
            </w:r>
          </w:p>
        </w:tc>
      </w:tr>
      <w:tr w:rsidR="008D25ED" w:rsidRPr="00D95F47" w14:paraId="1171C04B" w14:textId="77777777" w:rsidTr="008D25ED">
        <w:tc>
          <w:tcPr>
            <w:tcW w:w="1271" w:type="dxa"/>
          </w:tcPr>
          <w:p w14:paraId="412E8D2C" w14:textId="20302C42" w:rsidR="008D25ED" w:rsidRDefault="008D25ED" w:rsidP="00DF73D2">
            <w:pPr>
              <w:pStyle w:val="NormalWeb"/>
              <w:spacing w:before="0" w:beforeAutospacing="0" w:after="0" w:afterAutospacing="0"/>
              <w:rPr>
                <w:rFonts w:ascii="Cambria" w:hAnsi="Cambria"/>
                <w:sz w:val="20"/>
                <w:szCs w:val="20"/>
              </w:rPr>
            </w:pPr>
            <w:r>
              <w:rPr>
                <w:rFonts w:ascii="Cambria" w:hAnsi="Cambria"/>
                <w:sz w:val="20"/>
                <w:szCs w:val="20"/>
              </w:rPr>
              <w:t>Les formes du système monétaire</w:t>
            </w:r>
          </w:p>
        </w:tc>
        <w:tc>
          <w:tcPr>
            <w:tcW w:w="7359" w:type="dxa"/>
          </w:tcPr>
          <w:p w14:paraId="56FA8CED" w14:textId="77777777" w:rsidR="008D25ED" w:rsidRDefault="008D25ED" w:rsidP="008D25ED">
            <w:pPr>
              <w:pStyle w:val="NormalWeb"/>
              <w:spacing w:before="0" w:beforeAutospacing="0" w:after="0" w:afterAutospacing="0"/>
              <w:rPr>
                <w:rFonts w:ascii="Cambria" w:hAnsi="Cambria"/>
                <w:sz w:val="20"/>
                <w:szCs w:val="20"/>
              </w:rPr>
            </w:pPr>
            <w:r>
              <w:rPr>
                <w:rFonts w:ascii="Cambria" w:hAnsi="Cambria"/>
                <w:sz w:val="20"/>
                <w:szCs w:val="20"/>
              </w:rPr>
              <w:t>Monnaie-marchandise : monnaie dans la forme d'un bien ayant une valeur intrinsèque</w:t>
            </w:r>
          </w:p>
          <w:p w14:paraId="047020B8" w14:textId="77777777" w:rsidR="008D25ED" w:rsidRDefault="008D25ED" w:rsidP="008D25ED">
            <w:pPr>
              <w:pStyle w:val="NormalWeb"/>
              <w:spacing w:before="0" w:beforeAutospacing="0" w:after="0" w:afterAutospacing="0"/>
              <w:ind w:left="1080"/>
              <w:rPr>
                <w:rFonts w:ascii="Cambria" w:hAnsi="Cambria"/>
                <w:sz w:val="20"/>
                <w:szCs w:val="20"/>
              </w:rPr>
            </w:pPr>
          </w:p>
          <w:p w14:paraId="31EAA2BB" w14:textId="5CA3F8D3" w:rsidR="008D25ED" w:rsidRDefault="008D25ED" w:rsidP="00DF73D2">
            <w:pPr>
              <w:pStyle w:val="NormalWeb"/>
              <w:spacing w:before="0" w:beforeAutospacing="0" w:after="0" w:afterAutospacing="0"/>
              <w:rPr>
                <w:rFonts w:ascii="Cambria" w:hAnsi="Cambria"/>
                <w:sz w:val="20"/>
                <w:szCs w:val="20"/>
              </w:rPr>
            </w:pPr>
            <w:r>
              <w:rPr>
                <w:rFonts w:ascii="Cambria" w:hAnsi="Cambria"/>
                <w:sz w:val="20"/>
                <w:szCs w:val="20"/>
              </w:rPr>
              <w:t>Monnaie fiduciaire : monnaie sans valeur intrinsèque, contrôlé par le gouvernement.</w:t>
            </w:r>
          </w:p>
        </w:tc>
      </w:tr>
    </w:tbl>
    <w:p w14:paraId="1453B185" w14:textId="77777777" w:rsidR="00960CB0" w:rsidRDefault="00960CB0" w:rsidP="008D25ED">
      <w:pPr>
        <w:pStyle w:val="NormalWeb"/>
        <w:spacing w:before="0" w:beforeAutospacing="0" w:after="0" w:afterAutospacing="0"/>
        <w:rPr>
          <w:rFonts w:ascii="Cambria" w:hAnsi="Cambria"/>
          <w:sz w:val="20"/>
          <w:szCs w:val="20"/>
        </w:rPr>
      </w:pPr>
    </w:p>
    <w:p w14:paraId="46FDFC9F" w14:textId="198DA985" w:rsidR="00DF73D2" w:rsidRDefault="00DF73D2" w:rsidP="008D25ED">
      <w:pPr>
        <w:pStyle w:val="NormalWeb"/>
        <w:spacing w:before="0" w:beforeAutospacing="0" w:after="0" w:afterAutospacing="0"/>
        <w:rPr>
          <w:rFonts w:ascii="Cambria" w:hAnsi="Cambria"/>
          <w:sz w:val="20"/>
          <w:szCs w:val="20"/>
        </w:rPr>
      </w:pPr>
      <w:r>
        <w:rPr>
          <w:rFonts w:ascii="Cambria" w:hAnsi="Cambria"/>
          <w:sz w:val="20"/>
          <w:szCs w:val="20"/>
        </w:rPr>
        <w:t>Numéraire : Billets de banque et pièces de monnaie entre les mains du public.</w:t>
      </w:r>
    </w:p>
    <w:p w14:paraId="18D12E4A" w14:textId="69954306" w:rsidR="00DF73D2" w:rsidRDefault="00DF73D2" w:rsidP="00DF73D2">
      <w:pPr>
        <w:pStyle w:val="NormalWeb"/>
        <w:spacing w:before="0" w:beforeAutospacing="0" w:after="0" w:afterAutospacing="0"/>
        <w:ind w:left="540"/>
        <w:rPr>
          <w:rFonts w:ascii="Cambria" w:hAnsi="Cambria"/>
          <w:sz w:val="20"/>
          <w:szCs w:val="20"/>
        </w:rPr>
      </w:pPr>
      <w:r>
        <w:rPr>
          <w:rFonts w:ascii="Cambria" w:hAnsi="Cambria"/>
          <w:sz w:val="20"/>
          <w:szCs w:val="20"/>
        </w:rPr>
        <w:t xml:space="preserve">Dépôt à vue : Dépôt bancaire qui permet au </w:t>
      </w:r>
      <w:r w:rsidR="00960CB0">
        <w:rPr>
          <w:rFonts w:ascii="Cambria" w:hAnsi="Cambria"/>
          <w:sz w:val="20"/>
          <w:szCs w:val="20"/>
        </w:rPr>
        <w:t>déposant</w:t>
      </w:r>
      <w:r>
        <w:rPr>
          <w:rFonts w:ascii="Cambria" w:hAnsi="Cambria"/>
          <w:sz w:val="20"/>
          <w:szCs w:val="20"/>
        </w:rPr>
        <w:t xml:space="preserve"> de retirer des fonds, sur demande en utilisant un chèque</w:t>
      </w:r>
    </w:p>
    <w:p w14:paraId="79219E28" w14:textId="19BD6363" w:rsidR="00960CB0" w:rsidRDefault="00960CB0" w:rsidP="00960CB0">
      <w:pPr>
        <w:pStyle w:val="NormalWeb"/>
        <w:spacing w:before="0" w:beforeAutospacing="0" w:after="0" w:afterAutospacing="0"/>
        <w:rPr>
          <w:rFonts w:ascii="Cambria" w:hAnsi="Cambria"/>
          <w:sz w:val="20"/>
          <w:szCs w:val="20"/>
        </w:rPr>
      </w:pPr>
    </w:p>
    <w:p w14:paraId="24A16DA7" w14:textId="4BA4930F" w:rsidR="00DF73D2" w:rsidRDefault="00960CB0" w:rsidP="00960CB0">
      <w:pPr>
        <w:pStyle w:val="NormalWeb"/>
        <w:spacing w:before="0" w:beforeAutospacing="0" w:after="0" w:afterAutospacing="0"/>
        <w:ind w:firstLine="540"/>
        <w:rPr>
          <w:rFonts w:ascii="Cambria" w:hAnsi="Cambria"/>
          <w:sz w:val="20"/>
          <w:szCs w:val="20"/>
        </w:rPr>
      </w:pPr>
      <w:r>
        <w:rPr>
          <w:rFonts w:ascii="Cambria" w:hAnsi="Cambria"/>
          <w:sz w:val="20"/>
          <w:szCs w:val="20"/>
        </w:rPr>
        <w:t>Dans un système de monnaie fiduciaire, il est très important d’avoir une banque centrale qui contrôle la production de monnaie et qui contrôle directement l’inflation. Au Canada, la banque centrale est la banque du Canada (BC). La BC a une énorme indépendance par rapport au pouvoir politique et est attribué quatre tâches : é</w:t>
      </w:r>
      <w:r w:rsidR="00DF73D2">
        <w:rPr>
          <w:rFonts w:ascii="Cambria" w:hAnsi="Cambria"/>
          <w:sz w:val="20"/>
          <w:szCs w:val="20"/>
        </w:rPr>
        <w:t>mettre des billets de banque</w:t>
      </w:r>
      <w:r>
        <w:rPr>
          <w:rFonts w:ascii="Cambria" w:hAnsi="Cambria"/>
          <w:sz w:val="20"/>
          <w:szCs w:val="20"/>
        </w:rPr>
        <w:t>, a</w:t>
      </w:r>
      <w:r w:rsidR="00DF73D2">
        <w:rPr>
          <w:rFonts w:ascii="Cambria" w:hAnsi="Cambria"/>
          <w:sz w:val="20"/>
          <w:szCs w:val="20"/>
        </w:rPr>
        <w:t>gir comme banque auprès des banques à charte</w:t>
      </w:r>
      <w:r>
        <w:rPr>
          <w:rFonts w:ascii="Cambria" w:hAnsi="Cambria"/>
          <w:sz w:val="20"/>
          <w:szCs w:val="20"/>
        </w:rPr>
        <w:t>, i</w:t>
      </w:r>
      <w:r w:rsidR="00DF73D2">
        <w:rPr>
          <w:rFonts w:ascii="Cambria" w:hAnsi="Cambria"/>
          <w:sz w:val="20"/>
          <w:szCs w:val="20"/>
        </w:rPr>
        <w:t>ntervenir en tant qu'agent financier du gouvernement fédéral</w:t>
      </w:r>
      <w:r>
        <w:rPr>
          <w:rFonts w:ascii="Cambria" w:hAnsi="Cambria"/>
          <w:sz w:val="20"/>
          <w:szCs w:val="20"/>
        </w:rPr>
        <w:t xml:space="preserve"> et a</w:t>
      </w:r>
      <w:r w:rsidR="00DF73D2">
        <w:rPr>
          <w:rFonts w:ascii="Cambria" w:hAnsi="Cambria"/>
          <w:sz w:val="20"/>
          <w:szCs w:val="20"/>
        </w:rPr>
        <w:t>ssurer la régulation de la masse monétaire</w:t>
      </w:r>
      <w:r>
        <w:rPr>
          <w:rFonts w:ascii="Cambria" w:hAnsi="Cambria"/>
          <w:sz w:val="20"/>
          <w:szCs w:val="20"/>
        </w:rPr>
        <w:t xml:space="preserve">. Elle peut faire augmenter ou diminuer le nombre de dollars en circulation qui par conséquence détermine le taux d’inflation à long terme et exercent une influence majeure sur les taux de chômage et d’inflation. </w:t>
      </w:r>
    </w:p>
    <w:p w14:paraId="2B3B01C4" w14:textId="11BF8D0E" w:rsidR="00960CB0" w:rsidRDefault="00960CB0" w:rsidP="00960CB0">
      <w:pPr>
        <w:pStyle w:val="NormalWeb"/>
        <w:spacing w:before="0" w:beforeAutospacing="0" w:after="0" w:afterAutospacing="0"/>
        <w:rPr>
          <w:rFonts w:ascii="Cambria" w:hAnsi="Cambria"/>
          <w:sz w:val="20"/>
          <w:szCs w:val="20"/>
        </w:rPr>
      </w:pPr>
    </w:p>
    <w:p w14:paraId="7C93052F" w14:textId="7C6C7226" w:rsidR="00960CB0" w:rsidRDefault="00960CB0" w:rsidP="00960CB0">
      <w:pPr>
        <w:pStyle w:val="NormalWeb"/>
        <w:spacing w:before="0" w:beforeAutospacing="0" w:after="0" w:afterAutospacing="0"/>
        <w:rPr>
          <w:rFonts w:ascii="Cambria" w:hAnsi="Cambria"/>
          <w:sz w:val="20"/>
          <w:szCs w:val="20"/>
        </w:rPr>
      </w:pPr>
      <w:r>
        <w:rPr>
          <w:rFonts w:ascii="Cambria" w:hAnsi="Cambria"/>
          <w:sz w:val="20"/>
          <w:szCs w:val="20"/>
        </w:rPr>
        <w:tab/>
        <w:t xml:space="preserve">Les banques centrales sont aussi laissées à se créer des réserves, un dépôt que les banque ont conservés sans les prêter. Il y a deux types de réserves : totale (les banques conservent 100% des dépôts) et fractionnaire (ne conservent en réserve qu’une partie des dépôts)). </w:t>
      </w:r>
    </w:p>
    <w:p w14:paraId="51145EAF" w14:textId="456B2030" w:rsidR="00960CB0" w:rsidRDefault="00960CB0" w:rsidP="00960CB0">
      <w:pPr>
        <w:pStyle w:val="NormalWeb"/>
        <w:spacing w:before="0" w:beforeAutospacing="0" w:after="0" w:afterAutospacing="0"/>
        <w:rPr>
          <w:rFonts w:ascii="Cambria" w:hAnsi="Cambria"/>
          <w:sz w:val="20"/>
          <w:szCs w:val="20"/>
        </w:rPr>
      </w:pPr>
    </w:p>
    <w:p w14:paraId="39BEB95D" w14:textId="4E29BD6E" w:rsidR="00595F68" w:rsidRDefault="00595F68" w:rsidP="00960CB0">
      <w:pPr>
        <w:pStyle w:val="NormalWeb"/>
        <w:spacing w:before="0" w:beforeAutospacing="0" w:after="0" w:afterAutospacing="0"/>
        <w:rPr>
          <w:rFonts w:ascii="Cambria" w:hAnsi="Cambria"/>
          <w:sz w:val="20"/>
          <w:szCs w:val="20"/>
        </w:rPr>
      </w:pPr>
      <w:r>
        <w:rPr>
          <w:rFonts w:ascii="Cambria" w:hAnsi="Cambria"/>
          <w:sz w:val="20"/>
          <w:szCs w:val="20"/>
        </w:rPr>
        <w:t>D’autres définitions pertinentes :</w:t>
      </w:r>
    </w:p>
    <w:p w14:paraId="2243975F" w14:textId="617BEA3A" w:rsidR="00DF73D2" w:rsidRDefault="00DF73D2" w:rsidP="00595F68">
      <w:pPr>
        <w:pStyle w:val="NormalWeb"/>
        <w:spacing w:before="0" w:beforeAutospacing="0" w:after="0" w:afterAutospacing="0"/>
        <w:ind w:firstLine="708"/>
        <w:rPr>
          <w:rFonts w:ascii="Cambria" w:hAnsi="Cambria"/>
          <w:sz w:val="20"/>
          <w:szCs w:val="20"/>
        </w:rPr>
      </w:pPr>
      <w:r>
        <w:rPr>
          <w:rFonts w:ascii="Cambria" w:hAnsi="Cambria"/>
          <w:sz w:val="20"/>
          <w:szCs w:val="20"/>
        </w:rPr>
        <w:t>Coefficient de réserve : fraction des dépôts que les banques conservent en réserve</w:t>
      </w:r>
    </w:p>
    <w:p w14:paraId="03A59A4B" w14:textId="77777777" w:rsidR="00595F68" w:rsidRDefault="00DF73D2" w:rsidP="00595F68">
      <w:pPr>
        <w:pStyle w:val="NormalWeb"/>
        <w:spacing w:before="0" w:beforeAutospacing="0" w:after="0" w:afterAutospacing="0"/>
        <w:ind w:firstLine="708"/>
        <w:rPr>
          <w:rFonts w:ascii="Cambria" w:hAnsi="Cambria"/>
          <w:sz w:val="20"/>
          <w:szCs w:val="20"/>
        </w:rPr>
      </w:pPr>
      <w:r>
        <w:rPr>
          <w:rFonts w:ascii="Cambria" w:hAnsi="Cambria"/>
          <w:sz w:val="20"/>
          <w:szCs w:val="20"/>
        </w:rPr>
        <w:t xml:space="preserve">Multiplicateur monétaire : quantité de monnaie totale créée par le système bancaire à partir </w:t>
      </w:r>
    </w:p>
    <w:p w14:paraId="1612E285" w14:textId="32550B77" w:rsidR="00DF73D2" w:rsidRDefault="00DF73D2" w:rsidP="00595F68">
      <w:pPr>
        <w:pStyle w:val="NormalWeb"/>
        <w:spacing w:before="0" w:beforeAutospacing="0" w:after="0" w:afterAutospacing="0"/>
        <w:ind w:firstLine="708"/>
        <w:rPr>
          <w:rFonts w:ascii="Cambria" w:hAnsi="Cambria"/>
          <w:sz w:val="20"/>
          <w:szCs w:val="20"/>
        </w:rPr>
      </w:pPr>
      <w:proofErr w:type="gramStart"/>
      <w:r>
        <w:rPr>
          <w:rFonts w:ascii="Cambria" w:hAnsi="Cambria"/>
          <w:sz w:val="20"/>
          <w:szCs w:val="20"/>
        </w:rPr>
        <w:t>d'un</w:t>
      </w:r>
      <w:proofErr w:type="gramEnd"/>
      <w:r>
        <w:rPr>
          <w:rFonts w:ascii="Cambria" w:hAnsi="Cambria"/>
          <w:sz w:val="20"/>
          <w:szCs w:val="20"/>
        </w:rPr>
        <w:t xml:space="preserve"> nouveau dollar de réserve.</w:t>
      </w:r>
    </w:p>
    <w:p w14:paraId="6D88B4F9" w14:textId="77777777" w:rsidR="00DF73D2" w:rsidRDefault="00DF73D2" w:rsidP="00DF73D2">
      <w:pPr>
        <w:pStyle w:val="NormalWeb"/>
        <w:spacing w:before="0" w:beforeAutospacing="0" w:after="0" w:afterAutospacing="0"/>
        <w:ind w:left="1620"/>
        <w:rPr>
          <w:rFonts w:ascii="Cambria" w:hAnsi="Cambria"/>
          <w:sz w:val="20"/>
          <w:szCs w:val="20"/>
        </w:rPr>
      </w:pPr>
      <w:r>
        <w:rPr>
          <w:rFonts w:ascii="Cambria" w:hAnsi="Cambria"/>
          <w:sz w:val="20"/>
          <w:szCs w:val="20"/>
        </w:rPr>
        <w:t>Plus le coefficient de réserve est élevé, moins les banques seront en mesure de faire des prêts et plus le multiplicateur monétaire sera faible.</w:t>
      </w:r>
    </w:p>
    <w:p w14:paraId="30939830" w14:textId="25CC70A8" w:rsidR="00DF73D2" w:rsidRDefault="00DF73D2" w:rsidP="00DF73D2">
      <w:pPr>
        <w:pStyle w:val="NormalWeb"/>
        <w:spacing w:before="0" w:beforeAutospacing="0" w:after="0" w:afterAutospacing="0"/>
        <w:ind w:left="1620"/>
        <w:rPr>
          <w:rFonts w:ascii="Cambria" w:hAnsi="Cambria"/>
          <w:sz w:val="20"/>
          <w:szCs w:val="20"/>
        </w:rPr>
      </w:pPr>
      <w:r>
        <w:rPr>
          <w:rFonts w:ascii="Cambria" w:hAnsi="Cambria"/>
          <w:sz w:val="20"/>
          <w:szCs w:val="20"/>
        </w:rPr>
        <w:t>Lorsque le multiplicateur est de 1, la banque ne fait plus de prêts ni créent de monnaies</w:t>
      </w:r>
    </w:p>
    <w:p w14:paraId="2F0A9A79" w14:textId="37630067" w:rsidR="00595F68" w:rsidRPr="00D806C3" w:rsidRDefault="00595F68" w:rsidP="00595F68">
      <w:pPr>
        <w:pStyle w:val="NormalWeb"/>
        <w:spacing w:before="0" w:beforeAutospacing="0" w:after="0" w:afterAutospacing="0"/>
        <w:ind w:left="912" w:firstLine="708"/>
        <w:rPr>
          <w:rFonts w:ascii="Cambria" w:hAnsi="Cambria"/>
          <w:sz w:val="20"/>
          <w:szCs w:val="20"/>
        </w:rPr>
      </w:pPr>
      <w:r w:rsidRPr="00D806C3">
        <w:rPr>
          <w:rFonts w:ascii="Cambria" w:hAnsi="Cambria"/>
          <w:sz w:val="20"/>
          <w:szCs w:val="20"/>
        </w:rPr>
        <w:t>Sn - (1-R)Sn</w:t>
      </w:r>
    </w:p>
    <w:p w14:paraId="29423A49" w14:textId="77777777" w:rsidR="00DF73D2" w:rsidRDefault="00DF73D2" w:rsidP="00DF73D2">
      <w:pPr>
        <w:pStyle w:val="NormalWeb"/>
        <w:spacing w:before="0" w:beforeAutospacing="0" w:after="0" w:afterAutospacing="0"/>
        <w:ind w:left="540"/>
        <w:rPr>
          <w:rFonts w:ascii="Cambria" w:hAnsi="Cambria"/>
          <w:sz w:val="20"/>
          <w:szCs w:val="20"/>
        </w:rPr>
      </w:pPr>
      <w:r>
        <w:rPr>
          <w:rFonts w:ascii="Cambria" w:hAnsi="Cambria"/>
          <w:sz w:val="20"/>
          <w:szCs w:val="20"/>
        </w:rPr>
        <w:t>Capital de la banque : capitaux propres</w:t>
      </w:r>
    </w:p>
    <w:p w14:paraId="6CC2DBFB" w14:textId="77777777" w:rsidR="00DF73D2" w:rsidRDefault="00DF73D2" w:rsidP="00DF73D2">
      <w:pPr>
        <w:pStyle w:val="NormalWeb"/>
        <w:spacing w:before="0" w:beforeAutospacing="0" w:after="0" w:afterAutospacing="0"/>
        <w:ind w:left="540"/>
        <w:rPr>
          <w:rFonts w:ascii="Cambria" w:hAnsi="Cambria"/>
          <w:sz w:val="20"/>
          <w:szCs w:val="20"/>
        </w:rPr>
      </w:pPr>
      <w:r>
        <w:rPr>
          <w:rFonts w:ascii="Cambria" w:hAnsi="Cambria"/>
          <w:sz w:val="20"/>
          <w:szCs w:val="20"/>
        </w:rPr>
        <w:t xml:space="preserve">Levier financier : utilisation d'argent emprunté à des fins d'investissement </w:t>
      </w:r>
    </w:p>
    <w:p w14:paraId="0A7E27BE" w14:textId="77777777" w:rsidR="00DF73D2" w:rsidRDefault="00DF73D2" w:rsidP="00DF73D2">
      <w:pPr>
        <w:pStyle w:val="NormalWeb"/>
        <w:spacing w:before="0" w:beforeAutospacing="0" w:after="0" w:afterAutospacing="0"/>
        <w:ind w:left="540"/>
        <w:rPr>
          <w:rFonts w:ascii="Cambria" w:hAnsi="Cambria"/>
          <w:sz w:val="20"/>
          <w:szCs w:val="20"/>
        </w:rPr>
      </w:pPr>
      <w:r>
        <w:rPr>
          <w:rFonts w:ascii="Cambria" w:hAnsi="Cambria"/>
          <w:sz w:val="20"/>
          <w:szCs w:val="20"/>
        </w:rPr>
        <w:t>Ratio de levier financier : ratio des actifs par rapport au capital de la banque</w:t>
      </w:r>
    </w:p>
    <w:p w14:paraId="24C76BBB" w14:textId="77777777" w:rsidR="00DF73D2" w:rsidRDefault="00DF73D2" w:rsidP="00DF73D2">
      <w:pPr>
        <w:pStyle w:val="NormalWeb"/>
        <w:spacing w:before="0" w:beforeAutospacing="0" w:after="0" w:afterAutospacing="0"/>
        <w:ind w:left="540"/>
        <w:rPr>
          <w:rFonts w:ascii="Cambria" w:hAnsi="Cambria"/>
          <w:sz w:val="20"/>
          <w:szCs w:val="20"/>
        </w:rPr>
      </w:pPr>
      <w:r>
        <w:rPr>
          <w:rFonts w:ascii="Cambria" w:hAnsi="Cambria"/>
          <w:sz w:val="20"/>
          <w:szCs w:val="20"/>
        </w:rPr>
        <w:t>Besoins en capitaux : Réglementation gouvernementale selon laquelle une banque doit détenir au moins une certaine somme de capitaux</w:t>
      </w:r>
    </w:p>
    <w:p w14:paraId="117CB842" w14:textId="77777777" w:rsidR="00DF73D2" w:rsidRDefault="00DF73D2" w:rsidP="00DF73D2">
      <w:pPr>
        <w:pStyle w:val="NormalWeb"/>
        <w:spacing w:before="0" w:beforeAutospacing="0" w:after="0" w:afterAutospacing="0"/>
        <w:ind w:left="540"/>
        <w:rPr>
          <w:rFonts w:ascii="Cambria" w:hAnsi="Cambria"/>
          <w:sz w:val="20"/>
          <w:szCs w:val="20"/>
        </w:rPr>
      </w:pPr>
      <w:r>
        <w:rPr>
          <w:rFonts w:ascii="Cambria" w:hAnsi="Cambria"/>
          <w:sz w:val="20"/>
          <w:szCs w:val="20"/>
        </w:rPr>
        <w:t>Les modifications du taux directeur</w:t>
      </w:r>
    </w:p>
    <w:p w14:paraId="78B56EDA" w14:textId="77777777" w:rsidR="00DF73D2" w:rsidRDefault="00DF73D2" w:rsidP="00DF73D2">
      <w:pPr>
        <w:pStyle w:val="NormalWeb"/>
        <w:spacing w:before="0" w:beforeAutospacing="0" w:after="0" w:afterAutospacing="0"/>
        <w:ind w:left="1080"/>
        <w:rPr>
          <w:rFonts w:ascii="Cambria" w:hAnsi="Cambria"/>
          <w:sz w:val="20"/>
          <w:szCs w:val="20"/>
        </w:rPr>
      </w:pPr>
      <w:r>
        <w:rPr>
          <w:rFonts w:ascii="Cambria" w:hAnsi="Cambria"/>
          <w:sz w:val="20"/>
          <w:szCs w:val="20"/>
        </w:rPr>
        <w:t>Taux d'escompte : taux d'intérêt auquel la Banque du Canada consent des prêts aux banques</w:t>
      </w:r>
    </w:p>
    <w:p w14:paraId="636A87D8" w14:textId="77777777" w:rsidR="00DF73D2" w:rsidRDefault="00DF73D2" w:rsidP="00DF73D2">
      <w:pPr>
        <w:pStyle w:val="NormalWeb"/>
        <w:spacing w:before="0" w:beforeAutospacing="0" w:after="0" w:afterAutospacing="0"/>
        <w:ind w:left="1080"/>
        <w:rPr>
          <w:rFonts w:ascii="Cambria" w:hAnsi="Cambria"/>
          <w:sz w:val="20"/>
          <w:szCs w:val="20"/>
        </w:rPr>
      </w:pPr>
      <w:r>
        <w:rPr>
          <w:rFonts w:ascii="Cambria" w:hAnsi="Cambria"/>
          <w:sz w:val="20"/>
          <w:szCs w:val="20"/>
        </w:rPr>
        <w:lastRenderedPageBreak/>
        <w:t>Taux créditeur : taux d'intérêt auquel la BC rémunère les dépôts des banques à charte.</w:t>
      </w:r>
    </w:p>
    <w:p w14:paraId="08EA63FB" w14:textId="77777777" w:rsidR="00DF73D2" w:rsidRDefault="00DF73D2" w:rsidP="00DF73D2">
      <w:pPr>
        <w:pStyle w:val="NormalWeb"/>
        <w:spacing w:before="0" w:beforeAutospacing="0" w:after="0" w:afterAutospacing="0"/>
        <w:ind w:left="1080"/>
        <w:rPr>
          <w:rFonts w:ascii="Cambria" w:hAnsi="Cambria"/>
          <w:sz w:val="20"/>
          <w:szCs w:val="20"/>
        </w:rPr>
      </w:pPr>
      <w:r>
        <w:rPr>
          <w:rFonts w:ascii="Cambria" w:hAnsi="Cambria"/>
          <w:sz w:val="20"/>
          <w:szCs w:val="20"/>
        </w:rPr>
        <w:t>Encaisse des règlements : nom des dépôts des banques à charte faits à la banque du Canada.</w:t>
      </w:r>
    </w:p>
    <w:p w14:paraId="230A46FD" w14:textId="6902A6F8" w:rsidR="00DF73D2" w:rsidRPr="00D806C3" w:rsidRDefault="00DF73D2" w:rsidP="00DF73D2">
      <w:pPr>
        <w:pStyle w:val="NormalWeb"/>
        <w:spacing w:before="0" w:beforeAutospacing="0" w:after="0" w:afterAutospacing="0"/>
        <w:ind w:left="540"/>
        <w:rPr>
          <w:rFonts w:ascii="Cambria" w:hAnsi="Cambria"/>
          <w:sz w:val="20"/>
          <w:szCs w:val="20"/>
        </w:rPr>
      </w:pPr>
    </w:p>
    <w:p w14:paraId="5C52113B" w14:textId="77777777" w:rsidR="00DF73D2" w:rsidRPr="00D806C3" w:rsidRDefault="00DF73D2" w:rsidP="00DF73D2">
      <w:pPr>
        <w:pStyle w:val="NormalWeb"/>
        <w:spacing w:before="0" w:beforeAutospacing="0" w:after="0" w:afterAutospacing="0"/>
        <w:ind w:left="540"/>
        <w:rPr>
          <w:rFonts w:ascii="Cambria" w:hAnsi="Cambria"/>
          <w:sz w:val="20"/>
          <w:szCs w:val="20"/>
        </w:rPr>
      </w:pPr>
      <w:r w:rsidRPr="00D806C3">
        <w:rPr>
          <w:rFonts w:ascii="Cambria" w:hAnsi="Cambria"/>
          <w:sz w:val="20"/>
          <w:szCs w:val="20"/>
        </w:rPr>
        <w:t> </w:t>
      </w:r>
    </w:p>
    <w:sectPr w:rsidR="00DF73D2" w:rsidRPr="00D806C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3A91E" w14:textId="77777777" w:rsidR="00AB174C" w:rsidRDefault="00AB174C" w:rsidP="00DF73D2">
      <w:pPr>
        <w:spacing w:after="0" w:line="240" w:lineRule="auto"/>
      </w:pPr>
      <w:r>
        <w:separator/>
      </w:r>
    </w:p>
  </w:endnote>
  <w:endnote w:type="continuationSeparator" w:id="0">
    <w:p w14:paraId="5A7583D1" w14:textId="77777777" w:rsidR="00AB174C" w:rsidRDefault="00AB174C" w:rsidP="00DF7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F4FD5" w14:textId="77777777" w:rsidR="00AB174C" w:rsidRDefault="00AB174C" w:rsidP="00DF73D2">
      <w:pPr>
        <w:spacing w:after="0" w:line="240" w:lineRule="auto"/>
      </w:pPr>
      <w:r>
        <w:separator/>
      </w:r>
    </w:p>
  </w:footnote>
  <w:footnote w:type="continuationSeparator" w:id="0">
    <w:p w14:paraId="6B3A9837" w14:textId="77777777" w:rsidR="00AB174C" w:rsidRDefault="00AB174C" w:rsidP="00DF73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0F8"/>
    <w:rsid w:val="00097A28"/>
    <w:rsid w:val="002D7685"/>
    <w:rsid w:val="00301981"/>
    <w:rsid w:val="00506F08"/>
    <w:rsid w:val="00595F68"/>
    <w:rsid w:val="008A1112"/>
    <w:rsid w:val="008D25ED"/>
    <w:rsid w:val="00960CB0"/>
    <w:rsid w:val="00AB174C"/>
    <w:rsid w:val="00C50FCE"/>
    <w:rsid w:val="00D806C3"/>
    <w:rsid w:val="00D95F47"/>
    <w:rsid w:val="00DF73D2"/>
    <w:rsid w:val="00F230F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F8D813"/>
  <w15:chartTrackingRefBased/>
  <w15:docId w15:val="{E71E4F3B-0126-45CC-83FD-1E30D209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3D2"/>
    <w:pPr>
      <w:tabs>
        <w:tab w:val="center" w:pos="4320"/>
        <w:tab w:val="right" w:pos="8640"/>
      </w:tabs>
      <w:spacing w:after="0" w:line="240" w:lineRule="auto"/>
    </w:pPr>
  </w:style>
  <w:style w:type="character" w:customStyle="1" w:styleId="HeaderChar">
    <w:name w:val="Header Char"/>
    <w:basedOn w:val="DefaultParagraphFont"/>
    <w:link w:val="Header"/>
    <w:uiPriority w:val="99"/>
    <w:rsid w:val="00DF73D2"/>
    <w:rPr>
      <w:lang w:val="en-CA"/>
    </w:rPr>
  </w:style>
  <w:style w:type="paragraph" w:styleId="Footer">
    <w:name w:val="footer"/>
    <w:basedOn w:val="Normal"/>
    <w:link w:val="FooterChar"/>
    <w:uiPriority w:val="99"/>
    <w:unhideWhenUsed/>
    <w:rsid w:val="00DF73D2"/>
    <w:pPr>
      <w:tabs>
        <w:tab w:val="center" w:pos="4320"/>
        <w:tab w:val="right" w:pos="8640"/>
      </w:tabs>
      <w:spacing w:after="0" w:line="240" w:lineRule="auto"/>
    </w:pPr>
  </w:style>
  <w:style w:type="character" w:customStyle="1" w:styleId="FooterChar">
    <w:name w:val="Footer Char"/>
    <w:basedOn w:val="DefaultParagraphFont"/>
    <w:link w:val="Footer"/>
    <w:uiPriority w:val="99"/>
    <w:rsid w:val="00DF73D2"/>
    <w:rPr>
      <w:lang w:val="en-CA"/>
    </w:rPr>
  </w:style>
  <w:style w:type="paragraph" w:styleId="NormalWeb">
    <w:name w:val="Normal (Web)"/>
    <w:basedOn w:val="Normal"/>
    <w:uiPriority w:val="99"/>
    <w:unhideWhenUsed/>
    <w:rsid w:val="00DF73D2"/>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table" w:styleId="TableGrid">
    <w:name w:val="Table Grid"/>
    <w:basedOn w:val="TableNormal"/>
    <w:uiPriority w:val="39"/>
    <w:rsid w:val="008D2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166934">
      <w:bodyDiv w:val="1"/>
      <w:marLeft w:val="0"/>
      <w:marRight w:val="0"/>
      <w:marTop w:val="0"/>
      <w:marBottom w:val="0"/>
      <w:divBdr>
        <w:top w:val="none" w:sz="0" w:space="0" w:color="auto"/>
        <w:left w:val="none" w:sz="0" w:space="0" w:color="auto"/>
        <w:bottom w:val="none" w:sz="0" w:space="0" w:color="auto"/>
        <w:right w:val="none" w:sz="0" w:space="0" w:color="auto"/>
      </w:divBdr>
      <w:divsChild>
        <w:div w:id="1996765545">
          <w:marLeft w:val="0"/>
          <w:marRight w:val="0"/>
          <w:marTop w:val="0"/>
          <w:marBottom w:val="0"/>
          <w:divBdr>
            <w:top w:val="none" w:sz="0" w:space="0" w:color="auto"/>
            <w:left w:val="none" w:sz="0" w:space="0" w:color="auto"/>
            <w:bottom w:val="none" w:sz="0" w:space="0" w:color="auto"/>
            <w:right w:val="none" w:sz="0" w:space="0" w:color="auto"/>
          </w:divBdr>
          <w:divsChild>
            <w:div w:id="1258782552">
              <w:marLeft w:val="0"/>
              <w:marRight w:val="0"/>
              <w:marTop w:val="0"/>
              <w:marBottom w:val="0"/>
              <w:divBdr>
                <w:top w:val="none" w:sz="0" w:space="0" w:color="auto"/>
                <w:left w:val="none" w:sz="0" w:space="0" w:color="auto"/>
                <w:bottom w:val="none" w:sz="0" w:space="0" w:color="auto"/>
                <w:right w:val="none" w:sz="0" w:space="0" w:color="auto"/>
              </w:divBdr>
              <w:divsChild>
                <w:div w:id="24314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764109">
      <w:bodyDiv w:val="1"/>
      <w:marLeft w:val="0"/>
      <w:marRight w:val="0"/>
      <w:marTop w:val="0"/>
      <w:marBottom w:val="0"/>
      <w:divBdr>
        <w:top w:val="none" w:sz="0" w:space="0" w:color="auto"/>
        <w:left w:val="none" w:sz="0" w:space="0" w:color="auto"/>
        <w:bottom w:val="none" w:sz="0" w:space="0" w:color="auto"/>
        <w:right w:val="none" w:sz="0" w:space="0" w:color="auto"/>
      </w:divBdr>
      <w:divsChild>
        <w:div w:id="510989282">
          <w:marLeft w:val="0"/>
          <w:marRight w:val="0"/>
          <w:marTop w:val="0"/>
          <w:marBottom w:val="0"/>
          <w:divBdr>
            <w:top w:val="none" w:sz="0" w:space="0" w:color="auto"/>
            <w:left w:val="none" w:sz="0" w:space="0" w:color="auto"/>
            <w:bottom w:val="none" w:sz="0" w:space="0" w:color="auto"/>
            <w:right w:val="none" w:sz="0" w:space="0" w:color="auto"/>
          </w:divBdr>
          <w:divsChild>
            <w:div w:id="1926188975">
              <w:marLeft w:val="0"/>
              <w:marRight w:val="0"/>
              <w:marTop w:val="0"/>
              <w:marBottom w:val="0"/>
              <w:divBdr>
                <w:top w:val="none" w:sz="0" w:space="0" w:color="auto"/>
                <w:left w:val="none" w:sz="0" w:space="0" w:color="auto"/>
                <w:bottom w:val="none" w:sz="0" w:space="0" w:color="auto"/>
                <w:right w:val="none" w:sz="0" w:space="0" w:color="auto"/>
              </w:divBdr>
              <w:divsChild>
                <w:div w:id="160703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Pages>
  <Words>512</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North</dc:creator>
  <cp:keywords/>
  <dc:description/>
  <cp:lastModifiedBy>Christopher North</cp:lastModifiedBy>
  <cp:revision>8</cp:revision>
  <dcterms:created xsi:type="dcterms:W3CDTF">2019-02-27T16:38:00Z</dcterms:created>
  <dcterms:modified xsi:type="dcterms:W3CDTF">2019-03-01T20:09:00Z</dcterms:modified>
</cp:coreProperties>
</file>