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6B83E" w14:textId="4BF4030A" w:rsidR="0098148A" w:rsidRDefault="0098148A" w:rsidP="0098148A">
      <w:pPr>
        <w:pStyle w:val="NormalWeb"/>
        <w:spacing w:before="0" w:beforeAutospacing="0" w:after="0" w:afterAutospacing="0"/>
        <w:jc w:val="center"/>
        <w:rPr>
          <w:rFonts w:ascii="Cambria" w:hAnsi="Cambria"/>
          <w:sz w:val="20"/>
          <w:szCs w:val="20"/>
        </w:rPr>
      </w:pPr>
      <w:r>
        <w:rPr>
          <w:rFonts w:ascii="Cambria" w:hAnsi="Cambria"/>
          <w:sz w:val="20"/>
          <w:szCs w:val="20"/>
        </w:rPr>
        <w:t>La mesure du coût de vie</w:t>
      </w:r>
    </w:p>
    <w:p w14:paraId="6B257BC9" w14:textId="180AB01A" w:rsidR="0098148A" w:rsidRDefault="0098148A" w:rsidP="0098148A">
      <w:pPr>
        <w:pStyle w:val="NormalWeb"/>
        <w:spacing w:before="0" w:beforeAutospacing="0" w:after="0" w:afterAutospacing="0"/>
        <w:rPr>
          <w:rFonts w:ascii="Cambria" w:hAnsi="Cambria"/>
          <w:sz w:val="20"/>
          <w:szCs w:val="20"/>
        </w:rPr>
      </w:pPr>
    </w:p>
    <w:p w14:paraId="68766BA0" w14:textId="0ED1C7A6" w:rsidR="0098148A" w:rsidRDefault="0098148A" w:rsidP="006A519F">
      <w:pPr>
        <w:pStyle w:val="NormalWeb"/>
        <w:spacing w:before="0" w:beforeAutospacing="0" w:after="0" w:afterAutospacing="0"/>
        <w:rPr>
          <w:rFonts w:ascii="Cambria" w:hAnsi="Cambria"/>
          <w:sz w:val="20"/>
          <w:szCs w:val="20"/>
        </w:rPr>
      </w:pPr>
      <w:r>
        <w:rPr>
          <w:rFonts w:ascii="Cambria" w:hAnsi="Cambria"/>
          <w:sz w:val="20"/>
          <w:szCs w:val="20"/>
        </w:rPr>
        <w:t>Dans le chapitre précédent, on a mis l’emphase sur le PIB, cependant ce statistique n’est pas la méthode unique de mesurer la richesse d’un pays. En effet, plusieurs économistes ne croient pas que le PIB/habitant est une bonne mesure du bien-être économique. Le PIB est loin d’être parfait et plusieurs ne s’en fit pas à ce statistique parce qu’elle ne prend pas en considération : les loisirs, la production par les ménages, la qualité de l’environnement, la distribution du revenu, les étrangers, la qualité du système de santé et la qualité de l’éducation entre autres. Il n’est que lorsqu’on observe des données internationales qu’on puisse estimer la valeur de notre qualité de vie.</w:t>
      </w:r>
    </w:p>
    <w:p w14:paraId="702427B1" w14:textId="5A2FB026" w:rsidR="00FC0587" w:rsidRDefault="006A519F" w:rsidP="00FC0587">
      <w:pPr>
        <w:pStyle w:val="NormalWeb"/>
        <w:spacing w:before="0" w:beforeAutospacing="0" w:after="0" w:afterAutospacing="0"/>
        <w:rPr>
          <w:rFonts w:ascii="Cambria" w:hAnsi="Cambria"/>
          <w:sz w:val="20"/>
          <w:szCs w:val="20"/>
        </w:rPr>
      </w:pPr>
      <w:r>
        <w:rPr>
          <w:rFonts w:ascii="Cambria" w:hAnsi="Cambria"/>
          <w:sz w:val="20"/>
          <w:szCs w:val="20"/>
        </w:rPr>
        <w:br/>
      </w:r>
      <w:r w:rsidR="0098148A">
        <w:rPr>
          <w:rFonts w:ascii="Cambria" w:hAnsi="Cambria"/>
          <w:sz w:val="20"/>
          <w:szCs w:val="20"/>
        </w:rPr>
        <w:tab/>
        <w:t>Ces défauts avec le PIB sont parmi plusieurs raisons que des économistes se fit à l’indice des prix à la consommation</w:t>
      </w:r>
      <w:r w:rsidR="00FC0587">
        <w:rPr>
          <w:rFonts w:ascii="Cambria" w:hAnsi="Cambria"/>
          <w:sz w:val="20"/>
          <w:szCs w:val="20"/>
        </w:rPr>
        <w:t xml:space="preserve"> (IPC)</w:t>
      </w:r>
      <w:r w:rsidR="0098148A">
        <w:rPr>
          <w:rFonts w:ascii="Cambria" w:hAnsi="Cambria"/>
          <w:sz w:val="20"/>
          <w:szCs w:val="20"/>
        </w:rPr>
        <w:t>, une statistique qui permet de suivre l’évolution du coût de la vie.</w:t>
      </w:r>
      <w:r w:rsidR="00FC0587">
        <w:rPr>
          <w:rFonts w:ascii="Cambria" w:hAnsi="Cambria"/>
          <w:sz w:val="20"/>
          <w:szCs w:val="20"/>
        </w:rPr>
        <w:t xml:space="preserve"> Elle est directement proportionnelle à la dépense d’une famille (L’IPC augmentent, la famille dépense davantage). On calcule le IPC en 5 étapes :</w:t>
      </w:r>
    </w:p>
    <w:p w14:paraId="72857F2A" w14:textId="650612BC" w:rsidR="00FC0587" w:rsidRDefault="00FC0587" w:rsidP="00FC0587">
      <w:pPr>
        <w:pStyle w:val="NormalWeb"/>
        <w:numPr>
          <w:ilvl w:val="0"/>
          <w:numId w:val="2"/>
        </w:numPr>
        <w:spacing w:before="0" w:beforeAutospacing="0" w:after="0" w:afterAutospacing="0"/>
        <w:rPr>
          <w:rFonts w:ascii="Cambria" w:hAnsi="Cambria"/>
          <w:sz w:val="20"/>
          <w:szCs w:val="20"/>
        </w:rPr>
      </w:pPr>
      <w:r>
        <w:rPr>
          <w:rFonts w:ascii="Cambria" w:hAnsi="Cambria"/>
          <w:sz w:val="20"/>
          <w:szCs w:val="20"/>
        </w:rPr>
        <w:t>Déterminer la composition du panier</w:t>
      </w:r>
    </w:p>
    <w:p w14:paraId="35099262" w14:textId="48C73ECC" w:rsidR="00FC0587" w:rsidRDefault="00FC0587" w:rsidP="00FC0587">
      <w:pPr>
        <w:pStyle w:val="NormalWeb"/>
        <w:numPr>
          <w:ilvl w:val="1"/>
          <w:numId w:val="2"/>
        </w:numPr>
        <w:spacing w:before="0" w:beforeAutospacing="0" w:after="0" w:afterAutospacing="0"/>
        <w:rPr>
          <w:rFonts w:ascii="Cambria" w:hAnsi="Cambria"/>
          <w:sz w:val="20"/>
          <w:szCs w:val="20"/>
        </w:rPr>
      </w:pPr>
      <w:r>
        <w:rPr>
          <w:rFonts w:ascii="Cambria" w:hAnsi="Cambria"/>
          <w:sz w:val="20"/>
          <w:szCs w:val="20"/>
        </w:rPr>
        <w:t>X montant de bien X et Y montant de bien Y</w:t>
      </w:r>
    </w:p>
    <w:p w14:paraId="1EC0F3C0" w14:textId="582DAA46" w:rsidR="00FC0587" w:rsidRDefault="00FC0587" w:rsidP="00FC0587">
      <w:pPr>
        <w:pStyle w:val="NormalWeb"/>
        <w:numPr>
          <w:ilvl w:val="0"/>
          <w:numId w:val="2"/>
        </w:numPr>
        <w:spacing w:before="0" w:beforeAutospacing="0" w:after="0" w:afterAutospacing="0"/>
        <w:rPr>
          <w:rFonts w:ascii="Cambria" w:hAnsi="Cambria"/>
          <w:sz w:val="20"/>
          <w:szCs w:val="20"/>
        </w:rPr>
      </w:pPr>
      <w:r>
        <w:rPr>
          <w:rFonts w:ascii="Cambria" w:hAnsi="Cambria"/>
          <w:sz w:val="20"/>
          <w:szCs w:val="20"/>
        </w:rPr>
        <w:t>Rechercher les prix des biens dans le panier à travers les années</w:t>
      </w:r>
    </w:p>
    <w:p w14:paraId="6ADA6A52" w14:textId="714FBB67" w:rsidR="00FC0587" w:rsidRDefault="00FC0587" w:rsidP="00FC0587">
      <w:pPr>
        <w:pStyle w:val="NormalWeb"/>
        <w:numPr>
          <w:ilvl w:val="1"/>
          <w:numId w:val="2"/>
        </w:numPr>
        <w:spacing w:before="0" w:beforeAutospacing="0" w:after="0" w:afterAutospacing="0"/>
        <w:rPr>
          <w:rFonts w:ascii="Cambria" w:hAnsi="Cambria"/>
          <w:sz w:val="20"/>
          <w:szCs w:val="20"/>
        </w:rPr>
      </w:pPr>
      <w:r>
        <w:rPr>
          <w:rFonts w:ascii="Cambria" w:hAnsi="Cambria"/>
          <w:sz w:val="20"/>
          <w:szCs w:val="20"/>
        </w:rPr>
        <w:t>Le bien X durant l’année X coût Y. Le bien X durant l’année W coût Z…</w:t>
      </w:r>
    </w:p>
    <w:p w14:paraId="1AD554E2" w14:textId="3375EB8B" w:rsidR="00FC0587" w:rsidRDefault="00FC0587" w:rsidP="00FC0587">
      <w:pPr>
        <w:pStyle w:val="NormalWeb"/>
        <w:numPr>
          <w:ilvl w:val="0"/>
          <w:numId w:val="2"/>
        </w:numPr>
        <w:spacing w:before="0" w:beforeAutospacing="0" w:after="0" w:afterAutospacing="0"/>
        <w:rPr>
          <w:rFonts w:ascii="Cambria" w:hAnsi="Cambria"/>
          <w:sz w:val="20"/>
          <w:szCs w:val="20"/>
        </w:rPr>
      </w:pPr>
      <w:r>
        <w:rPr>
          <w:rFonts w:ascii="Cambria" w:hAnsi="Cambria"/>
          <w:sz w:val="20"/>
          <w:szCs w:val="20"/>
        </w:rPr>
        <w:t>Calculer le coût du panier</w:t>
      </w:r>
    </w:p>
    <w:p w14:paraId="4DDA0E15" w14:textId="77EE0AFB" w:rsidR="00FC0587" w:rsidRDefault="00FC0587" w:rsidP="00FC0587">
      <w:pPr>
        <w:pStyle w:val="NormalWeb"/>
        <w:numPr>
          <w:ilvl w:val="1"/>
          <w:numId w:val="2"/>
        </w:numPr>
        <w:spacing w:before="0" w:beforeAutospacing="0" w:after="0" w:afterAutospacing="0"/>
        <w:rPr>
          <w:rFonts w:ascii="Cambria" w:hAnsi="Cambria"/>
          <w:sz w:val="20"/>
          <w:szCs w:val="20"/>
        </w:rPr>
      </w:pPr>
      <w:r>
        <w:rPr>
          <w:rFonts w:ascii="Cambria" w:hAnsi="Cambria"/>
          <w:sz w:val="20"/>
          <w:szCs w:val="20"/>
        </w:rPr>
        <w:t>(F unités de X fois prix de l’année actuel + G unités de Y fois prix de l’année actuel) *ceci pour chaque année que l’IPC doit être calculé.</w:t>
      </w:r>
    </w:p>
    <w:p w14:paraId="022838B9" w14:textId="5B56972C" w:rsidR="00FC0587" w:rsidRDefault="00FC0587" w:rsidP="00FC0587">
      <w:pPr>
        <w:pStyle w:val="NormalWeb"/>
        <w:numPr>
          <w:ilvl w:val="0"/>
          <w:numId w:val="2"/>
        </w:numPr>
        <w:spacing w:before="0" w:beforeAutospacing="0" w:after="0" w:afterAutospacing="0"/>
        <w:rPr>
          <w:rFonts w:ascii="Cambria" w:hAnsi="Cambria"/>
          <w:sz w:val="20"/>
          <w:szCs w:val="20"/>
        </w:rPr>
      </w:pPr>
      <w:r>
        <w:rPr>
          <w:rFonts w:ascii="Cambria" w:hAnsi="Cambria"/>
          <w:sz w:val="20"/>
          <w:szCs w:val="20"/>
        </w:rPr>
        <w:t>Choix d’une année de base et le calcul de l’indice</w:t>
      </w:r>
    </w:p>
    <w:p w14:paraId="23F25DFC" w14:textId="74F27E42" w:rsidR="00FC0587" w:rsidRDefault="00FC0587" w:rsidP="00FC0587">
      <w:pPr>
        <w:pStyle w:val="NormalWeb"/>
        <w:numPr>
          <w:ilvl w:val="1"/>
          <w:numId w:val="2"/>
        </w:numPr>
        <w:spacing w:before="0" w:beforeAutospacing="0" w:after="0" w:afterAutospacing="0"/>
        <w:rPr>
          <w:rFonts w:ascii="Cambria" w:hAnsi="Cambria"/>
          <w:sz w:val="20"/>
          <w:szCs w:val="20"/>
        </w:rPr>
      </w:pPr>
      <w:r>
        <w:rPr>
          <w:rFonts w:ascii="Cambria" w:hAnsi="Cambria"/>
          <w:sz w:val="20"/>
          <w:szCs w:val="20"/>
        </w:rPr>
        <w:t>(</w:t>
      </w:r>
      <w:r w:rsidR="00DE194E">
        <w:rPr>
          <w:rFonts w:ascii="Cambria" w:hAnsi="Cambria"/>
          <w:sz w:val="20"/>
          <w:szCs w:val="20"/>
        </w:rPr>
        <w:t xml:space="preserve">IPC = </w:t>
      </w:r>
      <w:r>
        <w:rPr>
          <w:rFonts w:ascii="Cambria" w:hAnsi="Cambria"/>
          <w:sz w:val="20"/>
          <w:szCs w:val="20"/>
        </w:rPr>
        <w:t>Prix du panier à l’année X fois 100/Prix de l’année de base)</w:t>
      </w:r>
    </w:p>
    <w:p w14:paraId="18FD008A" w14:textId="74241591" w:rsidR="00FC0587" w:rsidRDefault="00DE194E" w:rsidP="006A519F">
      <w:pPr>
        <w:pStyle w:val="NormalWeb"/>
        <w:numPr>
          <w:ilvl w:val="0"/>
          <w:numId w:val="2"/>
        </w:numPr>
        <w:spacing w:before="0" w:beforeAutospacing="0" w:after="0" w:afterAutospacing="0"/>
        <w:rPr>
          <w:rFonts w:ascii="Cambria" w:hAnsi="Cambria"/>
          <w:sz w:val="20"/>
          <w:szCs w:val="20"/>
        </w:rPr>
      </w:pPr>
      <w:r>
        <w:rPr>
          <w:rFonts w:ascii="Cambria" w:hAnsi="Cambria"/>
          <w:sz w:val="20"/>
          <w:szCs w:val="20"/>
        </w:rPr>
        <w:t>Calcul du taux d’inflation*</w:t>
      </w:r>
    </w:p>
    <w:p w14:paraId="6F195587" w14:textId="79736248" w:rsidR="00DE194E" w:rsidRPr="00DE194E" w:rsidRDefault="00DE194E" w:rsidP="00DE194E">
      <w:pPr>
        <w:pStyle w:val="NormalWeb"/>
        <w:numPr>
          <w:ilvl w:val="1"/>
          <w:numId w:val="2"/>
        </w:numPr>
        <w:spacing w:before="0" w:beforeAutospacing="0" w:after="0" w:afterAutospacing="0"/>
        <w:rPr>
          <w:rFonts w:ascii="Cambria" w:hAnsi="Cambria"/>
          <w:sz w:val="20"/>
          <w:szCs w:val="20"/>
        </w:rPr>
      </w:pPr>
      <w:r>
        <w:rPr>
          <w:rFonts w:ascii="Cambria" w:hAnsi="Cambria"/>
          <w:sz w:val="20"/>
          <w:szCs w:val="20"/>
        </w:rPr>
        <w:t>((Résultat d'étape 4 - indice de l'année de base) fois 100/l'indice de l'année précédente)</w:t>
      </w:r>
    </w:p>
    <w:p w14:paraId="22A47B12" w14:textId="13F105B5" w:rsidR="00DE194E" w:rsidRDefault="00DE194E" w:rsidP="006A519F">
      <w:pPr>
        <w:pStyle w:val="NormalWeb"/>
        <w:spacing w:before="0" w:beforeAutospacing="0" w:after="0" w:afterAutospacing="0"/>
        <w:rPr>
          <w:rFonts w:ascii="Cambria" w:hAnsi="Cambria"/>
          <w:sz w:val="20"/>
          <w:szCs w:val="20"/>
        </w:rPr>
      </w:pPr>
    </w:p>
    <w:p w14:paraId="6FCB4A9D" w14:textId="275C4567" w:rsidR="00DE194E" w:rsidRDefault="00DE194E" w:rsidP="00DE194E">
      <w:pPr>
        <w:pStyle w:val="NormalWeb"/>
        <w:spacing w:before="0" w:beforeAutospacing="0" w:after="0" w:afterAutospacing="0"/>
        <w:ind w:firstLine="708"/>
        <w:rPr>
          <w:rFonts w:ascii="Cambria" w:hAnsi="Cambria"/>
          <w:sz w:val="20"/>
          <w:szCs w:val="20"/>
        </w:rPr>
      </w:pPr>
      <w:r>
        <w:rPr>
          <w:rFonts w:ascii="Cambria" w:hAnsi="Cambria"/>
          <w:sz w:val="20"/>
          <w:szCs w:val="20"/>
        </w:rPr>
        <w:t>*</w:t>
      </w:r>
      <w:r w:rsidR="006A519F">
        <w:rPr>
          <w:rFonts w:ascii="Cambria" w:hAnsi="Cambria"/>
          <w:sz w:val="20"/>
          <w:szCs w:val="20"/>
        </w:rPr>
        <w:t>Le taux d'inflation mesure la variation du niveau générale des prix entre périodes.</w:t>
      </w:r>
      <w:r w:rsidR="006A519F">
        <w:rPr>
          <w:rFonts w:ascii="Cambria" w:hAnsi="Cambria"/>
          <w:sz w:val="20"/>
          <w:szCs w:val="20"/>
        </w:rPr>
        <w:br/>
        <w:t> </w:t>
      </w:r>
    </w:p>
    <w:p w14:paraId="5C657376" w14:textId="26851BD6" w:rsidR="00DE194E" w:rsidRDefault="00DE194E" w:rsidP="00DE194E">
      <w:pPr>
        <w:pStyle w:val="NormalWeb"/>
        <w:spacing w:before="0" w:beforeAutospacing="0" w:after="0" w:afterAutospacing="0"/>
        <w:ind w:firstLine="708"/>
        <w:rPr>
          <w:rFonts w:ascii="Cambria" w:hAnsi="Cambria"/>
          <w:sz w:val="20"/>
          <w:szCs w:val="20"/>
        </w:rPr>
      </w:pPr>
      <w:r>
        <w:rPr>
          <w:rFonts w:ascii="Cambria" w:hAnsi="Cambria"/>
          <w:sz w:val="20"/>
          <w:szCs w:val="20"/>
        </w:rPr>
        <w:t>Tout cela étant dit, l’IPC n’est pas parfait et elle est sujet à surévaluer les changements actuels par environ 0,6%. De plus, elle tombe victime à quatre grandes difficultés : le biais de substitution, l’introduction de nouveaux produits, la variation non-mesurée de la qualité des produits et le biais de substitution vis-à-vis des lieux de vente.</w:t>
      </w:r>
    </w:p>
    <w:p w14:paraId="724001F6" w14:textId="23899392" w:rsidR="00DE194E" w:rsidRDefault="00DE194E" w:rsidP="00DE194E">
      <w:pPr>
        <w:pStyle w:val="NormalWeb"/>
        <w:spacing w:before="0" w:beforeAutospacing="0" w:after="0" w:afterAutospacing="0"/>
        <w:ind w:firstLine="708"/>
        <w:rPr>
          <w:rFonts w:ascii="Cambria" w:hAnsi="Cambria"/>
          <w:sz w:val="20"/>
          <w:szCs w:val="20"/>
        </w:rPr>
      </w:pPr>
    </w:p>
    <w:p w14:paraId="58968F98" w14:textId="6644CFB0" w:rsidR="00DE194E" w:rsidRDefault="00DE194E" w:rsidP="00DE194E">
      <w:pPr>
        <w:pStyle w:val="NormalWeb"/>
        <w:spacing w:before="0" w:beforeAutospacing="0" w:after="0" w:afterAutospacing="0"/>
        <w:ind w:firstLine="708"/>
        <w:rPr>
          <w:rFonts w:ascii="Cambria" w:hAnsi="Cambria"/>
          <w:sz w:val="20"/>
          <w:szCs w:val="20"/>
        </w:rPr>
      </w:pPr>
      <w:r>
        <w:rPr>
          <w:rFonts w:ascii="Cambria" w:hAnsi="Cambria"/>
          <w:sz w:val="20"/>
          <w:szCs w:val="20"/>
        </w:rPr>
        <w:t>Il y existe une relation intéressante entre le déflateur du PIB et l’IPC vues qu’elles évoluent de façons comparables. Elles divergent dans deux façons…</w:t>
      </w:r>
    </w:p>
    <w:p w14:paraId="78E08ECA" w14:textId="59D2E540" w:rsidR="00DE194E" w:rsidRDefault="00DE194E" w:rsidP="00DE194E">
      <w:pPr>
        <w:pStyle w:val="NormalWeb"/>
        <w:spacing w:before="0" w:beforeAutospacing="0" w:after="0" w:afterAutospacing="0"/>
        <w:rPr>
          <w:rFonts w:ascii="Cambria" w:hAnsi="Cambria"/>
          <w:sz w:val="20"/>
          <w:szCs w:val="20"/>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15"/>
        <w:gridCol w:w="4315"/>
      </w:tblGrid>
      <w:tr w:rsidR="00DE194E" w14:paraId="7C8A634A" w14:textId="77777777" w:rsidTr="00DE194E">
        <w:tc>
          <w:tcPr>
            <w:tcW w:w="4315" w:type="dxa"/>
          </w:tcPr>
          <w:p w14:paraId="057B3353" w14:textId="1BEECD79" w:rsidR="00DE194E" w:rsidRDefault="00DE194E" w:rsidP="00DE194E">
            <w:pPr>
              <w:pStyle w:val="NormalWeb"/>
              <w:spacing w:before="0" w:beforeAutospacing="0" w:after="0" w:afterAutospacing="0"/>
              <w:jc w:val="right"/>
              <w:rPr>
                <w:rFonts w:ascii="Cambria" w:hAnsi="Cambria"/>
                <w:sz w:val="20"/>
                <w:szCs w:val="20"/>
              </w:rPr>
            </w:pPr>
            <w:r>
              <w:rPr>
                <w:rFonts w:ascii="Cambria" w:hAnsi="Cambria"/>
                <w:sz w:val="20"/>
                <w:szCs w:val="20"/>
              </w:rPr>
              <w:t>Le déflateur du PIB</w:t>
            </w:r>
          </w:p>
        </w:tc>
        <w:tc>
          <w:tcPr>
            <w:tcW w:w="4315" w:type="dxa"/>
          </w:tcPr>
          <w:p w14:paraId="626CA1DC" w14:textId="3A2EAC26" w:rsidR="00DE194E" w:rsidRDefault="00DE194E" w:rsidP="00DE194E">
            <w:pPr>
              <w:pStyle w:val="NormalWeb"/>
              <w:spacing w:before="0" w:beforeAutospacing="0" w:after="0" w:afterAutospacing="0"/>
              <w:rPr>
                <w:rFonts w:ascii="Cambria" w:hAnsi="Cambria"/>
                <w:sz w:val="20"/>
                <w:szCs w:val="20"/>
              </w:rPr>
            </w:pPr>
            <w:r>
              <w:rPr>
                <w:rFonts w:ascii="Cambria" w:hAnsi="Cambria"/>
                <w:sz w:val="20"/>
                <w:szCs w:val="20"/>
              </w:rPr>
              <w:t>L’IPC</w:t>
            </w:r>
          </w:p>
        </w:tc>
      </w:tr>
      <w:tr w:rsidR="00DE194E" w:rsidRPr="00DE194E" w14:paraId="68CFF4F7" w14:textId="77777777" w:rsidTr="00DE194E">
        <w:tc>
          <w:tcPr>
            <w:tcW w:w="4315" w:type="dxa"/>
          </w:tcPr>
          <w:p w14:paraId="3F2ECEE9" w14:textId="77777777" w:rsidR="00DE194E" w:rsidRDefault="00DE194E" w:rsidP="00DE194E">
            <w:pPr>
              <w:pStyle w:val="NormalWeb"/>
              <w:numPr>
                <w:ilvl w:val="0"/>
                <w:numId w:val="3"/>
              </w:numPr>
              <w:spacing w:before="0" w:beforeAutospacing="0" w:after="0" w:afterAutospacing="0"/>
              <w:rPr>
                <w:rFonts w:ascii="Cambria" w:hAnsi="Cambria"/>
                <w:sz w:val="20"/>
                <w:szCs w:val="20"/>
              </w:rPr>
            </w:pPr>
            <w:r>
              <w:rPr>
                <w:rFonts w:ascii="Cambria" w:hAnsi="Cambria"/>
                <w:sz w:val="20"/>
                <w:szCs w:val="20"/>
              </w:rPr>
              <w:t>Représente les biens et services produits dans un pays</w:t>
            </w:r>
          </w:p>
          <w:p w14:paraId="640FFD13" w14:textId="25AAABA3" w:rsidR="00DE194E" w:rsidRDefault="00DE194E" w:rsidP="00DE194E">
            <w:pPr>
              <w:pStyle w:val="NormalWeb"/>
              <w:numPr>
                <w:ilvl w:val="0"/>
                <w:numId w:val="3"/>
              </w:numPr>
              <w:spacing w:before="0" w:beforeAutospacing="0" w:after="0" w:afterAutospacing="0"/>
              <w:rPr>
                <w:rFonts w:ascii="Cambria" w:hAnsi="Cambria"/>
                <w:sz w:val="20"/>
                <w:szCs w:val="20"/>
              </w:rPr>
            </w:pPr>
            <w:r>
              <w:rPr>
                <w:rFonts w:ascii="Cambria" w:hAnsi="Cambria"/>
                <w:sz w:val="20"/>
                <w:szCs w:val="20"/>
              </w:rPr>
              <w:t>Compare les prix des biens et des services produits de façon courante avec les prix des mêmes biens et services produits lors de l’année de référence.</w:t>
            </w:r>
          </w:p>
        </w:tc>
        <w:tc>
          <w:tcPr>
            <w:tcW w:w="4315" w:type="dxa"/>
          </w:tcPr>
          <w:p w14:paraId="4601736E" w14:textId="77777777" w:rsidR="00DE194E" w:rsidRDefault="00DE194E" w:rsidP="00DE194E">
            <w:pPr>
              <w:pStyle w:val="NormalWeb"/>
              <w:numPr>
                <w:ilvl w:val="0"/>
                <w:numId w:val="3"/>
              </w:numPr>
              <w:spacing w:before="0" w:beforeAutospacing="0" w:after="0" w:afterAutospacing="0"/>
              <w:rPr>
                <w:rFonts w:ascii="Cambria" w:hAnsi="Cambria"/>
                <w:sz w:val="20"/>
                <w:szCs w:val="20"/>
              </w:rPr>
            </w:pPr>
            <w:r>
              <w:rPr>
                <w:rFonts w:ascii="Cambria" w:hAnsi="Cambria"/>
                <w:sz w:val="20"/>
                <w:szCs w:val="20"/>
              </w:rPr>
              <w:t>Représente les biens et services achetés par les consommateurs</w:t>
            </w:r>
          </w:p>
          <w:p w14:paraId="546CB105" w14:textId="2EE515A9" w:rsidR="00DE194E" w:rsidRDefault="00DE194E" w:rsidP="00DE194E">
            <w:pPr>
              <w:pStyle w:val="NormalWeb"/>
              <w:numPr>
                <w:ilvl w:val="0"/>
                <w:numId w:val="3"/>
              </w:numPr>
              <w:spacing w:before="0" w:beforeAutospacing="0" w:after="0" w:afterAutospacing="0"/>
              <w:rPr>
                <w:rFonts w:ascii="Cambria" w:hAnsi="Cambria"/>
                <w:sz w:val="20"/>
                <w:szCs w:val="20"/>
              </w:rPr>
            </w:pPr>
            <w:r>
              <w:rPr>
                <w:rFonts w:ascii="Cambria" w:hAnsi="Cambria"/>
                <w:sz w:val="20"/>
                <w:szCs w:val="20"/>
              </w:rPr>
              <w:t>Compare le prix d’un panier de biens et de services durant l’année de base avec le prix de ce même panier à l’année courante</w:t>
            </w:r>
          </w:p>
        </w:tc>
      </w:tr>
    </w:tbl>
    <w:p w14:paraId="0AB1AA7C" w14:textId="77777777" w:rsidR="00DE194E" w:rsidRDefault="00DE194E" w:rsidP="00DE194E">
      <w:pPr>
        <w:pStyle w:val="NormalWeb"/>
        <w:spacing w:before="0" w:beforeAutospacing="0" w:after="0" w:afterAutospacing="0"/>
        <w:rPr>
          <w:rFonts w:ascii="Cambria" w:hAnsi="Cambria"/>
          <w:sz w:val="20"/>
          <w:szCs w:val="20"/>
        </w:rPr>
      </w:pPr>
    </w:p>
    <w:p w14:paraId="4C690794" w14:textId="77777777" w:rsidR="00DE194E" w:rsidRDefault="00DE194E" w:rsidP="00DE194E">
      <w:pPr>
        <w:pStyle w:val="NormalWeb"/>
        <w:spacing w:before="0" w:beforeAutospacing="0" w:after="0" w:afterAutospacing="0"/>
        <w:rPr>
          <w:rFonts w:ascii="Cambria" w:hAnsi="Cambria"/>
          <w:sz w:val="20"/>
          <w:szCs w:val="20"/>
        </w:rPr>
      </w:pPr>
    </w:p>
    <w:p w14:paraId="174D5931" w14:textId="24500B64" w:rsidR="006A519F" w:rsidRDefault="00DE194E" w:rsidP="00DE194E">
      <w:pPr>
        <w:pStyle w:val="NormalWeb"/>
        <w:spacing w:before="0" w:beforeAutospacing="0" w:after="0" w:afterAutospacing="0"/>
        <w:rPr>
          <w:rFonts w:ascii="Cambria" w:hAnsi="Cambria"/>
          <w:sz w:val="20"/>
          <w:szCs w:val="20"/>
        </w:rPr>
      </w:pPr>
      <w:r>
        <w:rPr>
          <w:rFonts w:ascii="Cambria" w:hAnsi="Cambria"/>
          <w:sz w:val="20"/>
          <w:szCs w:val="20"/>
        </w:rPr>
        <w:t xml:space="preserve">À noter : l’IPC peut aussi être utilisé afin d’ajuster des salaires et la monnaie d’une année à l’autre afin qu’ils soient comparables à une année de référence. Pour ce calcule, il s’agit de : </w:t>
      </w:r>
      <w:r w:rsidR="006A519F">
        <w:rPr>
          <w:rFonts w:ascii="Cambria" w:hAnsi="Cambria"/>
          <w:sz w:val="20"/>
          <w:szCs w:val="20"/>
        </w:rPr>
        <w:t>Salaire d'année X fois IPC de l'année actuel/IPC de l'année X</w:t>
      </w:r>
      <w:r>
        <w:rPr>
          <w:rFonts w:ascii="Cambria" w:hAnsi="Cambria"/>
          <w:sz w:val="20"/>
          <w:szCs w:val="20"/>
        </w:rPr>
        <w:t>.</w:t>
      </w:r>
    </w:p>
    <w:p w14:paraId="2633BBA4" w14:textId="77777777" w:rsidR="002D7685" w:rsidRPr="006A519F" w:rsidRDefault="002D7685">
      <w:pPr>
        <w:rPr>
          <w:lang w:val="fr-CA"/>
        </w:rPr>
      </w:pPr>
      <w:bookmarkStart w:id="0" w:name="_GoBack"/>
      <w:bookmarkEnd w:id="0"/>
    </w:p>
    <w:sectPr w:rsidR="002D7685" w:rsidRPr="006A51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D5E91"/>
    <w:multiLevelType w:val="hybridMultilevel"/>
    <w:tmpl w:val="E80E26D0"/>
    <w:lvl w:ilvl="0" w:tplc="99223D88">
      <w:start w:val="1"/>
      <w:numFmt w:val="bullet"/>
      <w:lvlText w:val="-"/>
      <w:lvlJc w:val="left"/>
      <w:pPr>
        <w:ind w:left="720" w:hanging="360"/>
      </w:pPr>
      <w:rPr>
        <w:rFonts w:ascii="Cambria" w:eastAsia="Times New Roman" w:hAnsi="Cambria"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26F4277A"/>
    <w:multiLevelType w:val="hybridMultilevel"/>
    <w:tmpl w:val="07EC6304"/>
    <w:lvl w:ilvl="0" w:tplc="0C0C000F">
      <w:start w:val="1"/>
      <w:numFmt w:val="decimal"/>
      <w:lvlText w:val="%1."/>
      <w:lvlJc w:val="left"/>
      <w:pPr>
        <w:ind w:left="1068" w:hanging="360"/>
      </w:pPr>
      <w:rPr>
        <w:rFonts w:hint="default"/>
      </w:rPr>
    </w:lvl>
    <w:lvl w:ilvl="1" w:tplc="0C0C0019">
      <w:start w:val="1"/>
      <w:numFmt w:val="lowerLetter"/>
      <w:lvlText w:val="%2."/>
      <w:lvlJc w:val="left"/>
      <w:pPr>
        <w:ind w:left="1788" w:hanging="360"/>
      </w:pPr>
    </w:lvl>
    <w:lvl w:ilvl="2" w:tplc="0C0C001B" w:tentative="1">
      <w:start w:val="1"/>
      <w:numFmt w:val="lowerRoman"/>
      <w:lvlText w:val="%3."/>
      <w:lvlJc w:val="right"/>
      <w:pPr>
        <w:ind w:left="2508" w:hanging="180"/>
      </w:pPr>
    </w:lvl>
    <w:lvl w:ilvl="3" w:tplc="0C0C000F" w:tentative="1">
      <w:start w:val="1"/>
      <w:numFmt w:val="decimal"/>
      <w:lvlText w:val="%4."/>
      <w:lvlJc w:val="left"/>
      <w:pPr>
        <w:ind w:left="3228" w:hanging="360"/>
      </w:pPr>
    </w:lvl>
    <w:lvl w:ilvl="4" w:tplc="0C0C0019" w:tentative="1">
      <w:start w:val="1"/>
      <w:numFmt w:val="lowerLetter"/>
      <w:lvlText w:val="%5."/>
      <w:lvlJc w:val="left"/>
      <w:pPr>
        <w:ind w:left="3948" w:hanging="360"/>
      </w:pPr>
    </w:lvl>
    <w:lvl w:ilvl="5" w:tplc="0C0C001B" w:tentative="1">
      <w:start w:val="1"/>
      <w:numFmt w:val="lowerRoman"/>
      <w:lvlText w:val="%6."/>
      <w:lvlJc w:val="right"/>
      <w:pPr>
        <w:ind w:left="4668" w:hanging="180"/>
      </w:pPr>
    </w:lvl>
    <w:lvl w:ilvl="6" w:tplc="0C0C000F" w:tentative="1">
      <w:start w:val="1"/>
      <w:numFmt w:val="decimal"/>
      <w:lvlText w:val="%7."/>
      <w:lvlJc w:val="left"/>
      <w:pPr>
        <w:ind w:left="5388" w:hanging="360"/>
      </w:pPr>
    </w:lvl>
    <w:lvl w:ilvl="7" w:tplc="0C0C0019" w:tentative="1">
      <w:start w:val="1"/>
      <w:numFmt w:val="lowerLetter"/>
      <w:lvlText w:val="%8."/>
      <w:lvlJc w:val="left"/>
      <w:pPr>
        <w:ind w:left="6108" w:hanging="360"/>
      </w:pPr>
    </w:lvl>
    <w:lvl w:ilvl="8" w:tplc="0C0C001B" w:tentative="1">
      <w:start w:val="1"/>
      <w:numFmt w:val="lowerRoman"/>
      <w:lvlText w:val="%9."/>
      <w:lvlJc w:val="right"/>
      <w:pPr>
        <w:ind w:left="6828" w:hanging="180"/>
      </w:pPr>
    </w:lvl>
  </w:abstractNum>
  <w:abstractNum w:abstractNumId="2" w15:restartNumberingAfterBreak="0">
    <w:nsid w:val="48F22C61"/>
    <w:multiLevelType w:val="hybridMultilevel"/>
    <w:tmpl w:val="30ACA282"/>
    <w:lvl w:ilvl="0" w:tplc="0C0C000F">
      <w:start w:val="1"/>
      <w:numFmt w:val="decimal"/>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731"/>
    <w:rsid w:val="002D7685"/>
    <w:rsid w:val="006A519F"/>
    <w:rsid w:val="0098148A"/>
    <w:rsid w:val="00B13731"/>
    <w:rsid w:val="00DE194E"/>
    <w:rsid w:val="00FC058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D2EB"/>
  <w15:chartTrackingRefBased/>
  <w15:docId w15:val="{4D9CBFA4-08D2-4C8C-905C-3B433E9B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519F"/>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table" w:styleId="TableGrid">
    <w:name w:val="Table Grid"/>
    <w:basedOn w:val="TableNormal"/>
    <w:uiPriority w:val="39"/>
    <w:rsid w:val="00DE1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9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453</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North</dc:creator>
  <cp:keywords/>
  <dc:description/>
  <cp:lastModifiedBy>Christopher North</cp:lastModifiedBy>
  <cp:revision>3</cp:revision>
  <dcterms:created xsi:type="dcterms:W3CDTF">2019-02-27T16:29:00Z</dcterms:created>
  <dcterms:modified xsi:type="dcterms:W3CDTF">2019-02-27T19:12:00Z</dcterms:modified>
</cp:coreProperties>
</file>