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Title"/>
        <w:bidi w:val="0"/>
      </w:pPr>
      <w:r>
        <w:rPr>
          <w:rtl w:val="0"/>
        </w:rPr>
        <w:t>John Stuart Mill: Law, Liberty and harm</w:t>
      </w:r>
    </w:p>
    <w:p>
      <w:pPr>
        <w:pStyle w:val="Body"/>
        <w:bidi w:val="0"/>
      </w:pPr>
      <w:r>
        <w:rPr>
          <w:rtl w:val="0"/>
        </w:rPr>
        <w:t>8. The regulation of harm in action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the case of pornography</w:t>
      </w:r>
    </w:p>
    <w:p>
      <w:pPr>
        <w:pStyle w:val="Body"/>
        <w:bidi w:val="0"/>
      </w:pPr>
      <w:r>
        <w:rPr>
          <w:rtl w:val="0"/>
        </w:rPr>
        <w:t>Regina v. Butler (1992)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the question facing the court is the limits of government in regulating (in this case, criminalizing) obscenity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We can think of obscenity as a harm to society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1892 criminal code does not clearly define obscenity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Obscenity tied to </w:t>
      </w:r>
      <w:r>
        <w:rPr>
          <w:rtl w:val="0"/>
        </w:rPr>
        <w:t>“</w:t>
      </w:r>
      <w:r>
        <w:rPr>
          <w:rtl w:val="0"/>
        </w:rPr>
        <w:t>corruption of morals</w:t>
      </w:r>
      <w:r>
        <w:rPr>
          <w:rtl w:val="0"/>
        </w:rPr>
        <w:t xml:space="preserve">”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Court became guardian of public morals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Obscenity &gt; undue exploitation of sex, or of sex and crime/horror/cruelty/violence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Undue exploitation = harm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Harm is unjustifiable </w:t>
      </w:r>
    </w:p>
    <w:p>
      <w:pPr>
        <w:pStyle w:val="Body"/>
        <w:bidi w:val="0"/>
      </w:pPr>
      <w:r>
        <w:rPr>
          <w:rtl w:val="0"/>
        </w:rPr>
        <w:t>What is undue exploitation? 3 tests</w:t>
      </w:r>
    </w:p>
    <w:p>
      <w:pPr>
        <w:pStyle w:val="Body"/>
        <w:numPr>
          <w:ilvl w:val="0"/>
          <w:numId w:val="4"/>
        </w:numPr>
        <w:bidi w:val="0"/>
      </w:pPr>
      <w:r>
        <w:rPr>
          <w:rtl w:val="0"/>
        </w:rPr>
        <w:t>The community standard of tolerance test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it is about tolerance, not taste</w:t>
      </w:r>
    </w:p>
    <w:p>
      <w:pPr>
        <w:pStyle w:val="Body"/>
        <w:bidi w:val="0"/>
      </w:pPr>
      <w:r>
        <w:rPr>
          <w:rtl w:val="0"/>
        </w:rPr>
        <w:t>2. The degradation and dehumanization test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material fails because it it perceived by public opinion to be harmful to society, particularly women but not because it breaches morality</w:t>
      </w:r>
    </w:p>
    <w:p>
      <w:pPr>
        <w:pStyle w:val="Body"/>
        <w:bidi w:val="0"/>
      </w:pPr>
      <w:r>
        <w:rPr>
          <w:rtl w:val="0"/>
        </w:rPr>
        <w:t>3. The internal necessities test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artistic defence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Can override #2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If the obscenity is seen as </w:t>
      </w:r>
      <w:r>
        <w:rPr>
          <w:rtl w:val="0"/>
        </w:rPr>
        <w:t>“</w:t>
      </w:r>
      <w:r>
        <w:rPr>
          <w:rtl w:val="0"/>
        </w:rPr>
        <w:t>art</w:t>
      </w:r>
      <w:r>
        <w:rPr>
          <w:rtl w:val="0"/>
        </w:rPr>
        <w:t xml:space="preserve">” </w:t>
      </w:r>
      <w:r>
        <w:rPr>
          <w:rtl w:val="0"/>
        </w:rPr>
        <w:t>it can be allowed</w:t>
      </w:r>
    </w:p>
    <w:p>
      <w:pPr>
        <w:pStyle w:val="Body"/>
        <w:bidi w:val="0"/>
      </w:pPr>
      <w:r>
        <w:rPr>
          <w:rtl w:val="0"/>
        </w:rPr>
        <w:t>3 types of pornography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Containing sex with violence - will almost always constitute undue exploitation</w:t>
      </w:r>
    </w:p>
    <w:p>
      <w:pPr>
        <w:pStyle w:val="Body"/>
        <w:numPr>
          <w:ilvl w:val="0"/>
          <w:numId w:val="4"/>
        </w:numPr>
        <w:bidi w:val="0"/>
      </w:pPr>
      <w:r>
        <w:rPr>
          <w:rtl w:val="0"/>
        </w:rPr>
        <w:t xml:space="preserve">Containing explicit sex without violence but which subjects people to degrading and dehumanizing behaviour - where </w:t>
      </w:r>
      <w:r>
        <w:rPr>
          <w:rtl w:val="0"/>
        </w:rPr>
        <w:t>“</w:t>
      </w:r>
      <w:r>
        <w:rPr>
          <w:rtl w:val="0"/>
        </w:rPr>
        <w:t>the risk of harm is substantial</w:t>
      </w:r>
      <w:r>
        <w:rPr>
          <w:rtl w:val="0"/>
        </w:rPr>
        <w:t xml:space="preserve">” </w:t>
      </w:r>
      <w:r>
        <w:rPr>
          <w:rtl w:val="0"/>
        </w:rPr>
        <w:t xml:space="preserve">the exploitation </w:t>
      </w:r>
      <w:r>
        <w:rPr>
          <w:rtl w:val="0"/>
        </w:rPr>
        <w:t>“</w:t>
      </w:r>
      <w:r>
        <w:rPr>
          <w:rtl w:val="0"/>
        </w:rPr>
        <w:t>may be undue</w:t>
      </w:r>
      <w:r>
        <w:rPr>
          <w:rtl w:val="0"/>
        </w:rPr>
        <w:t>”</w:t>
      </w:r>
    </w:p>
    <w:p>
      <w:pPr>
        <w:pStyle w:val="Body"/>
        <w:numPr>
          <w:ilvl w:val="0"/>
          <w:numId w:val="4"/>
        </w:numPr>
        <w:bidi w:val="0"/>
      </w:pPr>
      <w:r>
        <w:rPr>
          <w:rtl w:val="0"/>
        </w:rPr>
        <w:t xml:space="preserve">Explicit sex without violence which is neither degrading or dehumanizing - generally accepted </w:t>
      </w:r>
    </w:p>
    <w:sectPr>
      <w:headerReference w:type="default" r:id="rId4"/>
      <w:footerReference w:type="default" r:id="rId5"/>
      <w:pgSz w:w="12240" w:h="15840" w:orient="portrait"/>
      <w:pgMar w:top="1598" w:right="1440" w:bottom="1440" w:left="1440" w:header="1195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2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  <w:tab/>
    </w:r>
    <w:r>
      <w:rPr/>
      <w:fldChar w:fldCharType="begin" w:fldLock="0"/>
    </w:r>
    <w:r>
      <w:instrText xml:space="preserve"> DATE \@ "dddd, MMMM d, y" </w:instrText>
    </w:r>
    <w:r>
      <w:rPr/>
      <w:fldChar w:fldCharType="separate" w:fldLock="0"/>
    </w:r>
    <w:r>
      <w:rPr>
        <w:rtl w:val="0"/>
        <w:lang w:val="en-US"/>
      </w:rPr>
      <w:t>Saturday, December 1, 2018</w:t>
    </w:r>
    <w:r>
      <w:rPr/>
      <w:fldChar w:fldCharType="end" w:fldLock="1"/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Dash"/>
  </w:abstractNum>
  <w:abstractNum w:abstractNumId="1">
    <w:multiLevelType w:val="hybridMultilevel"/>
    <w:styleLink w:val="Dash"/>
    <w:lvl w:ilvl="0">
      <w:start w:val="1"/>
      <w:numFmt w:val="bullet"/>
      <w:suff w:val="tab"/>
      <w:lvlText w:val="-"/>
      <w:lvlJc w:val="left"/>
      <w:pPr>
        <w:ind w:left="2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5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2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7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</w:abstractNum>
  <w:abstractNum w:abstractNumId="2">
    <w:multiLevelType w:val="hybridMultilevel"/>
    <w:numStyleLink w:val="Numbered"/>
  </w:abstractNum>
  <w:abstractNum w:abstractNumId="3">
    <w:multiLevelType w:val="hybridMultilevel"/>
    <w:styleLink w:val="Numbered"/>
    <w:lvl w:ilvl="0">
      <w:start w:val="1"/>
      <w:numFmt w:val="decimal"/>
      <w:suff w:val="tab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Title">
    <w:name w:val="Title"/>
    <w:next w:val="Body 2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200" w:after="200" w:line="240" w:lineRule="auto"/>
      <w:ind w:left="0" w:right="0" w:firstLine="0"/>
      <w:jc w:val="left"/>
      <w:outlineLvl w:val="1"/>
    </w:pPr>
    <w:rPr>
      <w:rFonts w:ascii="Helvetica Neue" w:cs="Arial Unicode MS" w:hAnsi="Helvetica Neue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434343"/>
      <w:spacing w:val="0"/>
      <w:kern w:val="0"/>
      <w:position w:val="0"/>
      <w:sz w:val="36"/>
      <w:szCs w:val="36"/>
      <w:u w:val="none"/>
      <w:vertAlign w:val="baseline"/>
      <w:lang w:val="en-US"/>
    </w:rPr>
  </w:style>
  <w:style w:type="paragraph" w:styleId="Body 2">
    <w:name w:val="Body 2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en-US"/>
    </w:rPr>
  </w:style>
  <w:style w:type="numbering" w:styleId="Dash">
    <w:name w:val="Dash"/>
    <w:pPr>
      <w:numPr>
        <w:numId w:val="1"/>
      </w:numPr>
    </w:pPr>
  </w:style>
  <w:style w:type="numbering" w:styleId="Numbered">
    <w:name w:val="Numbered"/>
    <w:pPr>
      <w:numPr>
        <w:numId w:val="3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00_Note-taking">
  <a:themeElements>
    <a:clrScheme name="00_Note-taking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00_Note-taking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00_Note-takin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