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A25DF" w14:textId="77777777" w:rsidR="00F700B9" w:rsidRDefault="00F700B9" w:rsidP="00F700B9">
      <w:pPr>
        <w:spacing w:line="480" w:lineRule="auto"/>
        <w:jc w:val="center"/>
        <w:rPr>
          <w:rFonts w:ascii="Times New Roman" w:hAnsi="Times New Roman" w:cs="Times New Roman"/>
          <w:sz w:val="24"/>
          <w:szCs w:val="24"/>
          <w:lang w:val="en-CA"/>
        </w:rPr>
      </w:pPr>
    </w:p>
    <w:p w14:paraId="14EBBB57" w14:textId="77777777" w:rsidR="00F700B9" w:rsidRDefault="00F700B9" w:rsidP="00F700B9">
      <w:pPr>
        <w:spacing w:line="480" w:lineRule="auto"/>
        <w:jc w:val="center"/>
        <w:rPr>
          <w:rFonts w:ascii="Times New Roman" w:hAnsi="Times New Roman" w:cs="Times New Roman"/>
          <w:sz w:val="24"/>
          <w:szCs w:val="24"/>
          <w:lang w:val="en-CA"/>
        </w:rPr>
      </w:pPr>
    </w:p>
    <w:p w14:paraId="42629EDE" w14:textId="77777777" w:rsidR="00F700B9" w:rsidRDefault="00F700B9" w:rsidP="00F700B9">
      <w:pPr>
        <w:spacing w:line="480" w:lineRule="auto"/>
        <w:jc w:val="center"/>
        <w:rPr>
          <w:rFonts w:ascii="Times New Roman" w:hAnsi="Times New Roman" w:cs="Times New Roman"/>
          <w:sz w:val="24"/>
          <w:szCs w:val="24"/>
          <w:lang w:val="en-CA"/>
        </w:rPr>
      </w:pPr>
    </w:p>
    <w:p w14:paraId="237F800D" w14:textId="77777777" w:rsidR="00F700B9" w:rsidRDefault="00F700B9" w:rsidP="00F700B9">
      <w:pPr>
        <w:spacing w:line="480" w:lineRule="auto"/>
        <w:jc w:val="center"/>
        <w:rPr>
          <w:rFonts w:ascii="Times New Roman" w:hAnsi="Times New Roman" w:cs="Times New Roman"/>
          <w:sz w:val="24"/>
          <w:szCs w:val="24"/>
          <w:lang w:val="en-CA"/>
        </w:rPr>
      </w:pPr>
    </w:p>
    <w:p w14:paraId="1D63FBAB" w14:textId="77777777" w:rsidR="00F700B9" w:rsidRDefault="00F700B9" w:rsidP="00F700B9">
      <w:pPr>
        <w:spacing w:line="480" w:lineRule="auto"/>
        <w:jc w:val="center"/>
        <w:rPr>
          <w:rFonts w:ascii="Times New Roman" w:hAnsi="Times New Roman" w:cs="Times New Roman"/>
          <w:sz w:val="24"/>
          <w:szCs w:val="24"/>
          <w:lang w:val="en-CA"/>
        </w:rPr>
      </w:pPr>
    </w:p>
    <w:p w14:paraId="509B7FFA" w14:textId="77777777" w:rsidR="00F700B9" w:rsidRDefault="00F700B9" w:rsidP="00F700B9">
      <w:pPr>
        <w:spacing w:line="480" w:lineRule="auto"/>
        <w:jc w:val="center"/>
        <w:rPr>
          <w:rFonts w:ascii="Times New Roman" w:hAnsi="Times New Roman" w:cs="Times New Roman"/>
          <w:sz w:val="24"/>
          <w:szCs w:val="24"/>
          <w:lang w:val="en-CA"/>
        </w:rPr>
      </w:pPr>
    </w:p>
    <w:p w14:paraId="4F74060B" w14:textId="77777777" w:rsidR="00F700B9" w:rsidRDefault="00F700B9" w:rsidP="00F700B9">
      <w:pPr>
        <w:spacing w:line="480" w:lineRule="auto"/>
        <w:jc w:val="center"/>
        <w:rPr>
          <w:rFonts w:ascii="Times New Roman" w:hAnsi="Times New Roman" w:cs="Times New Roman"/>
          <w:sz w:val="24"/>
          <w:szCs w:val="24"/>
          <w:lang w:val="en-CA"/>
        </w:rPr>
      </w:pPr>
    </w:p>
    <w:p w14:paraId="6470AFA9" w14:textId="520FC806" w:rsidR="00F700B9" w:rsidRPr="00F700B9" w:rsidRDefault="00B83D2E" w:rsidP="00F700B9">
      <w:pPr>
        <w:spacing w:line="480" w:lineRule="auto"/>
        <w:jc w:val="center"/>
        <w:rPr>
          <w:rFonts w:ascii="Times New Roman" w:hAnsi="Times New Roman" w:cs="Times New Roman"/>
          <w:i/>
          <w:sz w:val="24"/>
          <w:szCs w:val="24"/>
          <w:lang w:val="en-CA"/>
        </w:rPr>
      </w:pPr>
      <w:r w:rsidRPr="00B83D2E">
        <w:rPr>
          <w:rFonts w:ascii="Times New Roman" w:hAnsi="Times New Roman" w:cs="Times New Roman"/>
          <w:sz w:val="24"/>
          <w:szCs w:val="24"/>
          <w:lang w:val="en-CA"/>
        </w:rPr>
        <w:t xml:space="preserve">Review of </w:t>
      </w:r>
      <w:r w:rsidRPr="00B83D2E">
        <w:rPr>
          <w:rFonts w:ascii="Times New Roman" w:hAnsi="Times New Roman" w:cs="Times New Roman"/>
          <w:i/>
          <w:sz w:val="24"/>
          <w:szCs w:val="24"/>
          <w:lang w:val="en-CA"/>
        </w:rPr>
        <w:t>Backrooms and Beyond: Partisan Advisers and the Politics of Policy work in Canada</w:t>
      </w:r>
    </w:p>
    <w:p w14:paraId="7064BDFD" w14:textId="77777777" w:rsidR="00F700B9" w:rsidRDefault="00F700B9" w:rsidP="00F700B9">
      <w:pPr>
        <w:spacing w:line="480" w:lineRule="auto"/>
        <w:jc w:val="center"/>
        <w:rPr>
          <w:rFonts w:ascii="Times New Roman" w:hAnsi="Times New Roman" w:cs="Times New Roman"/>
          <w:sz w:val="24"/>
          <w:szCs w:val="24"/>
          <w:lang w:val="en-CA"/>
        </w:rPr>
      </w:pPr>
    </w:p>
    <w:p w14:paraId="2DC247B7" w14:textId="77777777" w:rsidR="00F700B9" w:rsidRDefault="00F700B9" w:rsidP="00F700B9">
      <w:pPr>
        <w:spacing w:line="480" w:lineRule="auto"/>
        <w:jc w:val="center"/>
        <w:rPr>
          <w:rFonts w:ascii="Times New Roman" w:hAnsi="Times New Roman" w:cs="Times New Roman"/>
          <w:sz w:val="24"/>
          <w:szCs w:val="24"/>
          <w:lang w:val="en-CA"/>
        </w:rPr>
      </w:pPr>
    </w:p>
    <w:p w14:paraId="7609CFEC" w14:textId="1145F36D" w:rsidR="00B83D2E" w:rsidRDefault="00B83D2E" w:rsidP="00F700B9">
      <w:pPr>
        <w:spacing w:line="480" w:lineRule="auto"/>
        <w:jc w:val="center"/>
        <w:rPr>
          <w:rFonts w:ascii="Times New Roman" w:hAnsi="Times New Roman" w:cs="Times New Roman"/>
          <w:sz w:val="24"/>
          <w:szCs w:val="24"/>
          <w:lang w:val="en-CA"/>
        </w:rPr>
      </w:pPr>
      <w:r w:rsidRPr="00B83D2E">
        <w:rPr>
          <w:rFonts w:ascii="Times New Roman" w:hAnsi="Times New Roman" w:cs="Times New Roman"/>
          <w:sz w:val="24"/>
          <w:szCs w:val="24"/>
          <w:lang w:val="en-CA"/>
        </w:rPr>
        <w:t xml:space="preserve">Submitted </w:t>
      </w:r>
      <w:r>
        <w:rPr>
          <w:rFonts w:ascii="Times New Roman" w:hAnsi="Times New Roman" w:cs="Times New Roman"/>
          <w:sz w:val="24"/>
          <w:szCs w:val="24"/>
          <w:lang w:val="en-CA"/>
        </w:rPr>
        <w:t>by</w:t>
      </w:r>
      <w:r w:rsidR="00F700B9">
        <w:rPr>
          <w:rFonts w:ascii="Times New Roman" w:hAnsi="Times New Roman" w:cs="Times New Roman"/>
          <w:sz w:val="24"/>
          <w:szCs w:val="24"/>
          <w:lang w:val="en-CA"/>
        </w:rPr>
        <w:t>:</w:t>
      </w:r>
      <w:r>
        <w:rPr>
          <w:rFonts w:ascii="Times New Roman" w:hAnsi="Times New Roman" w:cs="Times New Roman"/>
          <w:sz w:val="24"/>
          <w:szCs w:val="24"/>
          <w:lang w:val="en-CA"/>
        </w:rPr>
        <w:t xml:space="preserve"> Claire M. Durette</w:t>
      </w:r>
    </w:p>
    <w:p w14:paraId="6007C763" w14:textId="42798205" w:rsidR="00B83D2E" w:rsidRDefault="00B83D2E" w:rsidP="00F700B9">
      <w:pPr>
        <w:spacing w:line="480" w:lineRule="auto"/>
        <w:jc w:val="center"/>
        <w:rPr>
          <w:rFonts w:ascii="Times New Roman" w:hAnsi="Times New Roman" w:cs="Times New Roman"/>
          <w:sz w:val="24"/>
          <w:szCs w:val="24"/>
          <w:lang w:val="en-CA"/>
        </w:rPr>
      </w:pPr>
      <w:r>
        <w:rPr>
          <w:rFonts w:ascii="Times New Roman" w:hAnsi="Times New Roman" w:cs="Times New Roman"/>
          <w:sz w:val="24"/>
          <w:szCs w:val="24"/>
          <w:lang w:val="en-CA"/>
        </w:rPr>
        <w:t>Student number</w:t>
      </w:r>
      <w:r w:rsidR="00F700B9">
        <w:rPr>
          <w:rFonts w:ascii="Times New Roman" w:hAnsi="Times New Roman" w:cs="Times New Roman"/>
          <w:sz w:val="24"/>
          <w:szCs w:val="24"/>
          <w:lang w:val="en-CA"/>
        </w:rPr>
        <w:t>: 8688887</w:t>
      </w:r>
    </w:p>
    <w:p w14:paraId="2F4B78EA" w14:textId="77777777" w:rsidR="00F700B9" w:rsidRDefault="00F700B9" w:rsidP="00F700B9">
      <w:pPr>
        <w:spacing w:line="480" w:lineRule="auto"/>
        <w:jc w:val="center"/>
        <w:rPr>
          <w:rFonts w:ascii="Times New Roman" w:hAnsi="Times New Roman" w:cs="Times New Roman"/>
          <w:sz w:val="24"/>
          <w:szCs w:val="24"/>
          <w:lang w:val="en-CA"/>
        </w:rPr>
      </w:pPr>
    </w:p>
    <w:p w14:paraId="49E6ED6F" w14:textId="146C1128" w:rsidR="00F700B9" w:rsidRDefault="00F700B9" w:rsidP="00F700B9">
      <w:pPr>
        <w:spacing w:line="480" w:lineRule="auto"/>
        <w:jc w:val="center"/>
        <w:rPr>
          <w:rFonts w:ascii="Times New Roman" w:hAnsi="Times New Roman" w:cs="Times New Roman"/>
          <w:sz w:val="24"/>
          <w:szCs w:val="24"/>
          <w:lang w:val="en-CA"/>
        </w:rPr>
      </w:pPr>
      <w:r>
        <w:rPr>
          <w:rFonts w:ascii="Times New Roman" w:hAnsi="Times New Roman" w:cs="Times New Roman"/>
          <w:sz w:val="24"/>
          <w:szCs w:val="24"/>
          <w:lang w:val="en-CA"/>
        </w:rPr>
        <w:t xml:space="preserve">Teaching Assistant: Rebecca Richmond </w:t>
      </w:r>
    </w:p>
    <w:p w14:paraId="228CAB7F" w14:textId="585093C6" w:rsidR="00F700B9" w:rsidRDefault="00F700B9" w:rsidP="00F700B9">
      <w:pPr>
        <w:spacing w:line="480" w:lineRule="auto"/>
        <w:jc w:val="center"/>
        <w:rPr>
          <w:rFonts w:ascii="Times New Roman" w:hAnsi="Times New Roman" w:cs="Times New Roman"/>
          <w:sz w:val="24"/>
          <w:szCs w:val="24"/>
          <w:lang w:val="en-CA"/>
        </w:rPr>
      </w:pPr>
      <w:r>
        <w:rPr>
          <w:rFonts w:ascii="Times New Roman" w:hAnsi="Times New Roman" w:cs="Times New Roman"/>
          <w:sz w:val="24"/>
          <w:szCs w:val="24"/>
          <w:lang w:val="en-CA"/>
        </w:rPr>
        <w:t>Group #3</w:t>
      </w:r>
    </w:p>
    <w:p w14:paraId="186708B8" w14:textId="77777777" w:rsidR="00F700B9" w:rsidRDefault="00F700B9" w:rsidP="00F700B9">
      <w:pPr>
        <w:spacing w:line="480" w:lineRule="auto"/>
        <w:jc w:val="center"/>
        <w:rPr>
          <w:rFonts w:ascii="Times New Roman" w:hAnsi="Times New Roman" w:cs="Times New Roman"/>
          <w:sz w:val="24"/>
          <w:szCs w:val="24"/>
          <w:lang w:val="en-CA"/>
        </w:rPr>
      </w:pPr>
    </w:p>
    <w:p w14:paraId="2F39446C" w14:textId="4302AA6B" w:rsidR="00F700B9" w:rsidRDefault="00F700B9" w:rsidP="00F700B9">
      <w:pPr>
        <w:spacing w:line="480" w:lineRule="auto"/>
        <w:jc w:val="center"/>
        <w:rPr>
          <w:rFonts w:ascii="Times New Roman" w:hAnsi="Times New Roman" w:cs="Times New Roman"/>
          <w:sz w:val="24"/>
          <w:szCs w:val="24"/>
          <w:lang w:val="en-CA"/>
        </w:rPr>
      </w:pPr>
      <w:r>
        <w:rPr>
          <w:rFonts w:ascii="Times New Roman" w:hAnsi="Times New Roman" w:cs="Times New Roman"/>
          <w:sz w:val="24"/>
          <w:szCs w:val="24"/>
          <w:lang w:val="en-CA"/>
        </w:rPr>
        <w:t xml:space="preserve">Professor: Christopher Cooper </w:t>
      </w:r>
    </w:p>
    <w:p w14:paraId="5904537C" w14:textId="43C63AFC" w:rsidR="00F700B9" w:rsidRDefault="00F700B9" w:rsidP="00F700B9">
      <w:pPr>
        <w:spacing w:line="480" w:lineRule="auto"/>
        <w:jc w:val="center"/>
        <w:rPr>
          <w:rFonts w:ascii="Times New Roman" w:hAnsi="Times New Roman" w:cs="Times New Roman"/>
          <w:sz w:val="24"/>
          <w:szCs w:val="24"/>
          <w:lang w:val="en-CA"/>
        </w:rPr>
      </w:pPr>
      <w:r>
        <w:rPr>
          <w:rFonts w:ascii="Times New Roman" w:hAnsi="Times New Roman" w:cs="Times New Roman"/>
          <w:sz w:val="24"/>
          <w:szCs w:val="24"/>
          <w:lang w:val="en-CA"/>
        </w:rPr>
        <w:t>Course: PAP1301</w:t>
      </w:r>
    </w:p>
    <w:p w14:paraId="26D19B9B" w14:textId="524B5CC7" w:rsidR="00F700B9" w:rsidRDefault="00F700B9" w:rsidP="00F700B9">
      <w:pPr>
        <w:spacing w:line="480" w:lineRule="auto"/>
        <w:jc w:val="center"/>
        <w:rPr>
          <w:rFonts w:ascii="Times New Roman" w:hAnsi="Times New Roman" w:cs="Times New Roman"/>
          <w:sz w:val="24"/>
          <w:szCs w:val="24"/>
          <w:lang w:val="en-CA"/>
        </w:rPr>
      </w:pPr>
    </w:p>
    <w:p w14:paraId="30332578" w14:textId="35314B01" w:rsidR="00F700B9" w:rsidRDefault="00F700B9" w:rsidP="00F700B9">
      <w:pPr>
        <w:spacing w:line="480" w:lineRule="auto"/>
        <w:jc w:val="center"/>
        <w:rPr>
          <w:rFonts w:ascii="Times New Roman" w:hAnsi="Times New Roman" w:cs="Times New Roman"/>
          <w:sz w:val="24"/>
          <w:szCs w:val="24"/>
          <w:lang w:val="en-CA"/>
        </w:rPr>
      </w:pPr>
    </w:p>
    <w:p w14:paraId="3F173A1C" w14:textId="791D085A" w:rsidR="00F700B9" w:rsidRDefault="00F700B9" w:rsidP="00F700B9">
      <w:pPr>
        <w:spacing w:line="480" w:lineRule="auto"/>
        <w:jc w:val="center"/>
        <w:rPr>
          <w:rFonts w:ascii="Times New Roman" w:hAnsi="Times New Roman" w:cs="Times New Roman"/>
          <w:sz w:val="24"/>
          <w:szCs w:val="24"/>
          <w:lang w:val="en-CA"/>
        </w:rPr>
      </w:pPr>
    </w:p>
    <w:p w14:paraId="1A867EEF" w14:textId="77777777" w:rsidR="00F700B9" w:rsidRDefault="00F700B9" w:rsidP="00F700B9">
      <w:pPr>
        <w:spacing w:line="480" w:lineRule="auto"/>
        <w:jc w:val="center"/>
        <w:rPr>
          <w:rFonts w:ascii="Times New Roman" w:hAnsi="Times New Roman" w:cs="Times New Roman"/>
          <w:sz w:val="24"/>
          <w:szCs w:val="24"/>
          <w:lang w:val="en-CA"/>
        </w:rPr>
      </w:pPr>
    </w:p>
    <w:p w14:paraId="2389AF02" w14:textId="70ED80E4" w:rsidR="00F700B9" w:rsidRDefault="00F700B9" w:rsidP="00F700B9">
      <w:pPr>
        <w:spacing w:line="480" w:lineRule="auto"/>
        <w:jc w:val="center"/>
        <w:rPr>
          <w:rFonts w:ascii="Times New Roman" w:hAnsi="Times New Roman" w:cs="Times New Roman"/>
          <w:sz w:val="24"/>
          <w:szCs w:val="24"/>
          <w:lang w:val="en-CA"/>
        </w:rPr>
      </w:pPr>
      <w:r>
        <w:rPr>
          <w:rFonts w:ascii="Times New Roman" w:hAnsi="Times New Roman" w:cs="Times New Roman"/>
          <w:sz w:val="24"/>
          <w:szCs w:val="24"/>
          <w:lang w:val="en-CA"/>
        </w:rPr>
        <w:t>Date Submitted: Wednesday November 21</w:t>
      </w:r>
      <w:r w:rsidRPr="00F700B9">
        <w:rPr>
          <w:rFonts w:ascii="Times New Roman" w:hAnsi="Times New Roman" w:cs="Times New Roman"/>
          <w:sz w:val="24"/>
          <w:szCs w:val="24"/>
          <w:vertAlign w:val="superscript"/>
          <w:lang w:val="en-CA"/>
        </w:rPr>
        <w:t>st</w:t>
      </w:r>
      <w:r>
        <w:rPr>
          <w:rFonts w:ascii="Times New Roman" w:hAnsi="Times New Roman" w:cs="Times New Roman"/>
          <w:sz w:val="24"/>
          <w:szCs w:val="24"/>
          <w:lang w:val="en-CA"/>
        </w:rPr>
        <w:t>, 2018</w:t>
      </w:r>
    </w:p>
    <w:p w14:paraId="412F7F9D" w14:textId="6D16BF90" w:rsidR="00CF4DCA" w:rsidRPr="00C538E0" w:rsidRDefault="00CF4DCA" w:rsidP="00CF4DCA">
      <w:pPr>
        <w:spacing w:line="480" w:lineRule="auto"/>
        <w:rPr>
          <w:rFonts w:ascii="Times New Roman" w:hAnsi="Times New Roman" w:cs="Times New Roman"/>
          <w:b/>
          <w:sz w:val="24"/>
          <w:szCs w:val="24"/>
          <w:lang w:val="en-CA"/>
        </w:rPr>
      </w:pPr>
      <w:r w:rsidRPr="00CF4DCA">
        <w:rPr>
          <w:rFonts w:ascii="Times New Roman" w:hAnsi="Times New Roman" w:cs="Times New Roman"/>
          <w:b/>
          <w:sz w:val="24"/>
          <w:szCs w:val="24"/>
          <w:lang w:val="en-CA"/>
        </w:rPr>
        <w:lastRenderedPageBreak/>
        <w:t xml:space="preserve">Introduction </w:t>
      </w:r>
    </w:p>
    <w:p w14:paraId="5315943C" w14:textId="7745DB25" w:rsidR="008A46ED" w:rsidRDefault="005679FD" w:rsidP="00CF4DCA">
      <w:pPr>
        <w:spacing w:line="480" w:lineRule="auto"/>
        <w:rPr>
          <w:rFonts w:ascii="Times New Roman" w:hAnsi="Times New Roman" w:cs="Times New Roman"/>
          <w:sz w:val="24"/>
          <w:szCs w:val="24"/>
          <w:lang w:val="en-CA"/>
        </w:rPr>
      </w:pPr>
      <w:r>
        <w:rPr>
          <w:rFonts w:ascii="Times New Roman" w:hAnsi="Times New Roman" w:cs="Times New Roman"/>
          <w:sz w:val="24"/>
          <w:szCs w:val="24"/>
          <w:lang w:val="en-CA"/>
        </w:rPr>
        <w:tab/>
      </w:r>
      <w:r w:rsidR="00470518">
        <w:rPr>
          <w:rFonts w:ascii="Times New Roman" w:hAnsi="Times New Roman" w:cs="Times New Roman"/>
          <w:sz w:val="24"/>
          <w:szCs w:val="24"/>
          <w:lang w:val="en-CA"/>
        </w:rPr>
        <w:t>In this essay I will be discussing the</w:t>
      </w:r>
      <w:r w:rsidR="00BE6A1E">
        <w:rPr>
          <w:rFonts w:ascii="Times New Roman" w:hAnsi="Times New Roman" w:cs="Times New Roman"/>
          <w:sz w:val="24"/>
          <w:szCs w:val="24"/>
          <w:lang w:val="en-CA"/>
        </w:rPr>
        <w:t xml:space="preserve"> </w:t>
      </w:r>
      <w:r w:rsidR="00E2233E">
        <w:rPr>
          <w:rFonts w:ascii="Times New Roman" w:hAnsi="Times New Roman" w:cs="Times New Roman"/>
          <w:sz w:val="24"/>
          <w:szCs w:val="24"/>
          <w:lang w:val="en-CA"/>
        </w:rPr>
        <w:t xml:space="preserve">central thesis, the evidence used by the author to support his conclusion, and why the authors central argument is incompatible with the notion that politics and administration are separate realms of the book </w:t>
      </w:r>
      <w:r w:rsidR="00E2233E" w:rsidRPr="00B83D2E">
        <w:rPr>
          <w:rFonts w:ascii="Times New Roman" w:hAnsi="Times New Roman" w:cs="Times New Roman"/>
          <w:i/>
          <w:sz w:val="24"/>
          <w:szCs w:val="24"/>
          <w:lang w:val="en-CA"/>
        </w:rPr>
        <w:t>Backrooms and Beyond: Partisan Advisers and the Politics of Policy work in Canada</w:t>
      </w:r>
      <w:r w:rsidR="00E2233E">
        <w:rPr>
          <w:rFonts w:ascii="Times New Roman" w:hAnsi="Times New Roman" w:cs="Times New Roman"/>
          <w:sz w:val="24"/>
          <w:szCs w:val="24"/>
          <w:lang w:val="en-CA"/>
        </w:rPr>
        <w:t xml:space="preserve"> by Jonathan Craft. These inquiries will be developed using quotes and evidence drawn from the text. </w:t>
      </w:r>
      <w:r w:rsidR="00EA41B1">
        <w:rPr>
          <w:rFonts w:ascii="Times New Roman" w:hAnsi="Times New Roman" w:cs="Times New Roman"/>
          <w:sz w:val="24"/>
          <w:szCs w:val="24"/>
          <w:lang w:val="en-CA"/>
        </w:rPr>
        <w:t>The central thesis of the book will be developed using reference</w:t>
      </w:r>
      <w:r w:rsidR="00990581">
        <w:rPr>
          <w:rFonts w:ascii="Times New Roman" w:hAnsi="Times New Roman" w:cs="Times New Roman"/>
          <w:sz w:val="24"/>
          <w:szCs w:val="24"/>
          <w:lang w:val="en-CA"/>
        </w:rPr>
        <w:t>s</w:t>
      </w:r>
      <w:r w:rsidR="00EA41B1">
        <w:rPr>
          <w:rFonts w:ascii="Times New Roman" w:hAnsi="Times New Roman" w:cs="Times New Roman"/>
          <w:sz w:val="24"/>
          <w:szCs w:val="24"/>
          <w:lang w:val="en-CA"/>
        </w:rPr>
        <w:t xml:space="preserve"> to the text and discussing the central thesis, the four main arguments, and the principal goal. The question of the evidence used by the author to support his conclusion</w:t>
      </w:r>
      <w:r w:rsidR="00BE6A1E">
        <w:rPr>
          <w:rFonts w:ascii="Times New Roman" w:hAnsi="Times New Roman" w:cs="Times New Roman"/>
          <w:sz w:val="24"/>
          <w:szCs w:val="24"/>
          <w:lang w:val="en-CA"/>
        </w:rPr>
        <w:t xml:space="preserve"> </w:t>
      </w:r>
      <w:r w:rsidR="00EA41B1">
        <w:rPr>
          <w:rFonts w:ascii="Times New Roman" w:hAnsi="Times New Roman" w:cs="Times New Roman"/>
          <w:sz w:val="24"/>
          <w:szCs w:val="24"/>
          <w:lang w:val="en-CA"/>
        </w:rPr>
        <w:t>will be developed using reference</w:t>
      </w:r>
      <w:r w:rsidR="00CA0905">
        <w:rPr>
          <w:rFonts w:ascii="Times New Roman" w:hAnsi="Times New Roman" w:cs="Times New Roman"/>
          <w:sz w:val="24"/>
          <w:szCs w:val="24"/>
          <w:lang w:val="en-CA"/>
        </w:rPr>
        <w:t>s</w:t>
      </w:r>
      <w:r w:rsidR="00EA41B1">
        <w:rPr>
          <w:rFonts w:ascii="Times New Roman" w:hAnsi="Times New Roman" w:cs="Times New Roman"/>
          <w:sz w:val="24"/>
          <w:szCs w:val="24"/>
          <w:lang w:val="en-CA"/>
        </w:rPr>
        <w:t xml:space="preserve"> to the interviews conducted throughout Canadian governments to support the central argument of the text.</w:t>
      </w:r>
      <w:r w:rsidR="00F010A8">
        <w:rPr>
          <w:rFonts w:ascii="Times New Roman" w:hAnsi="Times New Roman" w:cs="Times New Roman"/>
          <w:sz w:val="24"/>
          <w:szCs w:val="24"/>
          <w:lang w:val="en-CA"/>
        </w:rPr>
        <w:t xml:space="preserve"> Why the author</w:t>
      </w:r>
      <w:r w:rsidR="00CA0905">
        <w:rPr>
          <w:rFonts w:ascii="Times New Roman" w:hAnsi="Times New Roman" w:cs="Times New Roman"/>
          <w:sz w:val="24"/>
          <w:szCs w:val="24"/>
          <w:lang w:val="en-CA"/>
        </w:rPr>
        <w:t>’</w:t>
      </w:r>
      <w:bookmarkStart w:id="0" w:name="_GoBack"/>
      <w:bookmarkEnd w:id="0"/>
      <w:r w:rsidR="00F010A8">
        <w:rPr>
          <w:rFonts w:ascii="Times New Roman" w:hAnsi="Times New Roman" w:cs="Times New Roman"/>
          <w:sz w:val="24"/>
          <w:szCs w:val="24"/>
          <w:lang w:val="en-CA"/>
        </w:rPr>
        <w:t>s central argument is incompatible with the notion of a politics</w:t>
      </w:r>
      <w:r w:rsidR="00990581">
        <w:rPr>
          <w:rFonts w:ascii="Times New Roman" w:hAnsi="Times New Roman" w:cs="Times New Roman"/>
          <w:sz w:val="24"/>
          <w:szCs w:val="24"/>
          <w:lang w:val="en-CA"/>
        </w:rPr>
        <w:t>-</w:t>
      </w:r>
      <w:r w:rsidR="00F010A8">
        <w:rPr>
          <w:rFonts w:ascii="Times New Roman" w:hAnsi="Times New Roman" w:cs="Times New Roman"/>
          <w:sz w:val="24"/>
          <w:szCs w:val="24"/>
          <w:lang w:val="en-CA"/>
        </w:rPr>
        <w:t xml:space="preserve">administration dichotomy </w:t>
      </w:r>
      <w:r w:rsidR="0046662A">
        <w:rPr>
          <w:rFonts w:ascii="Times New Roman" w:hAnsi="Times New Roman" w:cs="Times New Roman"/>
          <w:sz w:val="24"/>
          <w:szCs w:val="24"/>
          <w:lang w:val="en-CA"/>
        </w:rPr>
        <w:t xml:space="preserve">will be developed using reference to evidence within the text that showcases when, how, and if the two realms overlap. </w:t>
      </w:r>
      <w:r w:rsidR="00BE6A1E">
        <w:rPr>
          <w:rFonts w:ascii="Times New Roman" w:hAnsi="Times New Roman" w:cs="Times New Roman"/>
          <w:sz w:val="24"/>
          <w:szCs w:val="24"/>
          <w:lang w:val="en-CA"/>
        </w:rPr>
        <w:t xml:space="preserve">     </w:t>
      </w:r>
    </w:p>
    <w:p w14:paraId="65E1720A" w14:textId="47965765" w:rsidR="008A46ED" w:rsidRDefault="008A46ED" w:rsidP="00CF4DCA">
      <w:pPr>
        <w:spacing w:line="480" w:lineRule="auto"/>
        <w:rPr>
          <w:rFonts w:ascii="Times New Roman" w:hAnsi="Times New Roman" w:cs="Times New Roman"/>
          <w:b/>
          <w:sz w:val="24"/>
          <w:szCs w:val="24"/>
          <w:lang w:val="en-CA"/>
        </w:rPr>
      </w:pPr>
      <w:r>
        <w:rPr>
          <w:rFonts w:ascii="Times New Roman" w:hAnsi="Times New Roman" w:cs="Times New Roman"/>
          <w:b/>
          <w:sz w:val="24"/>
          <w:szCs w:val="24"/>
          <w:lang w:val="en-CA"/>
        </w:rPr>
        <w:t>Central thesis</w:t>
      </w:r>
    </w:p>
    <w:p w14:paraId="6DA3ABE9" w14:textId="1048A559" w:rsidR="008A46ED" w:rsidRPr="00FB101F" w:rsidRDefault="001B39D8" w:rsidP="00CF4DCA">
      <w:pPr>
        <w:spacing w:line="480" w:lineRule="auto"/>
        <w:rPr>
          <w:rFonts w:ascii="Times New Roman" w:hAnsi="Times New Roman" w:cs="Times New Roman"/>
          <w:sz w:val="24"/>
          <w:szCs w:val="24"/>
          <w:lang w:val="en-CA"/>
        </w:rPr>
      </w:pPr>
      <w:r>
        <w:rPr>
          <w:rFonts w:ascii="Times New Roman" w:hAnsi="Times New Roman" w:cs="Times New Roman"/>
          <w:b/>
          <w:sz w:val="24"/>
          <w:szCs w:val="24"/>
          <w:lang w:val="en-CA"/>
        </w:rPr>
        <w:tab/>
      </w:r>
      <w:r w:rsidR="00FB101F" w:rsidRPr="00FB101F">
        <w:rPr>
          <w:rFonts w:ascii="Times New Roman" w:hAnsi="Times New Roman" w:cs="Times New Roman"/>
          <w:sz w:val="24"/>
          <w:szCs w:val="24"/>
          <w:lang w:val="en-CA"/>
        </w:rPr>
        <w:t>The author</w:t>
      </w:r>
      <w:r w:rsidR="00990581">
        <w:rPr>
          <w:rFonts w:ascii="Times New Roman" w:hAnsi="Times New Roman" w:cs="Times New Roman"/>
          <w:sz w:val="24"/>
          <w:szCs w:val="24"/>
          <w:lang w:val="en-CA"/>
        </w:rPr>
        <w:t>’</w:t>
      </w:r>
      <w:r w:rsidR="00FB101F" w:rsidRPr="00FB101F">
        <w:rPr>
          <w:rFonts w:ascii="Times New Roman" w:hAnsi="Times New Roman" w:cs="Times New Roman"/>
          <w:sz w:val="24"/>
          <w:szCs w:val="24"/>
          <w:lang w:val="en-CA"/>
        </w:rPr>
        <w:t xml:space="preserve">s central thesis is that </w:t>
      </w:r>
      <w:r w:rsidR="00FB101F">
        <w:rPr>
          <w:rFonts w:ascii="Times New Roman" w:hAnsi="Times New Roman" w:cs="Times New Roman"/>
          <w:sz w:val="24"/>
          <w:szCs w:val="24"/>
          <w:lang w:val="en-CA"/>
        </w:rPr>
        <w:t>exempt staff, partisan advisers in specific, have a large impact on policymaking and the process that surrounds it, because of which, they are crucial within the core executive of the government</w:t>
      </w:r>
      <w:r w:rsidR="00B3551D">
        <w:rPr>
          <w:rFonts w:ascii="Times New Roman" w:hAnsi="Times New Roman" w:cs="Times New Roman"/>
          <w:sz w:val="24"/>
          <w:szCs w:val="24"/>
          <w:lang w:val="en-CA"/>
        </w:rPr>
        <w:t xml:space="preserve"> and they should be recognized as such. Jonathan Craft makes note of the fact that more attention should be drawn to partisan advisers and their policy influence on locational grounds and within the ideal-type roles (Craft, 2016). Partisan advisers should be recognized for their role and influence in policymaking within the core executive. </w:t>
      </w:r>
      <w:r w:rsidR="001473B8">
        <w:rPr>
          <w:rFonts w:ascii="Times New Roman" w:hAnsi="Times New Roman" w:cs="Times New Roman"/>
          <w:sz w:val="24"/>
          <w:szCs w:val="24"/>
          <w:lang w:val="en-CA"/>
        </w:rPr>
        <w:t xml:space="preserve">The author had four main arguments that he used to support his central thesis. The first argument is that partisan advisers should </w:t>
      </w:r>
      <w:proofErr w:type="gramStart"/>
      <w:r w:rsidR="001473B8">
        <w:rPr>
          <w:rFonts w:ascii="Times New Roman" w:hAnsi="Times New Roman" w:cs="Times New Roman"/>
          <w:sz w:val="24"/>
          <w:szCs w:val="24"/>
          <w:lang w:val="en-CA"/>
        </w:rPr>
        <w:t>be seen as</w:t>
      </w:r>
      <w:proofErr w:type="gramEnd"/>
      <w:r w:rsidR="001473B8">
        <w:rPr>
          <w:rFonts w:ascii="Times New Roman" w:hAnsi="Times New Roman" w:cs="Times New Roman"/>
          <w:sz w:val="24"/>
          <w:szCs w:val="24"/>
          <w:lang w:val="en-CA"/>
        </w:rPr>
        <w:t xml:space="preserve"> policy workers who contribute to policymaking – as well as being seen as political operatives</w:t>
      </w:r>
      <w:r w:rsidR="00FB675F">
        <w:rPr>
          <w:rFonts w:ascii="Times New Roman" w:hAnsi="Times New Roman" w:cs="Times New Roman"/>
          <w:sz w:val="24"/>
          <w:szCs w:val="24"/>
          <w:lang w:val="en-CA"/>
        </w:rPr>
        <w:t xml:space="preserve"> (Craft, 2016)</w:t>
      </w:r>
      <w:r w:rsidR="001473B8">
        <w:rPr>
          <w:rFonts w:ascii="Times New Roman" w:hAnsi="Times New Roman" w:cs="Times New Roman"/>
          <w:sz w:val="24"/>
          <w:szCs w:val="24"/>
          <w:lang w:val="en-CA"/>
        </w:rPr>
        <w:t xml:space="preserve">. The second argument is that partisan advisers </w:t>
      </w:r>
      <w:r w:rsidR="00FB675F">
        <w:rPr>
          <w:rFonts w:ascii="Times New Roman" w:hAnsi="Times New Roman" w:cs="Times New Roman"/>
          <w:sz w:val="24"/>
          <w:szCs w:val="24"/>
          <w:lang w:val="en-CA"/>
        </w:rPr>
        <w:t xml:space="preserve">partake in a multitude of policy work, which </w:t>
      </w:r>
      <w:r w:rsidR="001473B8">
        <w:rPr>
          <w:rFonts w:ascii="Times New Roman" w:hAnsi="Times New Roman" w:cs="Times New Roman"/>
          <w:sz w:val="24"/>
          <w:szCs w:val="24"/>
          <w:lang w:val="en-CA"/>
        </w:rPr>
        <w:t xml:space="preserve">may extend their policy </w:t>
      </w:r>
      <w:r w:rsidR="001473B8">
        <w:rPr>
          <w:rFonts w:ascii="Times New Roman" w:hAnsi="Times New Roman" w:cs="Times New Roman"/>
          <w:sz w:val="24"/>
          <w:szCs w:val="24"/>
          <w:lang w:val="en-CA"/>
        </w:rPr>
        <w:lastRenderedPageBreak/>
        <w:t>practices beyond normal advisory activities</w:t>
      </w:r>
      <w:r w:rsidR="00FB675F">
        <w:rPr>
          <w:rFonts w:ascii="Times New Roman" w:hAnsi="Times New Roman" w:cs="Times New Roman"/>
          <w:sz w:val="24"/>
          <w:szCs w:val="24"/>
          <w:lang w:val="en-CA"/>
        </w:rPr>
        <w:t xml:space="preserve"> (Craft, 2016). The third argument is that policy work should not be assumed to be non</w:t>
      </w:r>
      <w:r w:rsidR="00990581">
        <w:rPr>
          <w:rFonts w:ascii="Times New Roman" w:hAnsi="Times New Roman" w:cs="Times New Roman"/>
          <w:sz w:val="24"/>
          <w:szCs w:val="24"/>
          <w:lang w:val="en-CA"/>
        </w:rPr>
        <w:t>-</w:t>
      </w:r>
      <w:r w:rsidR="00FB675F">
        <w:rPr>
          <w:rFonts w:ascii="Times New Roman" w:hAnsi="Times New Roman" w:cs="Times New Roman"/>
          <w:sz w:val="24"/>
          <w:szCs w:val="24"/>
          <w:lang w:val="en-CA"/>
        </w:rPr>
        <w:t>partisan (Craft, 2016). The fourth argument is that the institutional location of the core executive can hide how policy</w:t>
      </w:r>
      <w:r w:rsidR="00990581">
        <w:rPr>
          <w:rFonts w:ascii="Times New Roman" w:hAnsi="Times New Roman" w:cs="Times New Roman"/>
          <w:sz w:val="24"/>
          <w:szCs w:val="24"/>
          <w:lang w:val="en-CA"/>
        </w:rPr>
        <w:t>-</w:t>
      </w:r>
      <w:r w:rsidR="00FB675F">
        <w:rPr>
          <w:rFonts w:ascii="Times New Roman" w:hAnsi="Times New Roman" w:cs="Times New Roman"/>
          <w:sz w:val="24"/>
          <w:szCs w:val="24"/>
          <w:lang w:val="en-CA"/>
        </w:rPr>
        <w:t>based influence is obtained and implicated</w:t>
      </w:r>
      <w:r w:rsidR="0004702C">
        <w:rPr>
          <w:rFonts w:ascii="Times New Roman" w:hAnsi="Times New Roman" w:cs="Times New Roman"/>
          <w:sz w:val="24"/>
          <w:szCs w:val="24"/>
          <w:lang w:val="en-CA"/>
        </w:rPr>
        <w:t xml:space="preserve"> (Craft, 2016).</w:t>
      </w:r>
      <w:r w:rsidR="005679FD">
        <w:rPr>
          <w:rFonts w:ascii="Times New Roman" w:hAnsi="Times New Roman" w:cs="Times New Roman"/>
          <w:sz w:val="24"/>
          <w:szCs w:val="24"/>
          <w:lang w:val="en-CA"/>
        </w:rPr>
        <w:t xml:space="preserve"> </w:t>
      </w:r>
      <w:r w:rsidR="00C37A8E">
        <w:rPr>
          <w:rFonts w:ascii="Times New Roman" w:hAnsi="Times New Roman" w:cs="Times New Roman"/>
          <w:sz w:val="24"/>
          <w:szCs w:val="24"/>
          <w:lang w:val="en-CA"/>
        </w:rPr>
        <w:t xml:space="preserve">The principal goal of the book </w:t>
      </w:r>
      <w:r w:rsidR="00FA2F48">
        <w:rPr>
          <w:rFonts w:ascii="Times New Roman" w:hAnsi="Times New Roman" w:cs="Times New Roman"/>
          <w:sz w:val="24"/>
          <w:szCs w:val="24"/>
          <w:lang w:val="en-CA"/>
        </w:rPr>
        <w:t>was to “understand if, how, and with what implications partisan advisers were active within policy advisory system” (Craft, 2016); policy advisory systems include the three ideal</w:t>
      </w:r>
      <w:r w:rsidR="00990581">
        <w:rPr>
          <w:rFonts w:ascii="Times New Roman" w:hAnsi="Times New Roman" w:cs="Times New Roman"/>
          <w:sz w:val="24"/>
          <w:szCs w:val="24"/>
          <w:lang w:val="en-CA"/>
        </w:rPr>
        <w:t>-</w:t>
      </w:r>
      <w:r w:rsidR="00FA2F48">
        <w:rPr>
          <w:rFonts w:ascii="Times New Roman" w:hAnsi="Times New Roman" w:cs="Times New Roman"/>
          <w:sz w:val="24"/>
          <w:szCs w:val="24"/>
          <w:lang w:val="en-CA"/>
        </w:rPr>
        <w:t xml:space="preserve">type roles within the core executive which included collaborative, gatekeeper, and triangulated. </w:t>
      </w:r>
    </w:p>
    <w:p w14:paraId="136E7111" w14:textId="1135F5DA" w:rsidR="008A46ED" w:rsidRDefault="00C538E0" w:rsidP="00CF4DCA">
      <w:pPr>
        <w:spacing w:line="480" w:lineRule="auto"/>
        <w:rPr>
          <w:rFonts w:ascii="Times New Roman" w:hAnsi="Times New Roman" w:cs="Times New Roman"/>
          <w:b/>
          <w:sz w:val="24"/>
          <w:szCs w:val="24"/>
          <w:lang w:val="en-CA"/>
        </w:rPr>
      </w:pPr>
      <w:r>
        <w:rPr>
          <w:rFonts w:ascii="Times New Roman" w:hAnsi="Times New Roman" w:cs="Times New Roman"/>
          <w:b/>
          <w:sz w:val="24"/>
          <w:szCs w:val="24"/>
          <w:lang w:val="en-CA"/>
        </w:rPr>
        <w:t>Evidence used to support the conclusion</w:t>
      </w:r>
    </w:p>
    <w:p w14:paraId="38D067B6" w14:textId="56C0C497" w:rsidR="004E0FFD" w:rsidRDefault="00FB101F" w:rsidP="00FB101F">
      <w:pPr>
        <w:spacing w:line="480" w:lineRule="auto"/>
        <w:ind w:firstLine="720"/>
        <w:rPr>
          <w:rFonts w:ascii="Times New Roman" w:hAnsi="Times New Roman" w:cs="Times New Roman"/>
          <w:sz w:val="24"/>
          <w:szCs w:val="24"/>
          <w:lang w:val="en-CA"/>
        </w:rPr>
      </w:pPr>
      <w:r w:rsidRPr="00FB101F">
        <w:rPr>
          <w:rFonts w:ascii="Times New Roman" w:hAnsi="Times New Roman" w:cs="Times New Roman"/>
          <w:sz w:val="24"/>
          <w:szCs w:val="24"/>
          <w:lang w:val="en-CA"/>
        </w:rPr>
        <w:t>The evidence used by the author to support his conclusi</w:t>
      </w:r>
      <w:r>
        <w:rPr>
          <w:rFonts w:ascii="Times New Roman" w:hAnsi="Times New Roman" w:cs="Times New Roman"/>
          <w:sz w:val="24"/>
          <w:szCs w:val="24"/>
          <w:lang w:val="en-CA"/>
        </w:rPr>
        <w:t>on</w:t>
      </w:r>
      <w:r w:rsidR="005679FD">
        <w:rPr>
          <w:rFonts w:ascii="Times New Roman" w:hAnsi="Times New Roman" w:cs="Times New Roman"/>
          <w:sz w:val="24"/>
          <w:szCs w:val="24"/>
          <w:lang w:val="en-CA"/>
        </w:rPr>
        <w:t xml:space="preserve"> is seen in the many interviews and case studies that are done within different Canadian locational grounds and the relationships showcased within the government. The conclusion was supported as the book highlights the differences and similarities between the federal, and two subnational </w:t>
      </w:r>
      <w:r w:rsidR="000549A7">
        <w:rPr>
          <w:rFonts w:ascii="Times New Roman" w:hAnsi="Times New Roman" w:cs="Times New Roman"/>
          <w:sz w:val="24"/>
          <w:szCs w:val="24"/>
          <w:lang w:val="en-CA"/>
        </w:rPr>
        <w:t>cases</w:t>
      </w:r>
      <w:r w:rsidR="005679FD">
        <w:rPr>
          <w:rFonts w:ascii="Times New Roman" w:hAnsi="Times New Roman" w:cs="Times New Roman"/>
          <w:sz w:val="24"/>
          <w:szCs w:val="24"/>
          <w:lang w:val="en-CA"/>
        </w:rPr>
        <w:t xml:space="preserve"> – where evidence was drawn from</w:t>
      </w:r>
      <w:r w:rsidR="00BB7F88">
        <w:rPr>
          <w:rFonts w:ascii="Times New Roman" w:hAnsi="Times New Roman" w:cs="Times New Roman"/>
          <w:sz w:val="24"/>
          <w:szCs w:val="24"/>
          <w:lang w:val="en-CA"/>
        </w:rPr>
        <w:t xml:space="preserve"> interviews and case studies</w:t>
      </w:r>
      <w:r w:rsidR="005679FD">
        <w:rPr>
          <w:rFonts w:ascii="Times New Roman" w:hAnsi="Times New Roman" w:cs="Times New Roman"/>
          <w:sz w:val="24"/>
          <w:szCs w:val="24"/>
          <w:lang w:val="en-CA"/>
        </w:rPr>
        <w:t xml:space="preserve"> – by drawing attention to the relationships between government officials; it showcases how partisan advisers interact and operate within the government through </w:t>
      </w:r>
      <w:r w:rsidR="00BB7F88">
        <w:rPr>
          <w:rFonts w:ascii="Times New Roman" w:hAnsi="Times New Roman" w:cs="Times New Roman"/>
          <w:sz w:val="24"/>
          <w:szCs w:val="24"/>
          <w:lang w:val="en-CA"/>
        </w:rPr>
        <w:t>ideal</w:t>
      </w:r>
      <w:r w:rsidR="00990581">
        <w:rPr>
          <w:rFonts w:ascii="Times New Roman" w:hAnsi="Times New Roman" w:cs="Times New Roman"/>
          <w:sz w:val="24"/>
          <w:szCs w:val="24"/>
          <w:lang w:val="en-CA"/>
        </w:rPr>
        <w:t>-</w:t>
      </w:r>
      <w:r w:rsidR="00BB7F88">
        <w:rPr>
          <w:rFonts w:ascii="Times New Roman" w:hAnsi="Times New Roman" w:cs="Times New Roman"/>
          <w:sz w:val="24"/>
          <w:szCs w:val="24"/>
          <w:lang w:val="en-CA"/>
        </w:rPr>
        <w:t>type roles and policy advisory activity.</w:t>
      </w:r>
      <w:r w:rsidR="004E0FFD">
        <w:rPr>
          <w:rFonts w:ascii="Times New Roman" w:hAnsi="Times New Roman" w:cs="Times New Roman"/>
          <w:sz w:val="24"/>
          <w:szCs w:val="24"/>
          <w:lang w:val="en-CA"/>
        </w:rPr>
        <w:t xml:space="preserve"> </w:t>
      </w:r>
    </w:p>
    <w:p w14:paraId="669A13F9" w14:textId="1E2B29B2" w:rsidR="00C538E0" w:rsidRPr="00FB101F" w:rsidRDefault="004E0FFD" w:rsidP="00FB101F">
      <w:pPr>
        <w:spacing w:line="480" w:lineRule="auto"/>
        <w:ind w:firstLine="720"/>
        <w:rPr>
          <w:rFonts w:ascii="Times New Roman" w:hAnsi="Times New Roman" w:cs="Times New Roman"/>
          <w:sz w:val="24"/>
          <w:szCs w:val="24"/>
          <w:lang w:val="en-CA"/>
        </w:rPr>
      </w:pPr>
      <w:r>
        <w:rPr>
          <w:rFonts w:ascii="Times New Roman" w:hAnsi="Times New Roman" w:cs="Times New Roman"/>
          <w:sz w:val="24"/>
          <w:szCs w:val="24"/>
          <w:lang w:val="en-CA"/>
        </w:rPr>
        <w:t>Evidence is available information, provided through interviews or case studies, that provides an indication of whether an argument or principal is true. Evidence can either be primary or secondary sources of evidence; primary evidence is evidence that is taken directly for a source (original source), and secondary advice is when information has been summarized and discussed.</w:t>
      </w:r>
      <w:r w:rsidR="00BB7F88">
        <w:rPr>
          <w:rFonts w:ascii="Times New Roman" w:hAnsi="Times New Roman" w:cs="Times New Roman"/>
          <w:sz w:val="24"/>
          <w:szCs w:val="24"/>
          <w:lang w:val="en-CA"/>
        </w:rPr>
        <w:t xml:space="preserve"> </w:t>
      </w:r>
      <w:r w:rsidR="006C2838">
        <w:rPr>
          <w:rFonts w:ascii="Times New Roman" w:hAnsi="Times New Roman" w:cs="Times New Roman"/>
          <w:sz w:val="24"/>
          <w:szCs w:val="24"/>
          <w:lang w:val="en-CA"/>
        </w:rPr>
        <w:t xml:space="preserve">The author refers to </w:t>
      </w:r>
      <w:r w:rsidR="000549A7">
        <w:rPr>
          <w:rFonts w:ascii="Times New Roman" w:hAnsi="Times New Roman" w:cs="Times New Roman"/>
          <w:sz w:val="24"/>
          <w:szCs w:val="24"/>
          <w:lang w:val="en-CA"/>
        </w:rPr>
        <w:t xml:space="preserve">evidence drawn out of interviews done in the federal case which is an example of the government style in Ottawa, and two subnational cases which are examples drawn from the governments in British Columbia and New Brunswick respectively. </w:t>
      </w:r>
      <w:r>
        <w:rPr>
          <w:rFonts w:ascii="Times New Roman" w:hAnsi="Times New Roman" w:cs="Times New Roman"/>
          <w:sz w:val="24"/>
          <w:szCs w:val="24"/>
          <w:lang w:val="en-CA"/>
        </w:rPr>
        <w:t xml:space="preserve">The author uses both primary and secondary styles of references to support his conclusion. When </w:t>
      </w:r>
      <w:r w:rsidR="002165CF">
        <w:rPr>
          <w:rFonts w:ascii="Times New Roman" w:hAnsi="Times New Roman" w:cs="Times New Roman"/>
          <w:sz w:val="24"/>
          <w:szCs w:val="24"/>
          <w:lang w:val="en-CA"/>
        </w:rPr>
        <w:t xml:space="preserve">the </w:t>
      </w:r>
      <w:proofErr w:type="gramStart"/>
      <w:r w:rsidR="002165CF">
        <w:rPr>
          <w:rFonts w:ascii="Times New Roman" w:hAnsi="Times New Roman" w:cs="Times New Roman"/>
          <w:sz w:val="24"/>
          <w:szCs w:val="24"/>
          <w:lang w:val="en-CA"/>
        </w:rPr>
        <w:t xml:space="preserve">author </w:t>
      </w:r>
      <w:r>
        <w:rPr>
          <w:rFonts w:ascii="Times New Roman" w:hAnsi="Times New Roman" w:cs="Times New Roman"/>
          <w:sz w:val="24"/>
          <w:szCs w:val="24"/>
          <w:lang w:val="en-CA"/>
        </w:rPr>
        <w:t xml:space="preserve"> </w:t>
      </w:r>
      <w:r>
        <w:rPr>
          <w:rFonts w:ascii="Times New Roman" w:hAnsi="Times New Roman" w:cs="Times New Roman"/>
          <w:sz w:val="24"/>
          <w:szCs w:val="24"/>
          <w:lang w:val="en-CA"/>
        </w:rPr>
        <w:lastRenderedPageBreak/>
        <w:t>is</w:t>
      </w:r>
      <w:proofErr w:type="gramEnd"/>
      <w:r>
        <w:rPr>
          <w:rFonts w:ascii="Times New Roman" w:hAnsi="Times New Roman" w:cs="Times New Roman"/>
          <w:sz w:val="24"/>
          <w:szCs w:val="24"/>
          <w:lang w:val="en-CA"/>
        </w:rPr>
        <w:t xml:space="preserve"> using primary </w:t>
      </w:r>
      <w:r w:rsidR="00CE281D">
        <w:rPr>
          <w:rFonts w:ascii="Times New Roman" w:hAnsi="Times New Roman" w:cs="Times New Roman"/>
          <w:sz w:val="24"/>
          <w:szCs w:val="24"/>
          <w:lang w:val="en-CA"/>
        </w:rPr>
        <w:t>sources,</w:t>
      </w:r>
      <w:r>
        <w:rPr>
          <w:rFonts w:ascii="Times New Roman" w:hAnsi="Times New Roman" w:cs="Times New Roman"/>
          <w:sz w:val="24"/>
          <w:szCs w:val="24"/>
          <w:lang w:val="en-CA"/>
        </w:rPr>
        <w:t xml:space="preserve"> he references the source directly, putting the entire reference in quotation marks.</w:t>
      </w:r>
      <w:r w:rsidR="00787D02">
        <w:rPr>
          <w:rFonts w:ascii="Times New Roman" w:hAnsi="Times New Roman" w:cs="Times New Roman"/>
          <w:sz w:val="24"/>
          <w:szCs w:val="24"/>
          <w:lang w:val="en-CA"/>
        </w:rPr>
        <w:t xml:space="preserve"> “As Birkland notes, formulation is “the process by which policies are designed…” (2001, 150).” Within his reference to Birklands works, he draws evidence directly from the source by quoting it directly.</w:t>
      </w:r>
      <w:r>
        <w:rPr>
          <w:rFonts w:ascii="Times New Roman" w:hAnsi="Times New Roman" w:cs="Times New Roman"/>
          <w:sz w:val="24"/>
          <w:szCs w:val="24"/>
          <w:lang w:val="en-CA"/>
        </w:rPr>
        <w:t xml:space="preserve"> </w:t>
      </w:r>
      <w:r w:rsidR="00CE281D">
        <w:rPr>
          <w:rFonts w:ascii="Times New Roman" w:hAnsi="Times New Roman" w:cs="Times New Roman"/>
          <w:sz w:val="24"/>
          <w:szCs w:val="24"/>
          <w:lang w:val="en-CA"/>
        </w:rPr>
        <w:t xml:space="preserve">When the author is using secondary </w:t>
      </w:r>
      <w:r w:rsidR="00AD1FB6">
        <w:rPr>
          <w:rFonts w:ascii="Times New Roman" w:hAnsi="Times New Roman" w:cs="Times New Roman"/>
          <w:sz w:val="24"/>
          <w:szCs w:val="24"/>
          <w:lang w:val="en-CA"/>
        </w:rPr>
        <w:t>resources,</w:t>
      </w:r>
      <w:r w:rsidR="00CE281D">
        <w:rPr>
          <w:rFonts w:ascii="Times New Roman" w:hAnsi="Times New Roman" w:cs="Times New Roman"/>
          <w:sz w:val="24"/>
          <w:szCs w:val="24"/>
          <w:lang w:val="en-CA"/>
        </w:rPr>
        <w:t xml:space="preserve"> </w:t>
      </w:r>
      <w:r w:rsidR="00AF2543">
        <w:rPr>
          <w:rFonts w:ascii="Times New Roman" w:hAnsi="Times New Roman" w:cs="Times New Roman"/>
          <w:sz w:val="24"/>
          <w:szCs w:val="24"/>
          <w:lang w:val="en-CA"/>
        </w:rPr>
        <w:t xml:space="preserve">he summarizes the authors point in the source that he is referencing. </w:t>
      </w:r>
      <w:r w:rsidR="00AD1FB6">
        <w:rPr>
          <w:rFonts w:ascii="Times New Roman" w:hAnsi="Times New Roman" w:cs="Times New Roman"/>
          <w:sz w:val="24"/>
          <w:szCs w:val="24"/>
          <w:lang w:val="en-CA"/>
        </w:rPr>
        <w:t>“</w:t>
      </w:r>
      <w:proofErr w:type="spellStart"/>
      <w:r w:rsidR="00AD1FB6">
        <w:rPr>
          <w:rFonts w:ascii="Times New Roman" w:hAnsi="Times New Roman" w:cs="Times New Roman"/>
          <w:sz w:val="24"/>
          <w:szCs w:val="24"/>
          <w:lang w:val="en-CA"/>
        </w:rPr>
        <w:t>Zussman’s</w:t>
      </w:r>
      <w:proofErr w:type="spellEnd"/>
      <w:r w:rsidR="00AD1FB6">
        <w:rPr>
          <w:rFonts w:ascii="Times New Roman" w:hAnsi="Times New Roman" w:cs="Times New Roman"/>
          <w:sz w:val="24"/>
          <w:szCs w:val="24"/>
          <w:lang w:val="en-CA"/>
        </w:rPr>
        <w:t xml:space="preserve"> (2009) review of ‘political advisers’ and the machinery of government in OECD countries is an excellent point of departures.” (Craft 2016, 25) While referencing </w:t>
      </w:r>
      <w:proofErr w:type="spellStart"/>
      <w:r w:rsidR="00AD1FB6">
        <w:rPr>
          <w:rFonts w:ascii="Times New Roman" w:hAnsi="Times New Roman" w:cs="Times New Roman"/>
          <w:sz w:val="24"/>
          <w:szCs w:val="24"/>
          <w:lang w:val="en-CA"/>
        </w:rPr>
        <w:t>Zussman’s</w:t>
      </w:r>
      <w:proofErr w:type="spellEnd"/>
      <w:r w:rsidR="00AD1FB6">
        <w:rPr>
          <w:rFonts w:ascii="Times New Roman" w:hAnsi="Times New Roman" w:cs="Times New Roman"/>
          <w:sz w:val="24"/>
          <w:szCs w:val="24"/>
          <w:lang w:val="en-CA"/>
        </w:rPr>
        <w:t xml:space="preserve"> review, Craft does not refer directly to the source, but rather indicates his opinion of the source. </w:t>
      </w:r>
    </w:p>
    <w:p w14:paraId="6FAC274E" w14:textId="2D7D3084" w:rsidR="00C538E0" w:rsidRDefault="00C538E0" w:rsidP="00CF4DCA">
      <w:pPr>
        <w:spacing w:line="480" w:lineRule="auto"/>
        <w:rPr>
          <w:rFonts w:ascii="Times New Roman" w:hAnsi="Times New Roman" w:cs="Times New Roman"/>
          <w:b/>
          <w:sz w:val="24"/>
          <w:szCs w:val="24"/>
          <w:lang w:val="en-CA"/>
        </w:rPr>
      </w:pPr>
      <w:r>
        <w:rPr>
          <w:rFonts w:ascii="Times New Roman" w:hAnsi="Times New Roman" w:cs="Times New Roman"/>
          <w:b/>
          <w:sz w:val="24"/>
          <w:szCs w:val="24"/>
          <w:lang w:val="en-CA"/>
        </w:rPr>
        <w:t xml:space="preserve">Politics – Administration Dichotomy </w:t>
      </w:r>
    </w:p>
    <w:p w14:paraId="36BB1145" w14:textId="0F83438D" w:rsidR="009B6818" w:rsidRDefault="009B6818" w:rsidP="00CF4DCA">
      <w:pPr>
        <w:spacing w:line="480" w:lineRule="auto"/>
        <w:rPr>
          <w:rFonts w:ascii="Times New Roman" w:hAnsi="Times New Roman" w:cs="Times New Roman"/>
          <w:sz w:val="24"/>
          <w:szCs w:val="24"/>
          <w:lang w:val="en-CA"/>
        </w:rPr>
      </w:pPr>
      <w:r>
        <w:rPr>
          <w:rFonts w:ascii="Times New Roman" w:hAnsi="Times New Roman" w:cs="Times New Roman"/>
          <w:b/>
          <w:sz w:val="24"/>
          <w:szCs w:val="24"/>
          <w:lang w:val="en-CA"/>
        </w:rPr>
        <w:tab/>
      </w:r>
      <w:r>
        <w:rPr>
          <w:rFonts w:ascii="Times New Roman" w:hAnsi="Times New Roman" w:cs="Times New Roman"/>
          <w:sz w:val="24"/>
          <w:szCs w:val="24"/>
          <w:lang w:val="en-CA"/>
        </w:rPr>
        <w:t xml:space="preserve">The authors central argument is incompatible with the notion that politics and administration are separate realms. A </w:t>
      </w:r>
      <w:r w:rsidR="00ED024A">
        <w:rPr>
          <w:rFonts w:ascii="Times New Roman" w:hAnsi="Times New Roman" w:cs="Times New Roman"/>
          <w:sz w:val="24"/>
          <w:szCs w:val="24"/>
          <w:lang w:val="en-CA"/>
        </w:rPr>
        <w:t>politics</w:t>
      </w:r>
      <w:r w:rsidR="00CA0905">
        <w:rPr>
          <w:rFonts w:ascii="Times New Roman" w:hAnsi="Times New Roman" w:cs="Times New Roman"/>
          <w:sz w:val="24"/>
          <w:szCs w:val="24"/>
          <w:lang w:val="en-CA"/>
        </w:rPr>
        <w:t>-</w:t>
      </w:r>
      <w:r w:rsidR="00ED024A">
        <w:rPr>
          <w:rFonts w:ascii="Times New Roman" w:hAnsi="Times New Roman" w:cs="Times New Roman"/>
          <w:sz w:val="24"/>
          <w:szCs w:val="24"/>
          <w:lang w:val="en-CA"/>
        </w:rPr>
        <w:t>administration dichotomy is the idea of keeping the two realms of politics and administration separate from one another</w:t>
      </w:r>
      <w:r w:rsidR="009462A8">
        <w:rPr>
          <w:rFonts w:ascii="Times New Roman" w:hAnsi="Times New Roman" w:cs="Times New Roman"/>
          <w:sz w:val="24"/>
          <w:szCs w:val="24"/>
          <w:lang w:val="en-CA"/>
        </w:rPr>
        <w:t xml:space="preserve"> and making sure that political officials and public service staff have neutral relationships. The book did not support the idea of a politics</w:t>
      </w:r>
      <w:r w:rsidR="00CA0905">
        <w:rPr>
          <w:rFonts w:ascii="Times New Roman" w:hAnsi="Times New Roman" w:cs="Times New Roman"/>
          <w:sz w:val="24"/>
          <w:szCs w:val="24"/>
          <w:lang w:val="en-CA"/>
        </w:rPr>
        <w:t>-</w:t>
      </w:r>
      <w:r w:rsidR="009462A8">
        <w:rPr>
          <w:rFonts w:ascii="Times New Roman" w:hAnsi="Times New Roman" w:cs="Times New Roman"/>
          <w:sz w:val="24"/>
          <w:szCs w:val="24"/>
          <w:lang w:val="en-CA"/>
        </w:rPr>
        <w:t xml:space="preserve">administration dichotomy; the two realms, however different or similar, have many places where they overlap as policies are being created within the public service and the political arm of the government. </w:t>
      </w:r>
      <w:r w:rsidR="00470518">
        <w:rPr>
          <w:rFonts w:ascii="Times New Roman" w:hAnsi="Times New Roman" w:cs="Times New Roman"/>
          <w:sz w:val="24"/>
          <w:szCs w:val="24"/>
          <w:lang w:val="en-CA"/>
        </w:rPr>
        <w:t>While the book did not support the administration</w:t>
      </w:r>
      <w:r w:rsidR="00CA0905">
        <w:rPr>
          <w:rFonts w:ascii="Times New Roman" w:hAnsi="Times New Roman" w:cs="Times New Roman"/>
          <w:sz w:val="24"/>
          <w:szCs w:val="24"/>
          <w:lang w:val="en-CA"/>
        </w:rPr>
        <w:t>-</w:t>
      </w:r>
      <w:r w:rsidR="00470518">
        <w:rPr>
          <w:rFonts w:ascii="Times New Roman" w:hAnsi="Times New Roman" w:cs="Times New Roman"/>
          <w:sz w:val="24"/>
          <w:szCs w:val="24"/>
          <w:lang w:val="en-CA"/>
        </w:rPr>
        <w:t xml:space="preserve">dichotomy, it also did not suggest that the two reals should completely overlap; while the two realms do overlap in terms of policymaking, that is not to suggest that </w:t>
      </w:r>
      <w:r w:rsidR="009A6416">
        <w:rPr>
          <w:rFonts w:ascii="Times New Roman" w:hAnsi="Times New Roman" w:cs="Times New Roman"/>
          <w:sz w:val="24"/>
          <w:szCs w:val="24"/>
          <w:lang w:val="en-CA"/>
        </w:rPr>
        <w:t>t</w:t>
      </w:r>
      <w:r w:rsidR="00470518">
        <w:rPr>
          <w:rFonts w:ascii="Times New Roman" w:hAnsi="Times New Roman" w:cs="Times New Roman"/>
          <w:sz w:val="24"/>
          <w:szCs w:val="24"/>
          <w:lang w:val="en-CA"/>
        </w:rPr>
        <w:t xml:space="preserve">hey should completely mold together.  </w:t>
      </w:r>
      <w:r w:rsidR="00636F81">
        <w:rPr>
          <w:rFonts w:ascii="Times New Roman" w:hAnsi="Times New Roman" w:cs="Times New Roman"/>
          <w:sz w:val="24"/>
          <w:szCs w:val="24"/>
          <w:lang w:val="en-CA"/>
        </w:rPr>
        <w:t xml:space="preserve">“Partisan advisers were aware that they had to apply a political lens to policy advice so that they could approach policy advice from different perspectives as well” (Craft, 2016). </w:t>
      </w:r>
      <w:r w:rsidR="009A6416">
        <w:rPr>
          <w:rFonts w:ascii="Times New Roman" w:hAnsi="Times New Roman" w:cs="Times New Roman"/>
          <w:sz w:val="24"/>
          <w:szCs w:val="24"/>
          <w:lang w:val="en-CA"/>
        </w:rPr>
        <w:t>The application of the theoretical political lens suggests the overlap of the political and administration realms; it indicates that it</w:t>
      </w:r>
      <w:r w:rsidR="00E160BC">
        <w:rPr>
          <w:rFonts w:ascii="Times New Roman" w:hAnsi="Times New Roman" w:cs="Times New Roman"/>
          <w:sz w:val="24"/>
          <w:szCs w:val="24"/>
          <w:lang w:val="en-CA"/>
        </w:rPr>
        <w:t xml:space="preserve"> i</w:t>
      </w:r>
      <w:r w:rsidR="009A6416">
        <w:rPr>
          <w:rFonts w:ascii="Times New Roman" w:hAnsi="Times New Roman" w:cs="Times New Roman"/>
          <w:sz w:val="24"/>
          <w:szCs w:val="24"/>
          <w:lang w:val="en-CA"/>
        </w:rPr>
        <w:t xml:space="preserve">s important to consider all perspectives and sources when conducting policy work. </w:t>
      </w:r>
      <w:r w:rsidR="00AC12B5">
        <w:rPr>
          <w:rFonts w:ascii="Times New Roman" w:hAnsi="Times New Roman" w:cs="Times New Roman"/>
          <w:sz w:val="24"/>
          <w:szCs w:val="24"/>
          <w:lang w:val="en-CA"/>
        </w:rPr>
        <w:t>“…</w:t>
      </w:r>
      <w:r w:rsidR="00582ACA">
        <w:rPr>
          <w:rFonts w:ascii="Times New Roman" w:hAnsi="Times New Roman" w:cs="Times New Roman"/>
          <w:sz w:val="24"/>
          <w:szCs w:val="24"/>
          <w:lang w:val="en-CA"/>
        </w:rPr>
        <w:t xml:space="preserve">a strongly partisan personal office is the best way to defend an </w:t>
      </w:r>
      <w:r w:rsidR="00582ACA">
        <w:rPr>
          <w:rFonts w:ascii="Times New Roman" w:hAnsi="Times New Roman" w:cs="Times New Roman"/>
          <w:sz w:val="24"/>
          <w:szCs w:val="24"/>
          <w:lang w:val="en-CA"/>
        </w:rPr>
        <w:lastRenderedPageBreak/>
        <w:t>apolitical public service. Good advice necessitates different kinds of expertise.” (Axworthy 1988, 258</w:t>
      </w:r>
      <w:r w:rsidR="00082B6A">
        <w:rPr>
          <w:rFonts w:ascii="Times New Roman" w:hAnsi="Times New Roman" w:cs="Times New Roman"/>
          <w:sz w:val="24"/>
          <w:szCs w:val="24"/>
          <w:lang w:val="en-CA"/>
        </w:rPr>
        <w:t xml:space="preserve">) It is crucial that when considering the process of policy making in the public service that the </w:t>
      </w:r>
      <w:r w:rsidR="002D4E7E">
        <w:rPr>
          <w:rFonts w:ascii="Times New Roman" w:hAnsi="Times New Roman" w:cs="Times New Roman"/>
          <w:sz w:val="24"/>
          <w:szCs w:val="24"/>
          <w:lang w:val="en-CA"/>
        </w:rPr>
        <w:t>partisan advisers</w:t>
      </w:r>
      <w:r w:rsidR="00082B6A">
        <w:rPr>
          <w:rFonts w:ascii="Times New Roman" w:hAnsi="Times New Roman" w:cs="Times New Roman"/>
          <w:sz w:val="24"/>
          <w:szCs w:val="24"/>
          <w:lang w:val="en-CA"/>
        </w:rPr>
        <w:t xml:space="preserve"> within the office can use their expertise by considering internal and external sources. </w:t>
      </w:r>
      <w:r w:rsidR="005B7211">
        <w:rPr>
          <w:rFonts w:ascii="Times New Roman" w:hAnsi="Times New Roman" w:cs="Times New Roman"/>
          <w:sz w:val="24"/>
          <w:szCs w:val="24"/>
          <w:lang w:val="en-CA"/>
        </w:rPr>
        <w:t xml:space="preserve">The </w:t>
      </w:r>
      <w:r w:rsidR="002D4E7E">
        <w:rPr>
          <w:rFonts w:ascii="Times New Roman" w:hAnsi="Times New Roman" w:cs="Times New Roman"/>
          <w:sz w:val="24"/>
          <w:szCs w:val="24"/>
          <w:lang w:val="en-CA"/>
        </w:rPr>
        <w:t xml:space="preserve">use of partisan advisers within the public service shows how they can add a political lens to policy making and the process that surrounds it. </w:t>
      </w:r>
    </w:p>
    <w:p w14:paraId="50E0A32F" w14:textId="2C92284C" w:rsidR="0060193E" w:rsidRDefault="005D19A1" w:rsidP="00CF4DCA">
      <w:pPr>
        <w:spacing w:line="480" w:lineRule="auto"/>
        <w:rPr>
          <w:rFonts w:ascii="Times New Roman" w:hAnsi="Times New Roman" w:cs="Times New Roman"/>
          <w:b/>
          <w:sz w:val="24"/>
          <w:szCs w:val="24"/>
          <w:lang w:val="en-CA"/>
        </w:rPr>
      </w:pPr>
      <w:r>
        <w:rPr>
          <w:rFonts w:ascii="Times New Roman" w:hAnsi="Times New Roman" w:cs="Times New Roman"/>
          <w:b/>
          <w:sz w:val="24"/>
          <w:szCs w:val="24"/>
          <w:lang w:val="en-CA"/>
        </w:rPr>
        <w:t xml:space="preserve">Conclusion </w:t>
      </w:r>
    </w:p>
    <w:p w14:paraId="7E20C5AB" w14:textId="4ECB15FC" w:rsidR="005D19A1" w:rsidRPr="005D19A1" w:rsidRDefault="00E2233E" w:rsidP="00CF4DCA">
      <w:pPr>
        <w:spacing w:line="480" w:lineRule="auto"/>
        <w:rPr>
          <w:rFonts w:ascii="Times New Roman" w:hAnsi="Times New Roman" w:cs="Times New Roman"/>
          <w:sz w:val="24"/>
          <w:szCs w:val="24"/>
          <w:lang w:val="en-CA"/>
        </w:rPr>
      </w:pPr>
      <w:r>
        <w:rPr>
          <w:rFonts w:ascii="Times New Roman" w:hAnsi="Times New Roman" w:cs="Times New Roman"/>
          <w:sz w:val="24"/>
          <w:szCs w:val="24"/>
          <w:lang w:val="en-CA"/>
        </w:rPr>
        <w:tab/>
        <w:t xml:space="preserve"> In conclusion, </w:t>
      </w:r>
      <w:r w:rsidR="004E4DAF">
        <w:rPr>
          <w:rFonts w:ascii="Times New Roman" w:hAnsi="Times New Roman" w:cs="Times New Roman"/>
          <w:sz w:val="24"/>
          <w:szCs w:val="24"/>
          <w:lang w:val="en-CA"/>
        </w:rPr>
        <w:t xml:space="preserve">the central thesis of the book was that </w:t>
      </w:r>
      <w:r w:rsidR="00083363">
        <w:rPr>
          <w:rFonts w:ascii="Times New Roman" w:hAnsi="Times New Roman" w:cs="Times New Roman"/>
          <w:sz w:val="24"/>
          <w:szCs w:val="24"/>
          <w:lang w:val="en-CA"/>
        </w:rPr>
        <w:t>exempt staff, specifically partisan advisers, are policy makers that are crucial to the core executive. This essay explored the central thesis of the book and its goals and principals, the evidence drawn from interviews used to support the author</w:t>
      </w:r>
      <w:r w:rsidR="00CA0905">
        <w:rPr>
          <w:rFonts w:ascii="Times New Roman" w:hAnsi="Times New Roman" w:cs="Times New Roman"/>
          <w:sz w:val="24"/>
          <w:szCs w:val="24"/>
          <w:lang w:val="en-CA"/>
        </w:rPr>
        <w:t>’</w:t>
      </w:r>
      <w:r w:rsidR="00083363">
        <w:rPr>
          <w:rFonts w:ascii="Times New Roman" w:hAnsi="Times New Roman" w:cs="Times New Roman"/>
          <w:sz w:val="24"/>
          <w:szCs w:val="24"/>
          <w:lang w:val="en-CA"/>
        </w:rPr>
        <w:t xml:space="preserve">s conclusion, and the idea that the authors findings do not support a political – administration dichotomy. </w:t>
      </w:r>
      <w:r w:rsidR="000C205C">
        <w:rPr>
          <w:rFonts w:ascii="Times New Roman" w:hAnsi="Times New Roman" w:cs="Times New Roman"/>
          <w:sz w:val="24"/>
          <w:szCs w:val="24"/>
          <w:lang w:val="en-CA"/>
        </w:rPr>
        <w:t xml:space="preserve">It developed the three ideas by referencing the text and evidence drawn from different references within the text. </w:t>
      </w:r>
      <w:r w:rsidR="00BF31C8">
        <w:rPr>
          <w:rFonts w:ascii="Times New Roman" w:hAnsi="Times New Roman" w:cs="Times New Roman"/>
          <w:sz w:val="24"/>
          <w:szCs w:val="24"/>
          <w:lang w:val="en-CA"/>
        </w:rPr>
        <w:t>“Canadian partisan advisers are policy workers with currency in backroom and beyond</w:t>
      </w:r>
      <w:r w:rsidR="002652D8">
        <w:rPr>
          <w:rFonts w:ascii="Times New Roman" w:hAnsi="Times New Roman" w:cs="Times New Roman"/>
          <w:sz w:val="24"/>
          <w:szCs w:val="24"/>
          <w:lang w:val="en-CA"/>
        </w:rPr>
        <w:t>.” (Craft 2016, 251)</w:t>
      </w:r>
      <w:r w:rsidR="00C56289">
        <w:rPr>
          <w:rFonts w:ascii="Times New Roman" w:hAnsi="Times New Roman" w:cs="Times New Roman"/>
          <w:sz w:val="24"/>
          <w:szCs w:val="24"/>
          <w:lang w:val="en-CA"/>
        </w:rPr>
        <w:t xml:space="preserve"> </w:t>
      </w:r>
      <w:r w:rsidR="00954102">
        <w:rPr>
          <w:rFonts w:ascii="Times New Roman" w:hAnsi="Times New Roman" w:cs="Times New Roman"/>
          <w:sz w:val="24"/>
          <w:szCs w:val="24"/>
          <w:lang w:val="en-CA"/>
        </w:rPr>
        <w:t xml:space="preserve">To conclude, Jonathan Craft wrote a very informative and educational book explaining and demonstrating the crucial influence of partisan advisers in the process of policy making. </w:t>
      </w:r>
    </w:p>
    <w:sectPr w:rsidR="005D19A1" w:rsidRPr="005D19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D2E"/>
    <w:rsid w:val="00030135"/>
    <w:rsid w:val="0004702C"/>
    <w:rsid w:val="000549A7"/>
    <w:rsid w:val="00082B6A"/>
    <w:rsid w:val="00083363"/>
    <w:rsid w:val="000C205C"/>
    <w:rsid w:val="00145868"/>
    <w:rsid w:val="001473B8"/>
    <w:rsid w:val="001B39D8"/>
    <w:rsid w:val="002165CF"/>
    <w:rsid w:val="002652D8"/>
    <w:rsid w:val="002D4E7E"/>
    <w:rsid w:val="002E3853"/>
    <w:rsid w:val="00382CEA"/>
    <w:rsid w:val="003C0A50"/>
    <w:rsid w:val="0046662A"/>
    <w:rsid w:val="00470518"/>
    <w:rsid w:val="004E0FFD"/>
    <w:rsid w:val="004E4DAF"/>
    <w:rsid w:val="005679FD"/>
    <w:rsid w:val="00582ACA"/>
    <w:rsid w:val="005B7211"/>
    <w:rsid w:val="005D19A1"/>
    <w:rsid w:val="0060193E"/>
    <w:rsid w:val="00603030"/>
    <w:rsid w:val="00636F81"/>
    <w:rsid w:val="00645252"/>
    <w:rsid w:val="006C2838"/>
    <w:rsid w:val="006D3D74"/>
    <w:rsid w:val="00787D02"/>
    <w:rsid w:val="0083569A"/>
    <w:rsid w:val="008A46ED"/>
    <w:rsid w:val="009462A8"/>
    <w:rsid w:val="00954102"/>
    <w:rsid w:val="00990581"/>
    <w:rsid w:val="009A6416"/>
    <w:rsid w:val="009B6818"/>
    <w:rsid w:val="00A9204E"/>
    <w:rsid w:val="00AB13DF"/>
    <w:rsid w:val="00AC12B5"/>
    <w:rsid w:val="00AD1FB6"/>
    <w:rsid w:val="00AF2543"/>
    <w:rsid w:val="00B3551D"/>
    <w:rsid w:val="00B83D2E"/>
    <w:rsid w:val="00BB7F88"/>
    <w:rsid w:val="00BE6A1E"/>
    <w:rsid w:val="00BF31C8"/>
    <w:rsid w:val="00C11761"/>
    <w:rsid w:val="00C37A8E"/>
    <w:rsid w:val="00C538E0"/>
    <w:rsid w:val="00C53A29"/>
    <w:rsid w:val="00C56289"/>
    <w:rsid w:val="00CA0905"/>
    <w:rsid w:val="00CE281D"/>
    <w:rsid w:val="00CF4DCA"/>
    <w:rsid w:val="00D420D2"/>
    <w:rsid w:val="00D92299"/>
    <w:rsid w:val="00E160BC"/>
    <w:rsid w:val="00E2233E"/>
    <w:rsid w:val="00EA41B1"/>
    <w:rsid w:val="00ED024A"/>
    <w:rsid w:val="00EE731F"/>
    <w:rsid w:val="00F010A8"/>
    <w:rsid w:val="00F700B9"/>
    <w:rsid w:val="00FA2F48"/>
    <w:rsid w:val="00FB101F"/>
    <w:rsid w:val="00FB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BA250"/>
  <w15:chartTrackingRefBased/>
  <w15:docId w15:val="{7DFF9A9E-67E8-406A-946B-F775282AE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wner\AppData\Local\Packages\Microsoft.Office.Desktop_8wekyb3d8bbwe\LocalCache\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53B36C0E-03F8-420A-88ED-FFEAB9420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Single spaced (blank)</Template>
  <TotalTime>2868</TotalTime>
  <Pages>5</Pages>
  <Words>1145</Words>
  <Characters>6528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Durette</dc:creator>
  <cp:keywords/>
  <dc:description/>
  <cp:lastModifiedBy>Claire Durette</cp:lastModifiedBy>
  <cp:revision>47</cp:revision>
  <dcterms:created xsi:type="dcterms:W3CDTF">2018-11-18T17:39:00Z</dcterms:created>
  <dcterms:modified xsi:type="dcterms:W3CDTF">2018-11-21T01:23:00Z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