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B16" w:rsidRDefault="00614B16" w:rsidP="00614B16">
      <w:pPr>
        <w:ind w:left="475" w:hanging="475"/>
        <w:jc w:val="both"/>
        <w:rPr>
          <w:rFonts w:ascii="Arial" w:hAnsi="Arial" w:cs="Arial"/>
          <w:b/>
          <w:sz w:val="28"/>
        </w:rPr>
      </w:pPr>
      <w:r>
        <w:rPr>
          <w:rFonts w:ascii="Arial" w:hAnsi="Arial" w:cs="Arial"/>
          <w:b/>
          <w:sz w:val="28"/>
        </w:rPr>
        <w:t>ADMS 3585 –</w:t>
      </w:r>
      <w:r w:rsidR="007B73AA">
        <w:rPr>
          <w:rFonts w:ascii="Arial" w:hAnsi="Arial" w:cs="Arial"/>
          <w:b/>
          <w:sz w:val="28"/>
        </w:rPr>
        <w:t xml:space="preserve"> </w:t>
      </w:r>
      <w:r>
        <w:rPr>
          <w:rFonts w:ascii="Arial" w:hAnsi="Arial" w:cs="Arial"/>
          <w:b/>
          <w:sz w:val="28"/>
        </w:rPr>
        <w:t>Solutions to Cla</w:t>
      </w:r>
      <w:bookmarkStart w:id="0" w:name="_GoBack"/>
      <w:bookmarkEnd w:id="0"/>
      <w:r>
        <w:rPr>
          <w:rFonts w:ascii="Arial" w:hAnsi="Arial" w:cs="Arial"/>
          <w:b/>
          <w:sz w:val="28"/>
        </w:rPr>
        <w:t xml:space="preserve">ss review questions. </w:t>
      </w:r>
    </w:p>
    <w:p w:rsidR="00614B16" w:rsidRDefault="007B73AA" w:rsidP="007B73AA">
      <w:r>
        <w:t>Class</w:t>
      </w:r>
      <w:r w:rsidR="00614B16">
        <w:t xml:space="preserve"> 2</w:t>
      </w:r>
    </w:p>
    <w:p w:rsidR="00614B16" w:rsidRDefault="00614B16" w:rsidP="00614B16">
      <w:pPr>
        <w:ind w:left="475" w:hanging="475"/>
        <w:jc w:val="both"/>
        <w:rPr>
          <w:rFonts w:ascii="Arial" w:hAnsi="Arial" w:cs="Arial"/>
          <w:b/>
          <w:sz w:val="28"/>
        </w:rPr>
      </w:pPr>
    </w:p>
    <w:p w:rsidR="00614B16" w:rsidRDefault="00614B16" w:rsidP="00614B16">
      <w:pPr>
        <w:ind w:left="475" w:hanging="475"/>
        <w:jc w:val="both"/>
        <w:rPr>
          <w:rFonts w:ascii="Arial" w:hAnsi="Arial" w:cs="Arial"/>
          <w:b/>
          <w:sz w:val="28"/>
        </w:rPr>
      </w:pPr>
    </w:p>
    <w:p w:rsidR="007B73AA" w:rsidRPr="000737EF" w:rsidRDefault="007B73AA" w:rsidP="007B73AA">
      <w:pPr>
        <w:pStyle w:val="BHead"/>
        <w:rPr>
          <w:rFonts w:cs="Arial"/>
          <w:b/>
          <w:szCs w:val="28"/>
        </w:rPr>
      </w:pPr>
      <w:r w:rsidRPr="0047009D">
        <w:rPr>
          <w:rFonts w:cs="Arial"/>
          <w:b/>
          <w:caps/>
          <w:szCs w:val="28"/>
        </w:rPr>
        <w:t>Exercise</w:t>
      </w:r>
      <w:r w:rsidRPr="0047009D">
        <w:rPr>
          <w:rFonts w:cs="Arial"/>
          <w:b/>
          <w:szCs w:val="28"/>
        </w:rPr>
        <w:t xml:space="preserve"> 2-</w:t>
      </w:r>
      <w:r>
        <w:rPr>
          <w:rFonts w:cs="Arial"/>
          <w:b/>
          <w:szCs w:val="28"/>
        </w:rPr>
        <w:t>3</w:t>
      </w:r>
      <w:r w:rsidRPr="0047009D">
        <w:rPr>
          <w:rFonts w:cs="Arial"/>
          <w:b/>
          <w:szCs w:val="28"/>
        </w:rPr>
        <w:t xml:space="preserve"> </w:t>
      </w:r>
      <w:r>
        <w:rPr>
          <w:rFonts w:cs="Arial"/>
          <w:b/>
          <w:szCs w:val="28"/>
        </w:rPr>
        <w:br/>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Helvetica" w:hAnsi="Helvetica"/>
          <w:sz w:val="24"/>
          <w:szCs w:val="24"/>
        </w:rPr>
        <w:t>Comparability</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Feedback value</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Consistency</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Neutrality</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Verifiability</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Relevance</w:t>
      </w:r>
    </w:p>
    <w:p w:rsidR="007B73AA" w:rsidRPr="007B73AA" w:rsidRDefault="007B73AA" w:rsidP="007B73AA">
      <w:pPr>
        <w:pStyle w:val="ListParagraph"/>
        <w:numPr>
          <w:ilvl w:val="0"/>
          <w:numId w:val="4"/>
        </w:numPr>
        <w:tabs>
          <w:tab w:val="left" w:pos="993"/>
        </w:tabs>
        <w:spacing w:before="144" w:after="144"/>
        <w:ind w:left="567" w:hanging="567"/>
        <w:rPr>
          <w:rFonts w:ascii="Arial" w:hAnsi="Arial" w:cs="Arial"/>
          <w:sz w:val="24"/>
          <w:szCs w:val="24"/>
        </w:rPr>
      </w:pPr>
      <w:r w:rsidRPr="007B73AA">
        <w:rPr>
          <w:rFonts w:ascii="Arial" w:hAnsi="Arial" w:cs="Arial"/>
          <w:sz w:val="24"/>
          <w:szCs w:val="24"/>
        </w:rPr>
        <w:t xml:space="preserve">1. </w:t>
      </w:r>
      <w:r w:rsidRPr="007B73AA">
        <w:rPr>
          <w:rFonts w:ascii="Arial" w:hAnsi="Arial" w:cs="Arial"/>
          <w:sz w:val="24"/>
          <w:szCs w:val="24"/>
        </w:rPr>
        <w:tab/>
        <w:t>Comparability</w:t>
      </w:r>
    </w:p>
    <w:p w:rsidR="007B73AA" w:rsidRPr="007B73AA" w:rsidRDefault="007B73AA" w:rsidP="007B73AA">
      <w:pPr>
        <w:pStyle w:val="ListParagraph"/>
        <w:tabs>
          <w:tab w:val="left" w:pos="993"/>
        </w:tabs>
        <w:spacing w:before="144" w:after="144"/>
        <w:ind w:left="567" w:hanging="567"/>
        <w:rPr>
          <w:rFonts w:ascii="Arial" w:hAnsi="Arial" w:cs="Arial"/>
          <w:sz w:val="24"/>
          <w:szCs w:val="24"/>
        </w:rPr>
      </w:pPr>
      <w:r w:rsidRPr="007B73AA">
        <w:rPr>
          <w:rFonts w:ascii="Arial" w:hAnsi="Arial" w:cs="Arial"/>
          <w:sz w:val="24"/>
          <w:szCs w:val="24"/>
        </w:rPr>
        <w:tab/>
        <w:t>2.</w:t>
      </w:r>
      <w:r w:rsidRPr="007B73AA">
        <w:rPr>
          <w:rFonts w:ascii="Arial" w:hAnsi="Arial" w:cs="Arial"/>
          <w:sz w:val="24"/>
          <w:szCs w:val="24"/>
        </w:rPr>
        <w:tab/>
        <w:t>Verifiability</w:t>
      </w:r>
    </w:p>
    <w:p w:rsidR="007B73AA" w:rsidRPr="007B73AA" w:rsidRDefault="007B73AA" w:rsidP="007B73AA">
      <w:pPr>
        <w:pStyle w:val="ListParagraph"/>
        <w:tabs>
          <w:tab w:val="left" w:pos="993"/>
        </w:tabs>
        <w:spacing w:before="144" w:after="144"/>
        <w:ind w:left="567" w:hanging="567"/>
        <w:rPr>
          <w:rFonts w:ascii="Arial" w:hAnsi="Arial" w:cs="Arial"/>
          <w:sz w:val="24"/>
          <w:szCs w:val="24"/>
        </w:rPr>
      </w:pPr>
      <w:r w:rsidRPr="007B73AA">
        <w:rPr>
          <w:rFonts w:ascii="Arial" w:hAnsi="Arial" w:cs="Arial"/>
          <w:sz w:val="24"/>
          <w:szCs w:val="24"/>
        </w:rPr>
        <w:tab/>
        <w:t>3.</w:t>
      </w:r>
      <w:r w:rsidRPr="007B73AA">
        <w:rPr>
          <w:rFonts w:ascii="Arial" w:hAnsi="Arial" w:cs="Arial"/>
          <w:sz w:val="24"/>
          <w:szCs w:val="24"/>
        </w:rPr>
        <w:tab/>
        <w:t>Timeliness</w:t>
      </w:r>
    </w:p>
    <w:p w:rsidR="007B73AA" w:rsidRPr="007B73AA" w:rsidRDefault="007B73AA" w:rsidP="007B73AA">
      <w:pPr>
        <w:pStyle w:val="ListParagraph"/>
        <w:tabs>
          <w:tab w:val="left" w:pos="993"/>
        </w:tabs>
        <w:spacing w:before="144" w:after="144"/>
        <w:ind w:left="567" w:hanging="567"/>
        <w:rPr>
          <w:rFonts w:ascii="Arial" w:hAnsi="Arial" w:cs="Arial"/>
          <w:sz w:val="24"/>
          <w:szCs w:val="24"/>
        </w:rPr>
      </w:pPr>
      <w:r w:rsidRPr="007B73AA">
        <w:rPr>
          <w:rFonts w:ascii="Arial" w:hAnsi="Arial" w:cs="Arial"/>
          <w:sz w:val="24"/>
          <w:szCs w:val="24"/>
        </w:rPr>
        <w:tab/>
        <w:t>4.</w:t>
      </w:r>
      <w:r w:rsidRPr="007B73AA">
        <w:rPr>
          <w:rFonts w:ascii="Arial" w:hAnsi="Arial" w:cs="Arial"/>
          <w:sz w:val="24"/>
          <w:szCs w:val="24"/>
        </w:rPr>
        <w:tab/>
        <w:t>Understandability</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Representational faithfulness</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Relevance and Representational faithfulness</w:t>
      </w:r>
    </w:p>
    <w:p w:rsidR="007B73AA" w:rsidRPr="007B73AA" w:rsidRDefault="007B73AA" w:rsidP="007B73AA">
      <w:pPr>
        <w:pStyle w:val="ListParagraph"/>
        <w:numPr>
          <w:ilvl w:val="0"/>
          <w:numId w:val="4"/>
        </w:numPr>
        <w:spacing w:before="144" w:after="144"/>
        <w:ind w:left="567" w:hanging="567"/>
        <w:rPr>
          <w:rFonts w:ascii="Arial" w:hAnsi="Arial" w:cs="Arial"/>
          <w:sz w:val="24"/>
          <w:szCs w:val="24"/>
        </w:rPr>
      </w:pPr>
      <w:r w:rsidRPr="007B73AA">
        <w:rPr>
          <w:rFonts w:ascii="Arial" w:hAnsi="Arial" w:cs="Arial"/>
          <w:sz w:val="24"/>
          <w:szCs w:val="24"/>
        </w:rPr>
        <w:t>Timeliness</w:t>
      </w:r>
    </w:p>
    <w:p w:rsidR="007B73AA" w:rsidRPr="00153331" w:rsidRDefault="007B73AA" w:rsidP="007B73AA">
      <w:pPr>
        <w:rPr>
          <w:rFonts w:ascii="Arial" w:hAnsi="Arial" w:cs="Arial"/>
          <w:b/>
          <w:sz w:val="16"/>
          <w:szCs w:val="16"/>
        </w:rPr>
      </w:pPr>
    </w:p>
    <w:p w:rsidR="007B73AA" w:rsidRPr="007B73AA" w:rsidRDefault="007B73AA" w:rsidP="007B73AA">
      <w:pPr>
        <w:spacing w:before="144" w:after="144"/>
        <w:rPr>
          <w:rFonts w:ascii="Arial" w:hAnsi="Arial" w:cs="Arial"/>
          <w:b/>
        </w:rPr>
      </w:pPr>
      <w:r w:rsidRPr="007B73AA">
        <w:rPr>
          <w:rFonts w:ascii="Arial" w:hAnsi="Arial" w:cs="Arial"/>
          <w:b/>
          <w:caps/>
          <w:specVanish/>
        </w:rPr>
        <w:t>Exercise</w:t>
      </w:r>
      <w:r w:rsidRPr="007B73AA">
        <w:rPr>
          <w:rFonts w:ascii="Arial" w:hAnsi="Arial" w:cs="Arial"/>
          <w:b/>
          <w:specVanish/>
        </w:rPr>
        <w:t xml:space="preserve"> 2-4</w:t>
      </w:r>
    </w:p>
    <w:p w:rsidR="007B73AA" w:rsidRPr="007B73AA" w:rsidRDefault="007B73AA" w:rsidP="007B73AA">
      <w:pPr>
        <w:pStyle w:val="BHead"/>
        <w:rPr>
          <w:rFonts w:cs="Arial"/>
          <w:b/>
          <w:sz w:val="24"/>
          <w:szCs w:val="24"/>
        </w:rPr>
      </w:pPr>
    </w:p>
    <w:p w:rsidR="007B73AA" w:rsidRPr="007B73AA" w:rsidRDefault="007B73AA" w:rsidP="007B73AA">
      <w:pPr>
        <w:pStyle w:val="BHead"/>
        <w:rPr>
          <w:rFonts w:cs="Arial"/>
          <w:b/>
          <w:sz w:val="24"/>
          <w:szCs w:val="24"/>
        </w:rPr>
      </w:pPr>
      <w:r w:rsidRPr="007B73AA">
        <w:rPr>
          <w:rFonts w:cs="Arial"/>
          <w:b/>
          <w:sz w:val="24"/>
          <w:szCs w:val="24"/>
        </w:rPr>
        <w:t>(a)</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Gains, Losses</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Liabilities</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Equity (increase)</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Equity (decrease</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Assets</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Expenses</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Revenues (inflows of net assets) or expenses (outflows of net assets)</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Equity</w:t>
      </w:r>
    </w:p>
    <w:p w:rsidR="007B73AA" w:rsidRPr="007B73AA" w:rsidRDefault="007B73AA" w:rsidP="007B73AA">
      <w:pPr>
        <w:numPr>
          <w:ilvl w:val="0"/>
          <w:numId w:val="2"/>
        </w:numPr>
        <w:ind w:hanging="540"/>
        <w:rPr>
          <w:rFonts w:ascii="Arial" w:hAnsi="Arial" w:cs="Arial"/>
        </w:rPr>
      </w:pPr>
      <w:r w:rsidRPr="007B73AA">
        <w:rPr>
          <w:rFonts w:ascii="Arial" w:hAnsi="Arial" w:cs="Arial"/>
        </w:rPr>
        <w:t>Revenues, if it is the sale of a product sold in the normal course of business; otherwise it would be a gain</w:t>
      </w:r>
    </w:p>
    <w:p w:rsidR="007B73AA" w:rsidRPr="007B73AA" w:rsidRDefault="007B73AA" w:rsidP="007B73AA">
      <w:pPr>
        <w:numPr>
          <w:ilvl w:val="0"/>
          <w:numId w:val="2"/>
        </w:numPr>
        <w:ind w:hanging="540"/>
        <w:jc w:val="both"/>
        <w:rPr>
          <w:rFonts w:ascii="Arial" w:hAnsi="Arial" w:cs="Arial"/>
        </w:rPr>
      </w:pPr>
      <w:r w:rsidRPr="007B73AA">
        <w:rPr>
          <w:rFonts w:ascii="Arial" w:hAnsi="Arial" w:cs="Arial"/>
        </w:rPr>
        <w:t>Equity (decrease)</w:t>
      </w:r>
    </w:p>
    <w:p w:rsidR="007B73AA" w:rsidRPr="007B73AA" w:rsidRDefault="007B73AA" w:rsidP="007B73AA">
      <w:pPr>
        <w:ind w:left="720"/>
        <w:jc w:val="both"/>
        <w:rPr>
          <w:rFonts w:ascii="Arial" w:hAnsi="Arial" w:cs="Arial"/>
        </w:rPr>
      </w:pPr>
    </w:p>
    <w:p w:rsidR="007B73AA" w:rsidRPr="007B73AA" w:rsidRDefault="007B73AA" w:rsidP="007B73AA">
      <w:pPr>
        <w:jc w:val="both"/>
        <w:rPr>
          <w:rFonts w:ascii="Arial" w:hAnsi="Arial" w:cs="Arial"/>
        </w:rPr>
      </w:pPr>
      <w:r w:rsidRPr="007B73AA">
        <w:rPr>
          <w:rFonts w:ascii="Arial" w:hAnsi="Arial" w:cs="Arial"/>
        </w:rPr>
        <w:t>(b)</w:t>
      </w:r>
    </w:p>
    <w:p w:rsidR="007B73AA" w:rsidRPr="007B73AA" w:rsidRDefault="007B73AA" w:rsidP="007B73AA">
      <w:pPr>
        <w:numPr>
          <w:ilvl w:val="0"/>
          <w:numId w:val="3"/>
        </w:numPr>
        <w:ind w:hanging="540"/>
        <w:jc w:val="both"/>
        <w:rPr>
          <w:rFonts w:ascii="Arial" w:hAnsi="Arial" w:cs="Arial"/>
        </w:rPr>
      </w:pPr>
      <w:r w:rsidRPr="007B73AA">
        <w:rPr>
          <w:rFonts w:ascii="Arial" w:hAnsi="Arial" w:cs="Arial"/>
        </w:rPr>
        <w:t xml:space="preserve">Asset – the contract represents a potential future economic benefit to which the entity is entitled and has control over.    However, the transaction that will generate the benefit has yet to occur (the music has yet to be written). Once the probability threshold has been surpassed the asset would be recognized.  </w:t>
      </w:r>
    </w:p>
    <w:p w:rsidR="007B73AA" w:rsidRPr="007B73AA" w:rsidRDefault="007B73AA" w:rsidP="007B73AA">
      <w:pPr>
        <w:numPr>
          <w:ilvl w:val="0"/>
          <w:numId w:val="3"/>
        </w:numPr>
        <w:spacing w:before="144"/>
        <w:ind w:hanging="540"/>
        <w:jc w:val="both"/>
        <w:rPr>
          <w:rFonts w:ascii="Arial" w:hAnsi="Arial" w:cs="Arial"/>
        </w:rPr>
      </w:pPr>
      <w:r w:rsidRPr="007B73AA">
        <w:rPr>
          <w:rFonts w:ascii="Arial" w:hAnsi="Arial" w:cs="Arial"/>
        </w:rPr>
        <w:t xml:space="preserve">Asset – consignment inventory belongs to </w:t>
      </w:r>
      <w:proofErr w:type="spellStart"/>
      <w:r w:rsidRPr="007B73AA">
        <w:rPr>
          <w:rFonts w:ascii="Arial" w:hAnsi="Arial" w:cs="Arial"/>
        </w:rPr>
        <w:t>ReadyMart</w:t>
      </w:r>
      <w:proofErr w:type="spellEnd"/>
      <w:r w:rsidRPr="007B73AA">
        <w:rPr>
          <w:rFonts w:ascii="Arial" w:hAnsi="Arial" w:cs="Arial"/>
        </w:rPr>
        <w:t xml:space="preserve"> until it is sold to the final customer.  It represents a benefit as </w:t>
      </w:r>
      <w:r w:rsidRPr="007B73AA">
        <w:rPr>
          <w:rFonts w:ascii="Arial" w:hAnsi="Arial" w:cs="Arial"/>
        </w:rPr>
        <w:br/>
      </w:r>
      <w:r w:rsidRPr="007B73AA">
        <w:rPr>
          <w:rFonts w:ascii="Arial" w:hAnsi="Arial" w:cs="Arial"/>
        </w:rPr>
        <w:lastRenderedPageBreak/>
        <w:t xml:space="preserve">it can be sold. The company still controls/has access </w:t>
      </w:r>
      <w:r w:rsidRPr="007B73AA">
        <w:rPr>
          <w:rFonts w:ascii="Arial" w:hAnsi="Arial" w:cs="Arial"/>
        </w:rPr>
        <w:br/>
        <w:t xml:space="preserve">(through legal title) even though physical possession is with the local retailer. </w:t>
      </w:r>
    </w:p>
    <w:p w:rsidR="007B73AA" w:rsidRPr="007B73AA" w:rsidRDefault="007B73AA" w:rsidP="007B73AA">
      <w:pPr>
        <w:ind w:left="475" w:hanging="475"/>
        <w:jc w:val="both"/>
        <w:rPr>
          <w:rFonts w:ascii="Arial" w:hAnsi="Arial" w:cs="Arial"/>
        </w:rPr>
      </w:pPr>
      <w:r w:rsidRPr="007B73AA">
        <w:rPr>
          <w:rFonts w:ascii="Arial" w:hAnsi="Arial" w:cs="Arial"/>
        </w:rPr>
        <w:t xml:space="preserve">Liability – this contract represents an obligation that will result in the future outflow of resources, subject to the sale of the recordings.  However, a liability will not occur until the recordings are sold.  </w:t>
      </w:r>
    </w:p>
    <w:p w:rsidR="007B73AA" w:rsidRDefault="007B73AA" w:rsidP="007B73AA">
      <w:pPr>
        <w:ind w:left="475" w:hanging="475"/>
        <w:jc w:val="both"/>
        <w:rPr>
          <w:rFonts w:ascii="Arial" w:hAnsi="Arial" w:cs="Arial"/>
          <w:b/>
          <w:sz w:val="28"/>
        </w:rPr>
      </w:pPr>
    </w:p>
    <w:p w:rsidR="007B73AA" w:rsidRPr="007B73AA" w:rsidRDefault="007B73AA" w:rsidP="007B73AA">
      <w:pPr>
        <w:spacing w:before="144" w:after="144"/>
        <w:rPr>
          <w:rFonts w:ascii="Arial" w:hAnsi="Arial" w:cs="Arial"/>
          <w:b/>
        </w:rPr>
      </w:pPr>
      <w:r w:rsidRPr="007B73AA">
        <w:rPr>
          <w:rFonts w:ascii="Arial" w:hAnsi="Arial" w:cs="Arial"/>
          <w:b/>
          <w:caps/>
        </w:rPr>
        <w:t>Exercise</w:t>
      </w:r>
      <w:r w:rsidRPr="007B73AA">
        <w:rPr>
          <w:rFonts w:ascii="Arial" w:hAnsi="Arial" w:cs="Arial"/>
          <w:b/>
        </w:rPr>
        <w:t xml:space="preserve"> 2-8</w:t>
      </w:r>
    </w:p>
    <w:p w:rsidR="007B73AA" w:rsidRPr="007B73AA" w:rsidRDefault="007B73AA" w:rsidP="007B73AA">
      <w:pPr>
        <w:pStyle w:val="BHead"/>
        <w:rPr>
          <w:rFonts w:cs="Arial"/>
          <w:b/>
          <w:sz w:val="24"/>
          <w:szCs w:val="24"/>
        </w:rPr>
      </w:pPr>
    </w:p>
    <w:p w:rsidR="007B73AA" w:rsidRPr="007B73AA" w:rsidRDefault="007B73AA" w:rsidP="007B73AA">
      <w:pPr>
        <w:numPr>
          <w:ilvl w:val="0"/>
          <w:numId w:val="5"/>
        </w:numPr>
        <w:jc w:val="both"/>
        <w:rPr>
          <w:rFonts w:ascii="Arial" w:hAnsi="Arial" w:cs="Arial"/>
        </w:rPr>
      </w:pPr>
      <w:r w:rsidRPr="007B73AA">
        <w:rPr>
          <w:rFonts w:ascii="Arial" w:hAnsi="Arial" w:cs="Arial"/>
        </w:rPr>
        <w:t xml:space="preserve">A conceptual framework is useful for standard setters since having an established body of concepts and objectives helps them to develop additional useful and consistent standards. This results in a coherent set of standards that are built upon the same foundation. An understanding of the underlying concepts helps the preparer and the auditor ensure consistent and meaningful application of the principles. Such a framework also increases the financial statement user’s understanding of, and provides confidence in, financial reporting. It also enhances comparability of different companies’ financial statements.  </w:t>
      </w:r>
    </w:p>
    <w:p w:rsidR="007B73AA" w:rsidRPr="007B73AA" w:rsidRDefault="007B73AA" w:rsidP="007B73AA">
      <w:pPr>
        <w:ind w:left="765"/>
        <w:rPr>
          <w:rFonts w:ascii="Arial" w:hAnsi="Arial" w:cs="Arial"/>
        </w:rPr>
      </w:pPr>
    </w:p>
    <w:p w:rsidR="007B73AA" w:rsidRPr="007B73AA" w:rsidRDefault="007B73AA" w:rsidP="007B73AA">
      <w:pPr>
        <w:tabs>
          <w:tab w:val="num" w:pos="720"/>
        </w:tabs>
        <w:rPr>
          <w:rFonts w:ascii="Arial" w:hAnsi="Arial" w:cs="Arial"/>
        </w:rPr>
      </w:pPr>
      <w:r w:rsidRPr="007B73AA">
        <w:rPr>
          <w:rFonts w:ascii="Arial" w:hAnsi="Arial" w:cs="Arial"/>
        </w:rPr>
        <w:t>(b) Foundational principle or characteristic violated:</w:t>
      </w:r>
    </w:p>
    <w:tbl>
      <w:tblPr>
        <w:tblW w:w="0" w:type="auto"/>
        <w:tblLayout w:type="fixed"/>
        <w:tblLook w:val="0000" w:firstRow="0" w:lastRow="0" w:firstColumn="0" w:lastColumn="0" w:noHBand="0" w:noVBand="0"/>
      </w:tblPr>
      <w:tblGrid>
        <w:gridCol w:w="828"/>
        <w:gridCol w:w="8352"/>
      </w:tblGrid>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1.</w:t>
            </w:r>
          </w:p>
        </w:tc>
        <w:tc>
          <w:tcPr>
            <w:tcW w:w="8352" w:type="dxa"/>
          </w:tcPr>
          <w:p w:rsidR="007B73AA" w:rsidRPr="007B73AA" w:rsidRDefault="007B73AA" w:rsidP="00337ACA">
            <w:pPr>
              <w:jc w:val="both"/>
              <w:rPr>
                <w:rFonts w:ascii="Arial" w:hAnsi="Arial" w:cs="Arial"/>
              </w:rPr>
            </w:pPr>
            <w:r w:rsidRPr="007B73AA">
              <w:rPr>
                <w:rFonts w:ascii="Arial" w:hAnsi="Arial" w:cs="Arial"/>
              </w:rPr>
              <w:t>Periodicity; relevance (predictive and feedback value); timeliness</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2.</w:t>
            </w:r>
          </w:p>
        </w:tc>
        <w:tc>
          <w:tcPr>
            <w:tcW w:w="8352" w:type="dxa"/>
          </w:tcPr>
          <w:p w:rsidR="007B73AA" w:rsidRPr="007B73AA" w:rsidRDefault="007B73AA" w:rsidP="00337ACA">
            <w:pPr>
              <w:jc w:val="both"/>
              <w:rPr>
                <w:rFonts w:ascii="Arial" w:hAnsi="Arial" w:cs="Arial"/>
              </w:rPr>
            </w:pPr>
            <w:r w:rsidRPr="007B73AA">
              <w:rPr>
                <w:rFonts w:ascii="Arial" w:hAnsi="Arial" w:cs="Arial"/>
              </w:rPr>
              <w:t>Historical cost; verifiability; relevance</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3.</w:t>
            </w:r>
          </w:p>
        </w:tc>
        <w:tc>
          <w:tcPr>
            <w:tcW w:w="8352" w:type="dxa"/>
          </w:tcPr>
          <w:p w:rsidR="007B73AA" w:rsidRPr="007B73AA" w:rsidRDefault="007B73AA" w:rsidP="00337ACA">
            <w:pPr>
              <w:jc w:val="both"/>
              <w:rPr>
                <w:rFonts w:ascii="Arial" w:hAnsi="Arial" w:cs="Arial"/>
              </w:rPr>
            </w:pPr>
            <w:r w:rsidRPr="007B73AA">
              <w:rPr>
                <w:rFonts w:ascii="Arial" w:hAnsi="Arial" w:cs="Arial"/>
              </w:rPr>
              <w:t>Historical cost or matching; comparability; representational faithfulness; relevance</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4.</w:t>
            </w:r>
          </w:p>
        </w:tc>
        <w:tc>
          <w:tcPr>
            <w:tcW w:w="8352" w:type="dxa"/>
          </w:tcPr>
          <w:p w:rsidR="007B73AA" w:rsidRPr="007B73AA" w:rsidRDefault="007B73AA" w:rsidP="00337ACA">
            <w:pPr>
              <w:jc w:val="both"/>
              <w:rPr>
                <w:rFonts w:ascii="Arial" w:hAnsi="Arial" w:cs="Arial"/>
              </w:rPr>
            </w:pPr>
            <w:r w:rsidRPr="007B73AA">
              <w:rPr>
                <w:rFonts w:ascii="Arial" w:hAnsi="Arial" w:cs="Arial"/>
              </w:rPr>
              <w:t>Revenue recognition and realization; representational faithfulness</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5.</w:t>
            </w:r>
          </w:p>
        </w:tc>
        <w:tc>
          <w:tcPr>
            <w:tcW w:w="8352" w:type="dxa"/>
          </w:tcPr>
          <w:p w:rsidR="007B73AA" w:rsidRPr="007B73AA" w:rsidRDefault="007B73AA" w:rsidP="00337ACA">
            <w:pPr>
              <w:jc w:val="both"/>
              <w:rPr>
                <w:rFonts w:ascii="Arial" w:hAnsi="Arial" w:cs="Arial"/>
              </w:rPr>
            </w:pPr>
            <w:r w:rsidRPr="007B73AA">
              <w:rPr>
                <w:rFonts w:ascii="Arial" w:hAnsi="Arial" w:cs="Arial"/>
              </w:rPr>
              <w:t>Full disclosure; representational faithfulness; relevance</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6.</w:t>
            </w:r>
          </w:p>
        </w:tc>
        <w:tc>
          <w:tcPr>
            <w:tcW w:w="8352" w:type="dxa"/>
          </w:tcPr>
          <w:p w:rsidR="007B73AA" w:rsidRPr="007B73AA" w:rsidRDefault="007B73AA" w:rsidP="00337ACA">
            <w:pPr>
              <w:jc w:val="both"/>
              <w:rPr>
                <w:rFonts w:ascii="Arial" w:hAnsi="Arial" w:cs="Arial"/>
              </w:rPr>
            </w:pPr>
            <w:r w:rsidRPr="007B73AA">
              <w:rPr>
                <w:rFonts w:ascii="Arial" w:hAnsi="Arial" w:cs="Arial"/>
              </w:rPr>
              <w:t>Economic entity; free from material error, representational faithfulness</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7.</w:t>
            </w:r>
          </w:p>
        </w:tc>
        <w:tc>
          <w:tcPr>
            <w:tcW w:w="8352" w:type="dxa"/>
          </w:tcPr>
          <w:p w:rsidR="007B73AA" w:rsidRPr="007B73AA" w:rsidRDefault="007B73AA" w:rsidP="00337ACA">
            <w:pPr>
              <w:jc w:val="both"/>
              <w:rPr>
                <w:rFonts w:ascii="Arial" w:hAnsi="Arial" w:cs="Arial"/>
              </w:rPr>
            </w:pPr>
            <w:r w:rsidRPr="007B73AA">
              <w:rPr>
                <w:rFonts w:ascii="Arial" w:hAnsi="Arial" w:cs="Arial"/>
              </w:rPr>
              <w:t>Control; comparability;  representational faithfulness</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8.</w:t>
            </w:r>
          </w:p>
        </w:tc>
        <w:tc>
          <w:tcPr>
            <w:tcW w:w="8352" w:type="dxa"/>
          </w:tcPr>
          <w:p w:rsidR="007B73AA" w:rsidRPr="007B73AA" w:rsidRDefault="007B73AA" w:rsidP="00337ACA">
            <w:pPr>
              <w:jc w:val="both"/>
              <w:rPr>
                <w:rFonts w:ascii="Arial" w:hAnsi="Arial" w:cs="Arial"/>
              </w:rPr>
            </w:pPr>
            <w:r w:rsidRPr="007B73AA">
              <w:rPr>
                <w:rFonts w:ascii="Arial" w:hAnsi="Arial" w:cs="Arial"/>
              </w:rPr>
              <w:t>Matching; free from error; relevance</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r w:rsidRPr="007B73AA">
              <w:rPr>
                <w:rFonts w:ascii="Arial" w:hAnsi="Arial" w:cs="Arial"/>
              </w:rPr>
              <w:t>9.</w:t>
            </w:r>
          </w:p>
        </w:tc>
        <w:tc>
          <w:tcPr>
            <w:tcW w:w="8352" w:type="dxa"/>
          </w:tcPr>
          <w:p w:rsidR="007B73AA" w:rsidRPr="007B73AA" w:rsidRDefault="007B73AA" w:rsidP="00337ACA">
            <w:pPr>
              <w:jc w:val="both"/>
              <w:rPr>
                <w:rFonts w:ascii="Arial" w:hAnsi="Arial" w:cs="Arial"/>
              </w:rPr>
            </w:pPr>
            <w:r w:rsidRPr="007B73AA">
              <w:rPr>
                <w:rFonts w:ascii="Arial" w:hAnsi="Arial" w:cs="Arial"/>
              </w:rPr>
              <w:t xml:space="preserve">Full disclosure and representational faithfulness (neutrality) </w:t>
            </w:r>
          </w:p>
        </w:tc>
      </w:tr>
      <w:tr w:rsidR="007B73AA" w:rsidRPr="007B73AA" w:rsidTr="00337ACA">
        <w:tc>
          <w:tcPr>
            <w:tcW w:w="828" w:type="dxa"/>
          </w:tcPr>
          <w:p w:rsidR="007B73AA" w:rsidRPr="007B73AA" w:rsidRDefault="007B73AA" w:rsidP="00337ACA">
            <w:pPr>
              <w:tabs>
                <w:tab w:val="num" w:pos="720"/>
              </w:tabs>
              <w:ind w:right="-18" w:firstLine="180"/>
              <w:jc w:val="both"/>
              <w:rPr>
                <w:rFonts w:ascii="Arial" w:hAnsi="Arial" w:cs="Arial"/>
              </w:rPr>
            </w:pPr>
          </w:p>
        </w:tc>
        <w:tc>
          <w:tcPr>
            <w:tcW w:w="8352" w:type="dxa"/>
          </w:tcPr>
          <w:p w:rsidR="007B73AA" w:rsidRPr="007B73AA" w:rsidRDefault="007B73AA" w:rsidP="00337ACA">
            <w:pPr>
              <w:jc w:val="both"/>
              <w:rPr>
                <w:rFonts w:ascii="Arial" w:hAnsi="Arial" w:cs="Arial"/>
              </w:rPr>
            </w:pPr>
          </w:p>
        </w:tc>
      </w:tr>
    </w:tbl>
    <w:p w:rsidR="007B73AA" w:rsidRPr="007B73AA" w:rsidRDefault="007B73AA" w:rsidP="007B73AA">
      <w:pPr>
        <w:tabs>
          <w:tab w:val="num" w:pos="720"/>
        </w:tabs>
        <w:rPr>
          <w:rFonts w:ascii="Arial" w:hAnsi="Arial" w:cs="Arial"/>
        </w:rPr>
      </w:pPr>
    </w:p>
    <w:p w:rsidR="007B73AA" w:rsidRPr="007B73AA" w:rsidRDefault="007B73AA" w:rsidP="007B73AA">
      <w:pPr>
        <w:tabs>
          <w:tab w:val="num" w:pos="720"/>
        </w:tabs>
        <w:rPr>
          <w:rFonts w:ascii="Arial" w:hAnsi="Arial" w:cs="Arial"/>
        </w:rPr>
      </w:pPr>
      <w:r w:rsidRPr="007B73AA">
        <w:rPr>
          <w:rFonts w:ascii="Arial" w:hAnsi="Arial" w:cs="Arial"/>
        </w:rPr>
        <w:t>(Note that other principles/characteristics may also be discussed. There is rarely a single right and wrong answer to these types of questions.)</w:t>
      </w:r>
    </w:p>
    <w:p w:rsidR="007B73AA" w:rsidRDefault="007B73AA" w:rsidP="007B73AA">
      <w:pPr>
        <w:ind w:left="475" w:hanging="475"/>
        <w:jc w:val="both"/>
        <w:rPr>
          <w:rFonts w:ascii="Arial" w:hAnsi="Arial" w:cs="Arial"/>
          <w:b/>
          <w:sz w:val="28"/>
        </w:rPr>
      </w:pPr>
    </w:p>
    <w:p w:rsidR="00614B16" w:rsidRDefault="00614B16" w:rsidP="007B73AA">
      <w:pPr>
        <w:ind w:left="475" w:hanging="475"/>
        <w:jc w:val="both"/>
        <w:rPr>
          <w:rFonts w:ascii="Arial" w:hAnsi="Arial" w:cs="Arial"/>
          <w:b/>
          <w:sz w:val="28"/>
        </w:rPr>
      </w:pPr>
      <w:r>
        <w:rPr>
          <w:rFonts w:ascii="Arial" w:hAnsi="Arial" w:cs="Arial"/>
          <w:b/>
          <w:sz w:val="28"/>
        </w:rPr>
        <w:t>P2-5</w:t>
      </w:r>
      <w:r w:rsidRPr="0047009D">
        <w:rPr>
          <w:rFonts w:ascii="Arial" w:hAnsi="Arial" w:cs="Arial"/>
          <w:b/>
          <w:sz w:val="28"/>
        </w:rPr>
        <w:tab/>
      </w:r>
    </w:p>
    <w:p w:rsidR="00614B16" w:rsidRDefault="00614B16" w:rsidP="00614B16">
      <w:pPr>
        <w:ind w:left="475" w:hanging="475"/>
        <w:jc w:val="both"/>
        <w:rPr>
          <w:rFonts w:ascii="Arial" w:hAnsi="Arial" w:cs="Arial"/>
          <w:b/>
          <w:sz w:val="28"/>
        </w:rPr>
      </w:pPr>
    </w:p>
    <w:p w:rsidR="00614B16" w:rsidRDefault="00614B16" w:rsidP="00614B16">
      <w:pPr>
        <w:ind w:left="475" w:hanging="475"/>
        <w:jc w:val="both"/>
        <w:rPr>
          <w:rFonts w:ascii="Arial" w:hAnsi="Arial" w:cs="Arial"/>
          <w:b/>
          <w:sz w:val="28"/>
        </w:rPr>
      </w:pPr>
    </w:p>
    <w:p w:rsidR="00614B16" w:rsidRPr="007B73AA" w:rsidRDefault="00614B16" w:rsidP="007B73AA">
      <w:pPr>
        <w:pStyle w:val="ListParagraph"/>
        <w:numPr>
          <w:ilvl w:val="0"/>
          <w:numId w:val="6"/>
        </w:numPr>
        <w:jc w:val="both"/>
        <w:rPr>
          <w:rFonts w:ascii="Arial" w:hAnsi="Arial" w:cs="Arial"/>
        </w:rPr>
      </w:pPr>
      <w:r w:rsidRPr="007B73AA">
        <w:rPr>
          <w:rFonts w:ascii="Arial" w:hAnsi="Arial" w:cs="Arial"/>
        </w:rPr>
        <w:t>Agree.</w:t>
      </w:r>
      <w:r w:rsidRPr="007B73AA">
        <w:rPr>
          <w:rFonts w:ascii="Arial" w:hAnsi="Arial" w:cs="Arial"/>
          <w:b/>
          <w:sz w:val="28"/>
        </w:rPr>
        <w:t xml:space="preserve"> </w:t>
      </w:r>
      <w:r w:rsidRPr="007B73AA">
        <w:rPr>
          <w:rFonts w:ascii="Arial" w:hAnsi="Arial" w:cs="Arial"/>
        </w:rPr>
        <w:t>This is a change in how Sheridan does business.  The revenue recognition principle requires that the risks and rewards of ownership be transferred to the purchaser in order for the sale to be recognized. While the shipping terms have been changed, further investigation should be undertaken to ensure that customer business practices are aligned with this changed policy. For example, if the company will continue to replace items lost or damaged in transit, the risks have not passed, irrespective of the change in shipping terms, and the timing of revenue recognition should not change.  (</w:t>
      </w:r>
      <w:proofErr w:type="gramStart"/>
      <w:r w:rsidRPr="007B73AA">
        <w:rPr>
          <w:rFonts w:ascii="Arial" w:hAnsi="Arial" w:cs="Arial"/>
        </w:rPr>
        <w:t>further</w:t>
      </w:r>
      <w:proofErr w:type="gramEnd"/>
      <w:r w:rsidRPr="007B73AA">
        <w:rPr>
          <w:rFonts w:ascii="Arial" w:hAnsi="Arial" w:cs="Arial"/>
        </w:rPr>
        <w:t xml:space="preserve"> discussed in Chapter 6).  </w:t>
      </w:r>
    </w:p>
    <w:p w:rsidR="00614B16" w:rsidRPr="0047009D" w:rsidRDefault="00614B16" w:rsidP="00614B16">
      <w:pPr>
        <w:ind w:left="426"/>
        <w:jc w:val="both"/>
        <w:rPr>
          <w:rFonts w:ascii="Arial" w:hAnsi="Arial" w:cs="Arial"/>
        </w:rPr>
      </w:pPr>
    </w:p>
    <w:p w:rsidR="00614B16" w:rsidRPr="0047009D" w:rsidRDefault="00614B16" w:rsidP="00614B16">
      <w:pPr>
        <w:ind w:left="426"/>
        <w:jc w:val="both"/>
        <w:rPr>
          <w:rFonts w:ascii="Arial" w:hAnsi="Arial" w:cs="Arial"/>
        </w:rPr>
      </w:pPr>
    </w:p>
    <w:p w:rsidR="00614B16" w:rsidRPr="0047009D" w:rsidRDefault="00614B16" w:rsidP="00614B16">
      <w:pPr>
        <w:ind w:left="475" w:hanging="475"/>
        <w:jc w:val="both"/>
        <w:rPr>
          <w:rFonts w:ascii="Arial" w:hAnsi="Arial" w:cs="Arial"/>
        </w:rPr>
      </w:pPr>
      <w:r w:rsidRPr="0047009D">
        <w:rPr>
          <w:rFonts w:ascii="Arial" w:hAnsi="Arial" w:cs="Arial"/>
        </w:rPr>
        <w:t>2.</w:t>
      </w:r>
      <w:r w:rsidRPr="0047009D">
        <w:rPr>
          <w:rFonts w:ascii="Arial" w:hAnsi="Arial" w:cs="Arial"/>
        </w:rPr>
        <w:tab/>
        <w:t>Agree. Depreciation is a means of cost allocation on a systematic charge against revenues. As it is based on best estimates, the useful life, and resulting depreciation expense, should be revised when economic or business events dictate that an asset will remain useful for a longer period. While comparability is impaired, changes in estimates are accounted for prospectively. Restatement would not provide decision useful information, since depreciation of the prior periods was determined with the best estimates available at the time. All estimates and judgements used to prepare the financial information should be free from bias, error or omission.    The change is acceptable as long as it is supported by evidence that the equipment is lasting longer and is not a change simply to reduce annual depreciation expense.</w:t>
      </w:r>
    </w:p>
    <w:p w:rsidR="00614B16" w:rsidRPr="0047009D" w:rsidRDefault="00614B16" w:rsidP="00614B16">
      <w:pPr>
        <w:pStyle w:val="BHead"/>
        <w:rPr>
          <w:rFonts w:cs="Arial"/>
          <w:b/>
          <w:sz w:val="24"/>
        </w:rPr>
      </w:pPr>
    </w:p>
    <w:p w:rsidR="00614B16" w:rsidRPr="007B73AA" w:rsidRDefault="00614B16" w:rsidP="007B73AA">
      <w:pPr>
        <w:pStyle w:val="ListParagraph"/>
        <w:numPr>
          <w:ilvl w:val="0"/>
          <w:numId w:val="3"/>
        </w:numPr>
        <w:tabs>
          <w:tab w:val="clear" w:pos="720"/>
          <w:tab w:val="num" w:pos="540"/>
        </w:tabs>
        <w:ind w:left="540" w:hanging="540"/>
        <w:jc w:val="both"/>
        <w:rPr>
          <w:rFonts w:cs="Arial"/>
          <w:b/>
          <w:sz w:val="24"/>
          <w:szCs w:val="24"/>
        </w:rPr>
      </w:pPr>
      <w:r w:rsidRPr="007B73AA">
        <w:rPr>
          <w:rFonts w:ascii="Arial" w:hAnsi="Arial" w:cs="Arial"/>
          <w:sz w:val="24"/>
          <w:szCs w:val="24"/>
        </w:rPr>
        <w:t>Agree. The full disclosure principle recognizes that reasonable condensation and summarization of the details of a corporation's operations and financial position are essential to readability and comprehension. Thus, in determining full disclosure the accountant makes decisions on the basis of whether omission will cause a misleading inference by the reader of the financial statements. Only the total amount of cash is generally presented on a balance sheet, unless some special circumstance is involved such as a possible restriction on the use of the cash. In most cases, however, the company's presentation would be considered appropriate and in accordance with the full disclosure principle. Showing the additional detail on the balance sheet would not be relevant to the reader.</w:t>
      </w:r>
    </w:p>
    <w:p w:rsidR="007B73AA" w:rsidRPr="007B73AA" w:rsidRDefault="007B73AA" w:rsidP="007B73AA">
      <w:pPr>
        <w:pStyle w:val="ListParagraph"/>
        <w:jc w:val="both"/>
        <w:rPr>
          <w:rFonts w:ascii="Arial" w:hAnsi="Arial" w:cs="Arial"/>
        </w:rPr>
      </w:pPr>
    </w:p>
    <w:p w:rsidR="00614B16" w:rsidRPr="0047009D" w:rsidRDefault="00614B16" w:rsidP="00614B16">
      <w:pPr>
        <w:ind w:left="475" w:hanging="475"/>
        <w:jc w:val="both"/>
        <w:rPr>
          <w:rFonts w:ascii="Arial" w:hAnsi="Arial" w:cs="Arial"/>
        </w:rPr>
      </w:pPr>
      <w:r w:rsidRPr="0047009D">
        <w:rPr>
          <w:rFonts w:ascii="Arial" w:hAnsi="Arial" w:cs="Arial"/>
        </w:rPr>
        <w:t>4.</w:t>
      </w:r>
      <w:r w:rsidRPr="0047009D">
        <w:rPr>
          <w:rFonts w:ascii="Arial" w:hAnsi="Arial" w:cs="Arial"/>
        </w:rPr>
        <w:tab/>
        <w:t xml:space="preserve">Disagree. The historical cost principle indicates that assets and liabilities are accounted for on the basis of cost. If we were to select sales value, for example, we would have an extremely difficult time in attempting to establish an appraisal value for the given item without selling it (i.e. verifiability violated). It should further be noted that the revenue recognition principle provides guidance as to when revenue should be recognized. In this case, the revenue was not earned because the transfer of risks and rewards (i.e. "sale of the land") had not occurred. In addition the development costs of subdividing the land should be included in inventory cost of the lots and appear on the balance sheet, and not as expenses of the period. These costs are associated with the land (economic resource) – not an expense associated with the revenue producing activities for the year. </w:t>
      </w:r>
    </w:p>
    <w:p w:rsidR="00614B16" w:rsidRPr="0047009D" w:rsidRDefault="00614B16" w:rsidP="00614B16">
      <w:pPr>
        <w:ind w:left="475" w:hanging="475"/>
        <w:jc w:val="both"/>
        <w:rPr>
          <w:rFonts w:ascii="Arial" w:hAnsi="Arial" w:cs="Arial"/>
        </w:rPr>
      </w:pPr>
    </w:p>
    <w:p w:rsidR="00614B16" w:rsidRPr="0047009D" w:rsidRDefault="00614B16" w:rsidP="00614B16">
      <w:pPr>
        <w:ind w:left="475" w:hanging="475"/>
        <w:jc w:val="both"/>
        <w:rPr>
          <w:rFonts w:ascii="Arial" w:hAnsi="Arial" w:cs="Arial"/>
        </w:rPr>
      </w:pPr>
      <w:r w:rsidRPr="0047009D">
        <w:rPr>
          <w:rFonts w:ascii="Arial" w:hAnsi="Arial" w:cs="Arial"/>
        </w:rPr>
        <w:tab/>
        <w:t>NOTE:  IFRS allows investment property to be measured at fair value.  Land to be developed and sold does not qualify as investment property, so this standard does not apply (IFRS 40.08 and .09). The company could use the revaluation model as an accounting policy choice under IAS 16. (This will be covered in Chapter10).</w:t>
      </w:r>
    </w:p>
    <w:p w:rsidR="00614B16" w:rsidRPr="0047009D" w:rsidRDefault="00614B16" w:rsidP="00614B16">
      <w:pPr>
        <w:pStyle w:val="BHead"/>
        <w:rPr>
          <w:rFonts w:cs="Arial"/>
          <w:b/>
        </w:rPr>
      </w:pPr>
    </w:p>
    <w:p w:rsidR="00614B16" w:rsidRPr="007B73AA" w:rsidRDefault="00614B16" w:rsidP="007B73AA">
      <w:pPr>
        <w:pStyle w:val="ListParagraph"/>
        <w:numPr>
          <w:ilvl w:val="0"/>
          <w:numId w:val="7"/>
        </w:numPr>
        <w:jc w:val="both"/>
        <w:rPr>
          <w:rFonts w:ascii="Arial" w:hAnsi="Arial" w:cs="Arial"/>
          <w:sz w:val="24"/>
          <w:szCs w:val="24"/>
        </w:rPr>
      </w:pPr>
      <w:r w:rsidRPr="007B73AA">
        <w:rPr>
          <w:rFonts w:ascii="Arial" w:hAnsi="Arial" w:cs="Arial"/>
          <w:sz w:val="24"/>
          <w:szCs w:val="24"/>
        </w:rPr>
        <w:t xml:space="preserve">From the facts it is difficult to determine whether to agree or disagree with the president. Comparability requires that accounting entities give accountable events the same accounting treatment from period to period for a given business enterprise. The choice of accounting policy should not be made based on the impact on net </w:t>
      </w:r>
      <w:r w:rsidRPr="007B73AA">
        <w:rPr>
          <w:rFonts w:ascii="Arial" w:hAnsi="Arial" w:cs="Arial"/>
          <w:sz w:val="24"/>
          <w:szCs w:val="24"/>
        </w:rPr>
        <w:lastRenderedPageBreak/>
        <w:t>income but rather on the method that provides the most relevant information (i.e. neutrality and free from bias could be violated). It might be useful for users if Sheridan reports on a moving average basis as it would make the statements more comparable across other companies in the same industry</w:t>
      </w:r>
    </w:p>
    <w:p w:rsidR="00614B16" w:rsidRPr="0047009D" w:rsidRDefault="00614B16" w:rsidP="00614B16">
      <w:pPr>
        <w:ind w:left="720"/>
        <w:jc w:val="both"/>
        <w:rPr>
          <w:rFonts w:ascii="Arial" w:hAnsi="Arial" w:cs="Arial"/>
        </w:rPr>
      </w:pPr>
    </w:p>
    <w:p w:rsidR="00614B16" w:rsidRPr="0047009D" w:rsidRDefault="00614B16" w:rsidP="007B73AA">
      <w:pPr>
        <w:numPr>
          <w:ilvl w:val="0"/>
          <w:numId w:val="7"/>
        </w:numPr>
        <w:ind w:left="450" w:hanging="450"/>
        <w:jc w:val="both"/>
        <w:rPr>
          <w:rFonts w:ascii="Arial" w:hAnsi="Arial" w:cs="Arial"/>
        </w:rPr>
      </w:pPr>
      <w:r w:rsidRPr="0047009D">
        <w:rPr>
          <w:rFonts w:ascii="Arial" w:hAnsi="Arial" w:cs="Arial"/>
        </w:rPr>
        <w:t xml:space="preserve">Disagree. While there is an economic burden as a result of the new legislation, this is not a present obligation since the new law cannot be enforced until 2019. A liability does not exist in fiscal 2014. </w:t>
      </w:r>
    </w:p>
    <w:p w:rsidR="00614B16" w:rsidRPr="0047009D" w:rsidRDefault="00614B16" w:rsidP="00614B16">
      <w:pPr>
        <w:rPr>
          <w:rFonts w:ascii="Arial" w:hAnsi="Arial" w:cs="Arial"/>
        </w:rPr>
      </w:pPr>
    </w:p>
    <w:p w:rsidR="00614B16" w:rsidRPr="0047009D" w:rsidRDefault="00614B16" w:rsidP="00614B16">
      <w:pPr>
        <w:tabs>
          <w:tab w:val="left" w:pos="450"/>
        </w:tabs>
        <w:spacing w:before="144" w:after="144"/>
        <w:ind w:left="450" w:hanging="450"/>
        <w:jc w:val="both"/>
        <w:rPr>
          <w:rFonts w:ascii="Arial" w:hAnsi="Arial" w:cs="Arial"/>
        </w:rPr>
      </w:pPr>
      <w:r w:rsidRPr="0047009D">
        <w:rPr>
          <w:rFonts w:ascii="Arial" w:hAnsi="Arial" w:cs="Arial"/>
        </w:rPr>
        <w:t xml:space="preserve">7. </w:t>
      </w:r>
      <w:r w:rsidRPr="0047009D">
        <w:rPr>
          <w:rFonts w:ascii="Arial" w:hAnsi="Arial" w:cs="Arial"/>
        </w:rPr>
        <w:tab/>
        <w:t xml:space="preserve">Disagree. The voluntary recall establishes an unconditional economic burden for Sheridan. This is a present obligation that is legally enforceable based on Sheridan’s recall announcement. A liability should be provided at the time the recall is made. </w:t>
      </w:r>
    </w:p>
    <w:p w:rsidR="00614B16" w:rsidRDefault="00614B16" w:rsidP="00614B16">
      <w:pPr>
        <w:pStyle w:val="BHead"/>
        <w:rPr>
          <w:rFonts w:cs="Arial"/>
          <w:b/>
          <w:sz w:val="24"/>
        </w:rPr>
      </w:pPr>
    </w:p>
    <w:p w:rsidR="00614B16" w:rsidRDefault="00614B16" w:rsidP="00614B16">
      <w:pPr>
        <w:pStyle w:val="BHead"/>
        <w:rPr>
          <w:rFonts w:cs="Arial"/>
          <w:b/>
          <w:sz w:val="24"/>
        </w:rPr>
      </w:pPr>
    </w:p>
    <w:p w:rsidR="00614B16" w:rsidRDefault="00614B16" w:rsidP="00614B16">
      <w:pPr>
        <w:pStyle w:val="BHead"/>
        <w:rPr>
          <w:rFonts w:cs="Arial"/>
          <w:b/>
          <w:sz w:val="24"/>
        </w:rPr>
      </w:pPr>
    </w:p>
    <w:p w:rsidR="00614B16" w:rsidRPr="00614B16" w:rsidRDefault="00614B16" w:rsidP="00614B16">
      <w:pPr>
        <w:pStyle w:val="BHead"/>
        <w:rPr>
          <w:rFonts w:cs="Arial"/>
          <w:b/>
          <w:sz w:val="24"/>
        </w:rPr>
      </w:pPr>
      <w:r w:rsidRPr="00614B16">
        <w:rPr>
          <w:rFonts w:cs="Arial"/>
          <w:b/>
          <w:sz w:val="24"/>
        </w:rPr>
        <w:t>P2-8</w:t>
      </w:r>
    </w:p>
    <w:p w:rsidR="00614B16" w:rsidRDefault="00614B16" w:rsidP="00614B16">
      <w:pPr>
        <w:pStyle w:val="BHead"/>
        <w:rPr>
          <w:rFonts w:cs="Arial"/>
          <w:sz w:val="24"/>
        </w:rPr>
      </w:pPr>
    </w:p>
    <w:p w:rsidR="00614B16" w:rsidRPr="0047009D" w:rsidRDefault="00614B16" w:rsidP="00614B16">
      <w:pPr>
        <w:pStyle w:val="BHead"/>
        <w:rPr>
          <w:rFonts w:cs="Arial"/>
          <w:sz w:val="24"/>
        </w:rPr>
      </w:pPr>
      <w:r w:rsidRPr="0047009D">
        <w:rPr>
          <w:rFonts w:cs="Arial"/>
          <w:sz w:val="24"/>
        </w:rPr>
        <w:t>Dear Uncle Warren,</w:t>
      </w:r>
    </w:p>
    <w:p w:rsidR="00614B16" w:rsidRPr="0047009D" w:rsidRDefault="00614B16" w:rsidP="00614B16">
      <w:pPr>
        <w:pStyle w:val="BodyTextIndent2"/>
        <w:tabs>
          <w:tab w:val="left" w:pos="475"/>
          <w:tab w:val="left" w:pos="720"/>
          <w:tab w:val="left" w:pos="936"/>
        </w:tabs>
        <w:spacing w:line="240" w:lineRule="auto"/>
        <w:ind w:left="720" w:hanging="720"/>
        <w:jc w:val="both"/>
        <w:rPr>
          <w:rFonts w:ascii="Arial" w:hAnsi="Arial" w:cs="Arial"/>
        </w:rPr>
      </w:pP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I received the information on Jingle Corp. and appreciate your interest in sharing this venture with me. However, I think that basing an investment decision on these financial statements would be unwise because they are neither relevant nor representationally faithful.</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ab/>
        <w:t>One of the most important characteristics of accounting information is that it is relevant, i.e., it will make a difference in the users’ decision. One element of relevance is predictive value and Jingle's accounting information proves irrelevant in this regard. Shown without reference to other years' profitability, it cannot help me predict future profitability because I cannot see any trends developing. Closely related to predictive value is feedback value. These financial statements do not provide feedback on any strategies, which the company may have used to increase profits.</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ab/>
        <w:t xml:space="preserve">These financial statements are also not representationally faithful. The accounting information must reflect the underlying substance of the events and transactions. As a financial statement user, I should be able to see what lies beneath the numbers and feel comfortable that it is complete, neutral and free from bias or error. </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ab/>
        <w:t xml:space="preserve">Another quality of decision-useful financial information is that it should be timely. Because Jingle's financial statements are a year old, they have lost their ability to influence my decision: a lot could have changed in that one year. The information must be verifiable by several independent parties. Because no independent auditor has verified these amounts, there is no way of knowing whether or not they are represented faithfully. For instance, I would like to believe that this company earned $2,424,240, and that it had a very favourable debt-to-equity ratio. However, unaudited financial statements do not give me any reasonable assurance about these claims. Financial </w:t>
      </w:r>
      <w:r w:rsidRPr="0047009D">
        <w:rPr>
          <w:rFonts w:ascii="Arial" w:hAnsi="Arial" w:cs="Arial"/>
        </w:rPr>
        <w:lastRenderedPageBreak/>
        <w:t xml:space="preserve">statements prepared by the company should be of sufficient quality and clarity so that I can understand the item’s significance. </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ab/>
        <w:t>Finally, the statements are missing additional information that is normally available through note disclosures. Without these note disclosures, I cannot assess if the accounting policies followed are in accordance with GAAP, or their impact on the information presented.</w:t>
      </w:r>
    </w:p>
    <w:p w:rsidR="00614B16" w:rsidRPr="0047009D" w:rsidRDefault="00614B16" w:rsidP="00614B16">
      <w:pPr>
        <w:pStyle w:val="BHead"/>
        <w:ind w:left="0" w:firstLine="0"/>
        <w:rPr>
          <w:rFonts w:cs="Arial"/>
        </w:rPr>
      </w:pPr>
      <w:r w:rsidRPr="0047009D">
        <w:rPr>
          <w:rFonts w:cs="Arial"/>
          <w:sz w:val="24"/>
        </w:rPr>
        <w:tab/>
        <w:t>Finally, the fact that Mrs. Jingle herself prepared these statements indicates a lack of neutrality. Because she is not a disinterested third party, I cannot be sure that she did not prepare the financial statements in favour of her husband's business.</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ab/>
        <w:t>Under the circumstances, I do not wish to invest in the Jingle bonds and would caution you against doing so. Before you make a decision in this matter, please call me.</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r w:rsidRPr="0047009D">
        <w:rPr>
          <w:rFonts w:ascii="Arial" w:hAnsi="Arial" w:cs="Arial"/>
        </w:rPr>
        <w:t>Sincerely,</w:t>
      </w: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p>
    <w:p w:rsidR="00614B16" w:rsidRPr="0047009D" w:rsidRDefault="00614B16" w:rsidP="00614B16">
      <w:pPr>
        <w:pStyle w:val="BodyTextIndent2"/>
        <w:tabs>
          <w:tab w:val="left" w:pos="475"/>
          <w:tab w:val="left" w:pos="720"/>
          <w:tab w:val="left" w:pos="936"/>
        </w:tabs>
        <w:spacing w:line="240" w:lineRule="auto"/>
        <w:ind w:left="0"/>
        <w:jc w:val="both"/>
        <w:rPr>
          <w:rFonts w:ascii="Arial" w:hAnsi="Arial" w:cs="Arial"/>
        </w:rPr>
      </w:pPr>
      <w:proofErr w:type="gramStart"/>
      <w:r w:rsidRPr="0047009D">
        <w:rPr>
          <w:rFonts w:ascii="Arial" w:hAnsi="Arial" w:cs="Arial"/>
        </w:rPr>
        <w:t>Your</w:t>
      </w:r>
      <w:proofErr w:type="gramEnd"/>
      <w:r w:rsidRPr="0047009D">
        <w:rPr>
          <w:rFonts w:ascii="Arial" w:hAnsi="Arial" w:cs="Arial"/>
        </w:rPr>
        <w:t xml:space="preserve"> Nephew</w:t>
      </w:r>
    </w:p>
    <w:p w:rsidR="00135E00" w:rsidRDefault="00135E00" w:rsidP="00614B16"/>
    <w:sectPr w:rsidR="00135E00" w:rsidSect="007B73AA">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647A4"/>
    <w:multiLevelType w:val="hybridMultilevel"/>
    <w:tmpl w:val="2AE87092"/>
    <w:lvl w:ilvl="0" w:tplc="104465EC">
      <w:start w:val="1"/>
      <w:numFmt w:val="decimal"/>
      <w:lvlText w:val="%1."/>
      <w:lvlJc w:val="left"/>
      <w:pPr>
        <w:tabs>
          <w:tab w:val="num" w:pos="720"/>
        </w:tabs>
        <w:ind w:left="720" w:hanging="360"/>
      </w:pPr>
      <w:rPr>
        <w:rFonts w:hint="default"/>
      </w:rPr>
    </w:lvl>
    <w:lvl w:ilvl="1" w:tplc="8758ACDE" w:tentative="1">
      <w:start w:val="1"/>
      <w:numFmt w:val="lowerLetter"/>
      <w:lvlText w:val="%2."/>
      <w:lvlJc w:val="left"/>
      <w:pPr>
        <w:ind w:left="1440" w:hanging="360"/>
      </w:pPr>
    </w:lvl>
    <w:lvl w:ilvl="2" w:tplc="6F66F8F0" w:tentative="1">
      <w:start w:val="1"/>
      <w:numFmt w:val="lowerRoman"/>
      <w:lvlText w:val="%3."/>
      <w:lvlJc w:val="right"/>
      <w:pPr>
        <w:ind w:left="2160" w:hanging="180"/>
      </w:pPr>
    </w:lvl>
    <w:lvl w:ilvl="3" w:tplc="C74C2F50" w:tentative="1">
      <w:start w:val="1"/>
      <w:numFmt w:val="decimal"/>
      <w:lvlText w:val="%4."/>
      <w:lvlJc w:val="left"/>
      <w:pPr>
        <w:ind w:left="2880" w:hanging="360"/>
      </w:pPr>
    </w:lvl>
    <w:lvl w:ilvl="4" w:tplc="8AF6981E" w:tentative="1">
      <w:start w:val="1"/>
      <w:numFmt w:val="lowerLetter"/>
      <w:lvlText w:val="%5."/>
      <w:lvlJc w:val="left"/>
      <w:pPr>
        <w:ind w:left="3600" w:hanging="360"/>
      </w:pPr>
    </w:lvl>
    <w:lvl w:ilvl="5" w:tplc="1F2A04EA" w:tentative="1">
      <w:start w:val="1"/>
      <w:numFmt w:val="lowerRoman"/>
      <w:lvlText w:val="%6."/>
      <w:lvlJc w:val="right"/>
      <w:pPr>
        <w:ind w:left="4320" w:hanging="180"/>
      </w:pPr>
    </w:lvl>
    <w:lvl w:ilvl="6" w:tplc="EE7A7F1E" w:tentative="1">
      <w:start w:val="1"/>
      <w:numFmt w:val="decimal"/>
      <w:lvlText w:val="%7."/>
      <w:lvlJc w:val="left"/>
      <w:pPr>
        <w:ind w:left="5040" w:hanging="360"/>
      </w:pPr>
    </w:lvl>
    <w:lvl w:ilvl="7" w:tplc="20C6A624" w:tentative="1">
      <w:start w:val="1"/>
      <w:numFmt w:val="lowerLetter"/>
      <w:lvlText w:val="%8."/>
      <w:lvlJc w:val="left"/>
      <w:pPr>
        <w:ind w:left="5760" w:hanging="360"/>
      </w:pPr>
    </w:lvl>
    <w:lvl w:ilvl="8" w:tplc="54E6591C" w:tentative="1">
      <w:start w:val="1"/>
      <w:numFmt w:val="lowerRoman"/>
      <w:lvlText w:val="%9."/>
      <w:lvlJc w:val="right"/>
      <w:pPr>
        <w:ind w:left="6480" w:hanging="180"/>
      </w:pPr>
    </w:lvl>
  </w:abstractNum>
  <w:abstractNum w:abstractNumId="1">
    <w:nsid w:val="1BE43279"/>
    <w:multiLevelType w:val="hybridMultilevel"/>
    <w:tmpl w:val="E6BE8E0A"/>
    <w:lvl w:ilvl="0" w:tplc="68FAC91C">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7B5066F"/>
    <w:multiLevelType w:val="hybridMultilevel"/>
    <w:tmpl w:val="78FA9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D879EE"/>
    <w:multiLevelType w:val="hybridMultilevel"/>
    <w:tmpl w:val="29A88D14"/>
    <w:lvl w:ilvl="0" w:tplc="C5F82DCA">
      <w:start w:val="1"/>
      <w:numFmt w:val="lowerLetter"/>
      <w:lvlText w:val="(%1)"/>
      <w:lvlJc w:val="left"/>
      <w:pPr>
        <w:ind w:left="405" w:hanging="405"/>
      </w:pPr>
      <w:rPr>
        <w:rFonts w:hint="default"/>
      </w:rPr>
    </w:lvl>
    <w:lvl w:ilvl="1" w:tplc="219A983C" w:tentative="1">
      <w:start w:val="1"/>
      <w:numFmt w:val="lowerLetter"/>
      <w:lvlText w:val="%2."/>
      <w:lvlJc w:val="left"/>
      <w:pPr>
        <w:ind w:left="1080" w:hanging="360"/>
      </w:pPr>
    </w:lvl>
    <w:lvl w:ilvl="2" w:tplc="C12E7CEE" w:tentative="1">
      <w:start w:val="1"/>
      <w:numFmt w:val="lowerRoman"/>
      <w:lvlText w:val="%3."/>
      <w:lvlJc w:val="right"/>
      <w:pPr>
        <w:ind w:left="1800" w:hanging="180"/>
      </w:pPr>
    </w:lvl>
    <w:lvl w:ilvl="3" w:tplc="5D306624" w:tentative="1">
      <w:start w:val="1"/>
      <w:numFmt w:val="decimal"/>
      <w:lvlText w:val="%4."/>
      <w:lvlJc w:val="left"/>
      <w:pPr>
        <w:ind w:left="2520" w:hanging="360"/>
      </w:pPr>
    </w:lvl>
    <w:lvl w:ilvl="4" w:tplc="D5F0188A" w:tentative="1">
      <w:start w:val="1"/>
      <w:numFmt w:val="lowerLetter"/>
      <w:lvlText w:val="%5."/>
      <w:lvlJc w:val="left"/>
      <w:pPr>
        <w:ind w:left="3240" w:hanging="360"/>
      </w:pPr>
    </w:lvl>
    <w:lvl w:ilvl="5" w:tplc="A7CA7DF0" w:tentative="1">
      <w:start w:val="1"/>
      <w:numFmt w:val="lowerRoman"/>
      <w:lvlText w:val="%6."/>
      <w:lvlJc w:val="right"/>
      <w:pPr>
        <w:ind w:left="3960" w:hanging="180"/>
      </w:pPr>
    </w:lvl>
    <w:lvl w:ilvl="6" w:tplc="01929D04" w:tentative="1">
      <w:start w:val="1"/>
      <w:numFmt w:val="decimal"/>
      <w:lvlText w:val="%7."/>
      <w:lvlJc w:val="left"/>
      <w:pPr>
        <w:ind w:left="4680" w:hanging="360"/>
      </w:pPr>
    </w:lvl>
    <w:lvl w:ilvl="7" w:tplc="516E3AC6" w:tentative="1">
      <w:start w:val="1"/>
      <w:numFmt w:val="lowerLetter"/>
      <w:lvlText w:val="%8."/>
      <w:lvlJc w:val="left"/>
      <w:pPr>
        <w:ind w:left="5400" w:hanging="360"/>
      </w:pPr>
    </w:lvl>
    <w:lvl w:ilvl="8" w:tplc="15629A6E" w:tentative="1">
      <w:start w:val="1"/>
      <w:numFmt w:val="lowerRoman"/>
      <w:lvlText w:val="%9."/>
      <w:lvlJc w:val="right"/>
      <w:pPr>
        <w:ind w:left="6120" w:hanging="180"/>
      </w:pPr>
    </w:lvl>
  </w:abstractNum>
  <w:abstractNum w:abstractNumId="4">
    <w:nsid w:val="30D81D95"/>
    <w:multiLevelType w:val="singleLevel"/>
    <w:tmpl w:val="4AFE7F52"/>
    <w:lvl w:ilvl="0">
      <w:start w:val="1"/>
      <w:numFmt w:val="decimal"/>
      <w:lvlText w:val="%1."/>
      <w:lvlJc w:val="left"/>
      <w:pPr>
        <w:tabs>
          <w:tab w:val="num" w:pos="1440"/>
        </w:tabs>
        <w:ind w:left="1440" w:hanging="720"/>
      </w:pPr>
      <w:rPr>
        <w:rFonts w:hint="default"/>
      </w:rPr>
    </w:lvl>
  </w:abstractNum>
  <w:abstractNum w:abstractNumId="5">
    <w:nsid w:val="4B2757E6"/>
    <w:multiLevelType w:val="hybridMultilevel"/>
    <w:tmpl w:val="C39855E0"/>
    <w:lvl w:ilvl="0" w:tplc="54603D18">
      <w:start w:val="1"/>
      <w:numFmt w:val="lowerLetter"/>
      <w:lvlText w:val="(%1)"/>
      <w:lvlJc w:val="left"/>
      <w:pPr>
        <w:ind w:left="502"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7BA37831"/>
    <w:multiLevelType w:val="hybridMultilevel"/>
    <w:tmpl w:val="8FD208CA"/>
    <w:lvl w:ilvl="0" w:tplc="71D697C0">
      <w:start w:val="1"/>
      <w:numFmt w:val="decimal"/>
      <w:lvlText w:val="%1."/>
      <w:lvlJc w:val="left"/>
      <w:pPr>
        <w:tabs>
          <w:tab w:val="num" w:pos="720"/>
        </w:tabs>
        <w:ind w:left="720" w:hanging="360"/>
      </w:pPr>
    </w:lvl>
    <w:lvl w:ilvl="1" w:tplc="48D8F612" w:tentative="1">
      <w:start w:val="1"/>
      <w:numFmt w:val="lowerLetter"/>
      <w:lvlText w:val="%2."/>
      <w:lvlJc w:val="left"/>
      <w:pPr>
        <w:tabs>
          <w:tab w:val="num" w:pos="1440"/>
        </w:tabs>
        <w:ind w:left="1440" w:hanging="360"/>
      </w:pPr>
    </w:lvl>
    <w:lvl w:ilvl="2" w:tplc="BF34D33C" w:tentative="1">
      <w:start w:val="1"/>
      <w:numFmt w:val="lowerRoman"/>
      <w:lvlText w:val="%3."/>
      <w:lvlJc w:val="right"/>
      <w:pPr>
        <w:tabs>
          <w:tab w:val="num" w:pos="2160"/>
        </w:tabs>
        <w:ind w:left="2160" w:hanging="180"/>
      </w:pPr>
    </w:lvl>
    <w:lvl w:ilvl="3" w:tplc="51E0805A" w:tentative="1">
      <w:start w:val="1"/>
      <w:numFmt w:val="decimal"/>
      <w:lvlText w:val="%4."/>
      <w:lvlJc w:val="left"/>
      <w:pPr>
        <w:tabs>
          <w:tab w:val="num" w:pos="2880"/>
        </w:tabs>
        <w:ind w:left="2880" w:hanging="360"/>
      </w:pPr>
    </w:lvl>
    <w:lvl w:ilvl="4" w:tplc="73E0B750" w:tentative="1">
      <w:start w:val="1"/>
      <w:numFmt w:val="lowerLetter"/>
      <w:lvlText w:val="%5."/>
      <w:lvlJc w:val="left"/>
      <w:pPr>
        <w:tabs>
          <w:tab w:val="num" w:pos="3600"/>
        </w:tabs>
        <w:ind w:left="3600" w:hanging="360"/>
      </w:pPr>
    </w:lvl>
    <w:lvl w:ilvl="5" w:tplc="FD0AF01E" w:tentative="1">
      <w:start w:val="1"/>
      <w:numFmt w:val="lowerRoman"/>
      <w:lvlText w:val="%6."/>
      <w:lvlJc w:val="right"/>
      <w:pPr>
        <w:tabs>
          <w:tab w:val="num" w:pos="4320"/>
        </w:tabs>
        <w:ind w:left="4320" w:hanging="180"/>
      </w:pPr>
    </w:lvl>
    <w:lvl w:ilvl="6" w:tplc="6BE470AE" w:tentative="1">
      <w:start w:val="1"/>
      <w:numFmt w:val="decimal"/>
      <w:lvlText w:val="%7."/>
      <w:lvlJc w:val="left"/>
      <w:pPr>
        <w:tabs>
          <w:tab w:val="num" w:pos="5040"/>
        </w:tabs>
        <w:ind w:left="5040" w:hanging="360"/>
      </w:pPr>
    </w:lvl>
    <w:lvl w:ilvl="7" w:tplc="316A29E2" w:tentative="1">
      <w:start w:val="1"/>
      <w:numFmt w:val="lowerLetter"/>
      <w:lvlText w:val="%8."/>
      <w:lvlJc w:val="left"/>
      <w:pPr>
        <w:tabs>
          <w:tab w:val="num" w:pos="5760"/>
        </w:tabs>
        <w:ind w:left="5760" w:hanging="360"/>
      </w:pPr>
    </w:lvl>
    <w:lvl w:ilvl="8" w:tplc="4C06F3DC"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0"/>
  </w:num>
  <w:num w:numId="4">
    <w:abstractNumId w:val="5"/>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B16"/>
    <w:rsid w:val="00135E00"/>
    <w:rsid w:val="00614B16"/>
    <w:rsid w:val="007B73AA"/>
    <w:rsid w:val="0099213D"/>
    <w:rsid w:val="00EC2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16"/>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Head">
    <w:name w:val="B Head"/>
    <w:basedOn w:val="Normal"/>
    <w:uiPriority w:val="99"/>
    <w:rsid w:val="00614B16"/>
    <w:pPr>
      <w:ind w:left="475" w:hanging="475"/>
    </w:pPr>
    <w:rPr>
      <w:rFonts w:ascii="Arial" w:hAnsi="Arial"/>
      <w:bCs/>
      <w:sz w:val="28"/>
      <w:szCs w:val="20"/>
    </w:rPr>
  </w:style>
  <w:style w:type="paragraph" w:styleId="BodyTextIndent2">
    <w:name w:val="Body Text Indent 2"/>
    <w:basedOn w:val="Normal"/>
    <w:link w:val="BodyTextIndent2Char"/>
    <w:semiHidden/>
    <w:rsid w:val="00614B16"/>
    <w:pPr>
      <w:spacing w:after="120" w:line="480" w:lineRule="auto"/>
      <w:ind w:left="283"/>
    </w:pPr>
  </w:style>
  <w:style w:type="character" w:customStyle="1" w:styleId="BodyTextIndent2Char">
    <w:name w:val="Body Text Indent 2 Char"/>
    <w:basedOn w:val="DefaultParagraphFont"/>
    <w:link w:val="BodyTextIndent2"/>
    <w:semiHidden/>
    <w:rsid w:val="00614B16"/>
    <w:rPr>
      <w:rFonts w:ascii="Times New Roman" w:eastAsia="Times New Roman" w:hAnsi="Times New Roman" w:cs="Times New Roman"/>
      <w:sz w:val="24"/>
      <w:szCs w:val="24"/>
      <w:lang w:val="en-CA"/>
    </w:rPr>
  </w:style>
  <w:style w:type="paragraph" w:styleId="ListParagraph">
    <w:name w:val="List Paragraph"/>
    <w:basedOn w:val="Normal"/>
    <w:uiPriority w:val="99"/>
    <w:qFormat/>
    <w:rsid w:val="007B73AA"/>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16"/>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Head">
    <w:name w:val="B Head"/>
    <w:basedOn w:val="Normal"/>
    <w:uiPriority w:val="99"/>
    <w:rsid w:val="00614B16"/>
    <w:pPr>
      <w:ind w:left="475" w:hanging="475"/>
    </w:pPr>
    <w:rPr>
      <w:rFonts w:ascii="Arial" w:hAnsi="Arial"/>
      <w:bCs/>
      <w:sz w:val="28"/>
      <w:szCs w:val="20"/>
    </w:rPr>
  </w:style>
  <w:style w:type="paragraph" w:styleId="BodyTextIndent2">
    <w:name w:val="Body Text Indent 2"/>
    <w:basedOn w:val="Normal"/>
    <w:link w:val="BodyTextIndent2Char"/>
    <w:semiHidden/>
    <w:rsid w:val="00614B16"/>
    <w:pPr>
      <w:spacing w:after="120" w:line="480" w:lineRule="auto"/>
      <w:ind w:left="283"/>
    </w:pPr>
  </w:style>
  <w:style w:type="character" w:customStyle="1" w:styleId="BodyTextIndent2Char">
    <w:name w:val="Body Text Indent 2 Char"/>
    <w:basedOn w:val="DefaultParagraphFont"/>
    <w:link w:val="BodyTextIndent2"/>
    <w:semiHidden/>
    <w:rsid w:val="00614B16"/>
    <w:rPr>
      <w:rFonts w:ascii="Times New Roman" w:eastAsia="Times New Roman" w:hAnsi="Times New Roman" w:cs="Times New Roman"/>
      <w:sz w:val="24"/>
      <w:szCs w:val="24"/>
      <w:lang w:val="en-CA"/>
    </w:rPr>
  </w:style>
  <w:style w:type="paragraph" w:styleId="ListParagraph">
    <w:name w:val="List Paragraph"/>
    <w:basedOn w:val="Normal"/>
    <w:uiPriority w:val="99"/>
    <w:qFormat/>
    <w:rsid w:val="007B73AA"/>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1514</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bartosz amerski</dc:creator>
  <cp:lastModifiedBy>esouser</cp:lastModifiedBy>
  <cp:revision>2</cp:revision>
  <dcterms:created xsi:type="dcterms:W3CDTF">2016-08-07T20:47:00Z</dcterms:created>
  <dcterms:modified xsi:type="dcterms:W3CDTF">2016-08-07T20:47:00Z</dcterms:modified>
</cp:coreProperties>
</file>