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non-duchenne smiling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 when people in fear or being confronted to dominant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 just happening in the lower mouth (no involvement in eye muscles)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why duration of non-duchenne smiling in harassed condition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is longer than non-harassed conditions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being exposed w/ social pressure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we feel less confident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  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field experiment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ethical contrains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allows researchers to observe and validate in dynamic real-life situation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and also a problem of psychology study and education is to generalize idea (interdisciplinary)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Social construction of the self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(cognitive interpretation, interpersonal processes, and cultural influences)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people tend treat self as really private (extract from social influences)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yet self is powerful shaped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Three perspectives on the social construction of the self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1.the self as cognitive construction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2the self (social comparison standards, peers, contrast to others)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3.(really powerful, cultural variability, behaviours and emotions across culture)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the self as cognitive construction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-epistemological status of self-reports of mental experiences (the claim about self is also more reliable, arrow prone)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-self report are incorrigible (if oneself believe it, it must be true)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-can directly access and record doesn’t need to require utilizing compare to understand outside (make inferences)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-observer has to indirectly access and infer to understand what other feeling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-self-perception is inherently less fallible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limitations of self insight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-quiet distinct from the actual feeling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-when try to understand one own, they do not have direct information, also have to rely some sort inferences to guess their own feeling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eg. right side preference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         be influenced by word-pair context unconsciously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lastRenderedPageBreak/>
        <w:t>Confabulating reasons to explain own behaviour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-split brain surgery to solve epilepsy 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-we lack direct knowledge to understand our own feelings and thoughts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Evidence consistent w/ Bem’s self-perception theory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-over justification effects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(extrinsic incentives undermine intrinsic motivation)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-foot-in-the-door phenomenon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(start w/ smaller request and bigger request will be complied later)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-effects of incidental behaviour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(self-persuasion)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on self-reported attitudes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-the misattribution of arousal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two things (internal sensations and physiological arousal - jukebox)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to infer the specific emotion we are experiencing we rly on the context to hide the selection of specific emotion label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    labeling emotion relies on inference processes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(inference is fallible can lead to misattribution of arousal)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-arousal manipulation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(some participants are induced w/ arousal, some are not)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-information manipulation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(participants are informed what is shot)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-labeling manipulation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(enjoyment or anger)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-emotion measures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( to test whether ps can interpreted their emotionsenjoyment or anger behaviour is recorded)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363B76">
        <w:rPr>
          <w:rFonts w:ascii="Times New Roman" w:eastAsia="Times New Roman" w:hAnsi="Times New Roman" w:cs="Times New Roman"/>
          <w:kern w:val="0"/>
          <w:sz w:val="24"/>
        </w:rPr>
        <w:t>two individuals w/ fundamentally different self-theories may interpret the same event in contrasting ways that reinforce their different theories</w:t>
      </w: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Pr="00363B76" w:rsidRDefault="00363B76" w:rsidP="00363B7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363B76" w:rsidRDefault="00363B76">
      <w:bookmarkStart w:id="0" w:name="_GoBack"/>
      <w:bookmarkEnd w:id="0"/>
    </w:p>
    <w:sectPr w:rsidR="00363B76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B76"/>
    <w:rsid w:val="00363B76"/>
    <w:rsid w:val="0041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D9551D5-621B-F346-9300-1BB90438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8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2018-12-04T18:17:00Z</dcterms:created>
  <dcterms:modified xsi:type="dcterms:W3CDTF">2018-12-04T18:17:00Z</dcterms:modified>
</cp:coreProperties>
</file>