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2BEA0DC" w14:textId="77777777" w:rsidR="005C4AC6" w:rsidRDefault="005C4AC6"/>
    <w:p w14:paraId="262DFB5B" w14:textId="77777777" w:rsidR="008944DE" w:rsidRDefault="008944DE" w:rsidP="008944DE">
      <w:pPr>
        <w:jc w:val="center"/>
      </w:pPr>
      <w:r>
        <w:t>Compte-rendu Extrait « </w:t>
      </w:r>
      <w:proofErr w:type="spellStart"/>
      <w:r>
        <w:t>Onuphrius</w:t>
      </w:r>
      <w:proofErr w:type="spellEnd"/>
      <w:r>
        <w:t> »</w:t>
      </w:r>
    </w:p>
    <w:p w14:paraId="4D1086F5" w14:textId="77777777" w:rsidR="008944DE" w:rsidRDefault="008944DE" w:rsidP="008944DE">
      <w:pPr>
        <w:jc w:val="center"/>
      </w:pPr>
    </w:p>
    <w:p w14:paraId="0E1647FD" w14:textId="77777777" w:rsidR="005C4AC6" w:rsidRDefault="005C4AC6" w:rsidP="008944DE">
      <w:pPr>
        <w:spacing w:line="276" w:lineRule="auto"/>
        <w:jc w:val="both"/>
      </w:pPr>
      <w:r>
        <w:t>Dans le recueil de nouvelles « Contes fantastiques » de Théophile Gautier, l’extrait comportant le rêve d’</w:t>
      </w:r>
      <w:proofErr w:type="spellStart"/>
      <w:r>
        <w:t>Onuphrius</w:t>
      </w:r>
      <w:proofErr w:type="spellEnd"/>
      <w:r>
        <w:t xml:space="preserve"> se trouvant au milieu de la nouvelle de ce même nom, publiée au XIXe siècle, fait réfé</w:t>
      </w:r>
      <w:bookmarkStart w:id="0" w:name="_GoBack"/>
      <w:bookmarkEnd w:id="0"/>
      <w:r>
        <w:t xml:space="preserve">rence à un thème principal étant : le </w:t>
      </w:r>
      <w:r w:rsidRPr="008D24BE">
        <w:rPr>
          <w:u w:val="single"/>
        </w:rPr>
        <w:t>dédoublement.</w:t>
      </w:r>
      <w:r>
        <w:t xml:space="preserve"> Plusieurs thèmes secondaires découlent de celui-ci, dont la </w:t>
      </w:r>
      <w:r w:rsidRPr="008D24BE">
        <w:rPr>
          <w:u w:val="single"/>
        </w:rPr>
        <w:t>jalousie.</w:t>
      </w:r>
      <w:r>
        <w:t xml:space="preserve"> </w:t>
      </w:r>
    </w:p>
    <w:p w14:paraId="07D4665E" w14:textId="77777777" w:rsidR="005C4AC6" w:rsidRDefault="005C4AC6" w:rsidP="008944DE">
      <w:pPr>
        <w:spacing w:line="276" w:lineRule="auto"/>
        <w:jc w:val="both"/>
      </w:pPr>
    </w:p>
    <w:p w14:paraId="7A67D320" w14:textId="77777777" w:rsidR="005C4AC6" w:rsidRDefault="005C4AC6" w:rsidP="008944DE">
      <w:pPr>
        <w:spacing w:line="276" w:lineRule="auto"/>
        <w:jc w:val="both"/>
      </w:pPr>
      <w:r>
        <w:t xml:space="preserve">D’abord,  le dédoublement, dans cet extrait, est exprimé sous forme d’un double état. En effet, le protagoniste, </w:t>
      </w:r>
      <w:proofErr w:type="spellStart"/>
      <w:r>
        <w:t>Onuphrius</w:t>
      </w:r>
      <w:proofErr w:type="spellEnd"/>
      <w:r>
        <w:t xml:space="preserve">, est à la fois vivant et mort. </w:t>
      </w:r>
      <w:r w:rsidR="00973553">
        <w:t>On le dit vivant puisqu’il ressent la douleur, par exemple</w:t>
      </w:r>
      <w:r w:rsidR="008D24BE">
        <w:t>,</w:t>
      </w:r>
      <w:r w:rsidR="00973553">
        <w:t xml:space="preserve"> celle qui l</w:t>
      </w:r>
      <w:r w:rsidR="008D6464">
        <w:t>ui est affligée lorsqu’ il se fait coudre au drap</w:t>
      </w:r>
      <w:r w:rsidR="0004676C">
        <w:rPr>
          <w:u w:val="single"/>
        </w:rPr>
        <w:t xml:space="preserve">, </w:t>
      </w:r>
      <w:r w:rsidR="008D24BE">
        <w:rPr>
          <w:u w:val="single"/>
        </w:rPr>
        <w:t>[</w:t>
      </w:r>
      <w:r w:rsidR="008D6464" w:rsidRPr="00D3528B">
        <w:rPr>
          <w:u w:val="single"/>
        </w:rPr>
        <w:t xml:space="preserve">il </w:t>
      </w:r>
      <w:r w:rsidR="008D24BE">
        <w:rPr>
          <w:u w:val="single"/>
        </w:rPr>
        <w:t>était]</w:t>
      </w:r>
      <w:r w:rsidR="00D3528B" w:rsidRPr="00D3528B">
        <w:rPr>
          <w:u w:val="single"/>
        </w:rPr>
        <w:t xml:space="preserve"> privé d’aucun sens</w:t>
      </w:r>
      <w:r w:rsidR="00D3528B" w:rsidRPr="0004676C">
        <w:rPr>
          <w:i/>
          <w:u w:val="single"/>
        </w:rPr>
        <w:t xml:space="preserve">. </w:t>
      </w:r>
      <w:r w:rsidR="0004676C" w:rsidRPr="0004676C">
        <w:rPr>
          <w:i/>
          <w:u w:val="single"/>
        </w:rPr>
        <w:t>(</w:t>
      </w:r>
      <w:r w:rsidR="00D3528B" w:rsidRPr="0004676C">
        <w:rPr>
          <w:i/>
          <w:u w:val="single"/>
        </w:rPr>
        <w:t>P.42 ligne 527</w:t>
      </w:r>
      <w:r w:rsidR="0004676C" w:rsidRPr="0004676C">
        <w:rPr>
          <w:i/>
          <w:u w:val="single"/>
        </w:rPr>
        <w:t>)</w:t>
      </w:r>
      <w:r w:rsidR="00D3528B" w:rsidRPr="0004676C">
        <w:rPr>
          <w:i/>
          <w:u w:val="single"/>
        </w:rPr>
        <w:t>.</w:t>
      </w:r>
      <w:r w:rsidR="00D3528B">
        <w:t xml:space="preserve"> </w:t>
      </w:r>
      <w:r w:rsidR="00322EA6">
        <w:t xml:space="preserve">Par contre, il est considéré mort, car son environnement et son corps le démontrent. </w:t>
      </w:r>
      <w:proofErr w:type="spellStart"/>
      <w:r w:rsidR="00D3528B">
        <w:t>Onuphrius</w:t>
      </w:r>
      <w:proofErr w:type="spellEnd"/>
      <w:r w:rsidR="00D3528B">
        <w:t xml:space="preserve"> est déclaré défunt, il tente de bouger sans succès, son corps est même disséqué. Sous un autre angle, Gautier aborde le dédoublement lorsque l’âme du Jeune-France</w:t>
      </w:r>
      <w:r w:rsidR="00141083">
        <w:t xml:space="preserve"> quitte son propre corps, vagabondant. Ce thème </w:t>
      </w:r>
      <w:r w:rsidR="00B81698">
        <w:t>est souvent issu</w:t>
      </w:r>
      <w:r w:rsidR="00141083">
        <w:t xml:space="preserve"> rêve, qui revient fréquemment dans les nouvelles de l’auteur. </w:t>
      </w:r>
      <w:r w:rsidR="00141083" w:rsidRPr="006269BE">
        <w:rPr>
          <w:u w:val="single"/>
        </w:rPr>
        <w:t xml:space="preserve">Effectivement, dans « La cafetière » et « Le pied de momie », le </w:t>
      </w:r>
      <w:r w:rsidR="002F45CF" w:rsidRPr="006269BE">
        <w:rPr>
          <w:u w:val="single"/>
        </w:rPr>
        <w:t>rêve est aussi l’outil utilisé pour amener le dédoublement.</w:t>
      </w:r>
      <w:r w:rsidR="002F45CF">
        <w:t xml:space="preserve"> </w:t>
      </w:r>
      <w:r w:rsidR="0004676C">
        <w:t>O</w:t>
      </w:r>
      <w:r w:rsidR="007A45F5">
        <w:t xml:space="preserve">n peut se demander si le rêve en </w:t>
      </w:r>
      <w:r w:rsidR="0004676C">
        <w:t xml:space="preserve">est </w:t>
      </w:r>
      <w:r w:rsidR="007A45F5">
        <w:t xml:space="preserve">véritablement un, </w:t>
      </w:r>
      <w:r w:rsidR="0004676C">
        <w:t xml:space="preserve">car </w:t>
      </w:r>
      <w:r w:rsidR="007A45F5">
        <w:t xml:space="preserve">l’auteur confuse ses lecteurs… d’autant plus en affirmant </w:t>
      </w:r>
      <w:r w:rsidR="00654DF4">
        <w:t xml:space="preserve">que </w:t>
      </w:r>
      <w:r w:rsidR="00654DF4" w:rsidRPr="0004676C">
        <w:rPr>
          <w:u w:val="single"/>
        </w:rPr>
        <w:t>« l’impossible y devient probable » (dans la vie ordinaire).</w:t>
      </w:r>
      <w:r w:rsidR="00654DF4" w:rsidRPr="0004676C">
        <w:rPr>
          <w:rStyle w:val="Marquenotebasdepage"/>
          <w:u w:val="single"/>
        </w:rPr>
        <w:footnoteReference w:id="1"/>
      </w:r>
    </w:p>
    <w:p w14:paraId="7C1B6E8E" w14:textId="77777777" w:rsidR="00654DF4" w:rsidRDefault="00654DF4" w:rsidP="008944DE">
      <w:pPr>
        <w:spacing w:line="276" w:lineRule="auto"/>
        <w:jc w:val="both"/>
      </w:pPr>
    </w:p>
    <w:p w14:paraId="436D2836" w14:textId="77777777" w:rsidR="00654DF4" w:rsidRDefault="00654DF4" w:rsidP="008944DE">
      <w:pPr>
        <w:spacing w:line="276" w:lineRule="auto"/>
        <w:jc w:val="both"/>
      </w:pPr>
      <w:r>
        <w:t xml:space="preserve">Outre le dédoublement, </w:t>
      </w:r>
      <w:proofErr w:type="spellStart"/>
      <w:r>
        <w:t>Onuphrius</w:t>
      </w:r>
      <w:proofErr w:type="spellEnd"/>
      <w:r>
        <w:t xml:space="preserve"> vit plusieurs épisodes </w:t>
      </w:r>
      <w:r w:rsidR="008D24BE">
        <w:t>de jalousie. Effectivement, il pense</w:t>
      </w:r>
      <w:r>
        <w:t xml:space="preserve"> que cette pseudo-mort </w:t>
      </w:r>
      <w:r w:rsidR="008D24BE">
        <w:t>est</w:t>
      </w:r>
      <w:r>
        <w:t xml:space="preserve"> un coup monté de sa bien-aimée </w:t>
      </w:r>
      <w:proofErr w:type="spellStart"/>
      <w:r>
        <w:t>Jacintha</w:t>
      </w:r>
      <w:proofErr w:type="spellEnd"/>
      <w:r>
        <w:t xml:space="preserve"> </w:t>
      </w:r>
      <w:r w:rsidR="008D24BE">
        <w:t xml:space="preserve">et de son amant </w:t>
      </w:r>
      <w:r>
        <w:t>pour se débarrasser de</w:t>
      </w:r>
      <w:r w:rsidR="008D24BE">
        <w:t xml:space="preserve"> lui</w:t>
      </w:r>
      <w:r w:rsidR="008D24BE" w:rsidRPr="0004676C">
        <w:rPr>
          <w:u w:val="single"/>
        </w:rPr>
        <w:t>. « [Il en devint] horribl</w:t>
      </w:r>
      <w:r w:rsidR="0004676C" w:rsidRPr="0004676C">
        <w:rPr>
          <w:u w:val="single"/>
        </w:rPr>
        <w:t xml:space="preserve">ement jaloux » </w:t>
      </w:r>
      <w:r w:rsidR="0004676C" w:rsidRPr="0004676C">
        <w:rPr>
          <w:i/>
          <w:u w:val="single"/>
        </w:rPr>
        <w:t>(p.43 ligne 567)</w:t>
      </w:r>
      <w:r w:rsidR="008D24BE" w:rsidRPr="0004676C">
        <w:rPr>
          <w:i/>
          <w:u w:val="single"/>
        </w:rPr>
        <w:t>.</w:t>
      </w:r>
      <w:r>
        <w:t xml:space="preserve"> </w:t>
      </w:r>
      <w:r w:rsidR="0004676C">
        <w:t xml:space="preserve">Le jeune homme </w:t>
      </w:r>
      <w:r w:rsidR="008D24BE">
        <w:t>v</w:t>
      </w:r>
      <w:r w:rsidR="0004676C">
        <w:t xml:space="preserve">it aussi ce sentiment au Louvre quand </w:t>
      </w:r>
      <w:r w:rsidR="008D24BE">
        <w:t xml:space="preserve">son tableau est affiché et annonce son </w:t>
      </w:r>
      <w:r w:rsidR="0004676C">
        <w:t>ami comme étant l’auteur</w:t>
      </w:r>
      <w:r w:rsidR="008D24BE">
        <w:t xml:space="preserve">. « Il ne s’était pas fait scrupule de s’approprier mon œuvre » s’exclame-t-il. </w:t>
      </w:r>
      <w:r w:rsidR="008D24BE" w:rsidRPr="0004676C">
        <w:rPr>
          <w:i/>
        </w:rPr>
        <w:t>(p.46 ligne 687).</w:t>
      </w:r>
      <w:r w:rsidR="008D24BE">
        <w:t xml:space="preserve"> </w:t>
      </w:r>
    </w:p>
    <w:p w14:paraId="4DAC6560" w14:textId="77777777" w:rsidR="0004676C" w:rsidRDefault="0004676C" w:rsidP="008944DE">
      <w:pPr>
        <w:spacing w:line="276" w:lineRule="auto"/>
        <w:jc w:val="both"/>
      </w:pPr>
    </w:p>
    <w:p w14:paraId="69B9F1D5" w14:textId="77777777" w:rsidR="0004676C" w:rsidRDefault="0004676C" w:rsidP="008944DE">
      <w:pPr>
        <w:spacing w:line="276" w:lineRule="auto"/>
        <w:jc w:val="both"/>
      </w:pPr>
      <w:r>
        <w:t>Force nous est de constater que ces deux thèmes sculptent la nouvelle « </w:t>
      </w:r>
      <w:proofErr w:type="spellStart"/>
      <w:r>
        <w:t>Onuphrius</w:t>
      </w:r>
      <w:proofErr w:type="spellEnd"/>
      <w:r>
        <w:t xml:space="preserve"> » mais inspire aussi les autres œuvres des « Contes fantastiques ».  </w:t>
      </w:r>
    </w:p>
    <w:p w14:paraId="1D7F700B" w14:textId="77777777" w:rsidR="0004676C" w:rsidRDefault="0004676C" w:rsidP="0004676C">
      <w:pPr>
        <w:jc w:val="both"/>
      </w:pPr>
    </w:p>
    <w:p w14:paraId="3CFA0C8B" w14:textId="77777777" w:rsidR="0004676C" w:rsidRDefault="008944DE" w:rsidP="0004676C">
      <w:pPr>
        <w:jc w:val="right"/>
      </w:pPr>
      <w:r>
        <w:t>324 mots</w:t>
      </w:r>
    </w:p>
    <w:sectPr w:rsidR="0004676C" w:rsidSect="008944DE">
      <w:headerReference w:type="default" r:id="rId8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16A4D30" w14:textId="77777777" w:rsidR="008944DE" w:rsidRDefault="008944DE" w:rsidP="00654DF4">
      <w:r>
        <w:separator/>
      </w:r>
    </w:p>
  </w:endnote>
  <w:endnote w:type="continuationSeparator" w:id="0">
    <w:p w14:paraId="2661FD2E" w14:textId="77777777" w:rsidR="008944DE" w:rsidRDefault="008944DE" w:rsidP="00654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C01353" w14:textId="77777777" w:rsidR="008944DE" w:rsidRDefault="008944DE" w:rsidP="00654DF4">
      <w:r>
        <w:separator/>
      </w:r>
    </w:p>
  </w:footnote>
  <w:footnote w:type="continuationSeparator" w:id="0">
    <w:p w14:paraId="6069CB46" w14:textId="77777777" w:rsidR="008944DE" w:rsidRDefault="008944DE" w:rsidP="00654DF4">
      <w:r>
        <w:continuationSeparator/>
      </w:r>
    </w:p>
  </w:footnote>
  <w:footnote w:id="1">
    <w:p w14:paraId="6B0A788A" w14:textId="77777777" w:rsidR="008944DE" w:rsidRPr="0004676C" w:rsidRDefault="008944DE" w:rsidP="00654DF4">
      <w:pPr>
        <w:pStyle w:val="Notedebasdepage"/>
        <w:rPr>
          <w:sz w:val="20"/>
        </w:rPr>
      </w:pPr>
      <w:r w:rsidRPr="0004676C">
        <w:rPr>
          <w:rStyle w:val="Marquenotebasdepage"/>
          <w:sz w:val="20"/>
        </w:rPr>
        <w:footnoteRef/>
      </w:r>
      <w:r w:rsidRPr="0004676C">
        <w:rPr>
          <w:sz w:val="20"/>
        </w:rPr>
        <w:t xml:space="preserve"> Théophile Gautier, « Jettatura », Récits fantastiques, Paris, Flammarion,</w:t>
      </w:r>
    </w:p>
    <w:p w14:paraId="0BBF33C2" w14:textId="77777777" w:rsidR="008944DE" w:rsidRDefault="008944DE" w:rsidP="00654DF4">
      <w:pPr>
        <w:pStyle w:val="Notedebasdepage"/>
      </w:pPr>
      <w:r w:rsidRPr="0004676C">
        <w:rPr>
          <w:sz w:val="20"/>
        </w:rPr>
        <w:t>1981, p. 426.)</w:t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le"/>
      <w:tblW w:w="5000" w:type="pct"/>
      <w:tblInd w:w="115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8470"/>
      <w:gridCol w:w="1152"/>
    </w:tblGrid>
    <w:tr w:rsidR="008944DE" w14:paraId="120371DB" w14:textId="77777777">
      <w:tc>
        <w:tcPr>
          <w:tcW w:w="0" w:type="auto"/>
          <w:tcBorders>
            <w:right w:val="single" w:sz="6" w:space="0" w:color="000000" w:themeColor="text1"/>
          </w:tcBorders>
        </w:tcPr>
        <w:sdt>
          <w:sdtPr>
            <w:alias w:val="Société"/>
            <w:id w:val="78735422"/>
            <w:placeholder>
              <w:docPart w:val="C421CE83C489854C9B156A6D258D37F7"/>
            </w:placeholder>
            <w:dataBinding w:prefixMappings="xmlns:ns0='http://schemas.openxmlformats.org/officeDocument/2006/extended-properties'" w:xpath="/ns0:Properties[1]/ns0:Company[1]" w:storeItemID="{6668398D-A668-4E3E-A5EB-62B293D839F1}"/>
            <w:text/>
          </w:sdtPr>
          <w:sdtContent>
            <w:p w14:paraId="1BFB8C41" w14:textId="77777777" w:rsidR="008944DE" w:rsidRDefault="008944DE">
              <w:pPr>
                <w:pStyle w:val="En-tte"/>
                <w:jc w:val="right"/>
              </w:pPr>
              <w:r>
                <w:t>FRA1710</w:t>
              </w:r>
            </w:p>
          </w:sdtContent>
        </w:sdt>
        <w:sdt>
          <w:sdtPr>
            <w:rPr>
              <w:b/>
              <w:bCs/>
            </w:rPr>
            <w:alias w:val="Titre"/>
            <w:id w:val="78735415"/>
            <w:placeholder>
              <w:docPart w:val="5520A4576DB5924BB28FF6A8F88B58ED"/>
            </w:placeholder>
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<w:text/>
          </w:sdtPr>
          <w:sdtContent>
            <w:p w14:paraId="1C4049B8" w14:textId="77777777" w:rsidR="008944DE" w:rsidRDefault="008944DE" w:rsidP="008944DE">
              <w:pPr>
                <w:pStyle w:val="En-tte"/>
                <w:jc w:val="right"/>
                <w:rPr>
                  <w:b/>
                  <w:bCs/>
                </w:rPr>
              </w:pPr>
              <w:r>
                <w:rPr>
                  <w:b/>
                  <w:bCs/>
                </w:rPr>
                <w:t>Université d’Ottawa</w:t>
              </w:r>
            </w:p>
          </w:sdtContent>
        </w:sdt>
      </w:tc>
      <w:tc>
        <w:tcPr>
          <w:tcW w:w="1152" w:type="dxa"/>
          <w:tcBorders>
            <w:left w:val="single" w:sz="6" w:space="0" w:color="000000" w:themeColor="text1"/>
          </w:tcBorders>
        </w:tcPr>
        <w:p w14:paraId="6958E2D8" w14:textId="77777777" w:rsidR="008944DE" w:rsidRDefault="008944DE">
          <w:pPr>
            <w:pStyle w:val="En-tte"/>
            <w:rPr>
              <w:b/>
            </w:rPr>
          </w:pPr>
        </w:p>
      </w:tc>
    </w:tr>
  </w:tbl>
  <w:p w14:paraId="29339BED" w14:textId="77777777" w:rsidR="008944DE" w:rsidRDefault="008944DE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4AC6"/>
    <w:rsid w:val="00013E5A"/>
    <w:rsid w:val="0004676C"/>
    <w:rsid w:val="00141083"/>
    <w:rsid w:val="002F45CF"/>
    <w:rsid w:val="00322EA6"/>
    <w:rsid w:val="005C4AC6"/>
    <w:rsid w:val="006269BE"/>
    <w:rsid w:val="00654DF4"/>
    <w:rsid w:val="00770293"/>
    <w:rsid w:val="007A45F5"/>
    <w:rsid w:val="008944DE"/>
    <w:rsid w:val="008D24BE"/>
    <w:rsid w:val="008D6464"/>
    <w:rsid w:val="00973553"/>
    <w:rsid w:val="00B81698"/>
    <w:rsid w:val="00CD29C9"/>
    <w:rsid w:val="00D35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3D1782E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1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tedebasdepage">
    <w:name w:val="footnote text"/>
    <w:basedOn w:val="Normal"/>
    <w:link w:val="NotedebasdepageCar"/>
    <w:uiPriority w:val="99"/>
    <w:unhideWhenUsed/>
    <w:rsid w:val="00654DF4"/>
  </w:style>
  <w:style w:type="character" w:customStyle="1" w:styleId="NotedebasdepageCar">
    <w:name w:val="Note de bas de page Car"/>
    <w:basedOn w:val="Policepardfaut"/>
    <w:link w:val="Notedebasdepage"/>
    <w:uiPriority w:val="99"/>
    <w:rsid w:val="00654DF4"/>
  </w:style>
  <w:style w:type="character" w:styleId="Marquenotebasdepage">
    <w:name w:val="footnote reference"/>
    <w:basedOn w:val="Policepardfaut"/>
    <w:uiPriority w:val="99"/>
    <w:unhideWhenUsed/>
    <w:rsid w:val="00654DF4"/>
    <w:rPr>
      <w:vertAlign w:val="superscript"/>
    </w:rPr>
  </w:style>
  <w:style w:type="paragraph" w:styleId="En-tte">
    <w:name w:val="header"/>
    <w:basedOn w:val="Normal"/>
    <w:link w:val="En-tteCar"/>
    <w:uiPriority w:val="99"/>
    <w:unhideWhenUsed/>
    <w:rsid w:val="008944DE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8944DE"/>
  </w:style>
  <w:style w:type="paragraph" w:styleId="Pieddepage">
    <w:name w:val="footer"/>
    <w:basedOn w:val="Normal"/>
    <w:link w:val="PieddepageCar"/>
    <w:uiPriority w:val="99"/>
    <w:unhideWhenUsed/>
    <w:rsid w:val="008944DE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8944DE"/>
  </w:style>
  <w:style w:type="table" w:styleId="Grille">
    <w:name w:val="Table Grid"/>
    <w:basedOn w:val="TableauNormal"/>
    <w:uiPriority w:val="1"/>
    <w:rsid w:val="008944DE"/>
    <w:rPr>
      <w:sz w:val="22"/>
      <w:szCs w:val="22"/>
      <w:lang w:val="fr-C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1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tedebasdepage">
    <w:name w:val="footnote text"/>
    <w:basedOn w:val="Normal"/>
    <w:link w:val="NotedebasdepageCar"/>
    <w:uiPriority w:val="99"/>
    <w:unhideWhenUsed/>
    <w:rsid w:val="00654DF4"/>
  </w:style>
  <w:style w:type="character" w:customStyle="1" w:styleId="NotedebasdepageCar">
    <w:name w:val="Note de bas de page Car"/>
    <w:basedOn w:val="Policepardfaut"/>
    <w:link w:val="Notedebasdepage"/>
    <w:uiPriority w:val="99"/>
    <w:rsid w:val="00654DF4"/>
  </w:style>
  <w:style w:type="character" w:styleId="Marquenotebasdepage">
    <w:name w:val="footnote reference"/>
    <w:basedOn w:val="Policepardfaut"/>
    <w:uiPriority w:val="99"/>
    <w:unhideWhenUsed/>
    <w:rsid w:val="00654DF4"/>
    <w:rPr>
      <w:vertAlign w:val="superscript"/>
    </w:rPr>
  </w:style>
  <w:style w:type="paragraph" w:styleId="En-tte">
    <w:name w:val="header"/>
    <w:basedOn w:val="Normal"/>
    <w:link w:val="En-tteCar"/>
    <w:uiPriority w:val="99"/>
    <w:unhideWhenUsed/>
    <w:rsid w:val="008944DE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8944DE"/>
  </w:style>
  <w:style w:type="paragraph" w:styleId="Pieddepage">
    <w:name w:val="footer"/>
    <w:basedOn w:val="Normal"/>
    <w:link w:val="PieddepageCar"/>
    <w:uiPriority w:val="99"/>
    <w:unhideWhenUsed/>
    <w:rsid w:val="008944DE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8944DE"/>
  </w:style>
  <w:style w:type="table" w:styleId="Grille">
    <w:name w:val="Table Grid"/>
    <w:basedOn w:val="TableauNormal"/>
    <w:uiPriority w:val="1"/>
    <w:rsid w:val="008944DE"/>
    <w:rPr>
      <w:sz w:val="22"/>
      <w:szCs w:val="22"/>
      <w:lang w:val="fr-C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glossaryDocument" Target="glossary/document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glossary/document.xml><?xml version="1.0" encoding="utf-8"?>
<w:glossary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C421CE83C489854C9B156A6D258D37F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826B98F-9F53-DA4B-A74B-94913FCFE542}"/>
      </w:docPartPr>
      <w:docPartBody>
        <w:p w:rsidR="00A52C76" w:rsidRDefault="00A52C76" w:rsidP="00A52C76">
          <w:pPr>
            <w:pStyle w:val="C421CE83C489854C9B156A6D258D37F7"/>
          </w:pPr>
          <w:r>
            <w:t>[Tapez le nom de société]</w:t>
          </w:r>
        </w:p>
      </w:docPartBody>
    </w:docPart>
    <w:docPart>
      <w:docPartPr>
        <w:name w:val="5520A4576DB5924BB28FF6A8F88B58E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AED27DF-B823-DC49-A739-CD41C929B2DA}"/>
      </w:docPartPr>
      <w:docPartBody>
        <w:p w:rsidR="00A52C76" w:rsidRDefault="00A52C76" w:rsidP="00A52C76">
          <w:pPr>
            <w:pStyle w:val="5520A4576DB5924BB28FF6A8F88B58ED"/>
          </w:pPr>
          <w:r>
            <w:rPr>
              <w:b/>
              <w:bCs/>
            </w:rPr>
            <w:t>[Tapez le titre du document]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2C76"/>
    <w:rsid w:val="00A5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C421CE83C489854C9B156A6D258D37F7">
    <w:name w:val="C421CE83C489854C9B156A6D258D37F7"/>
    <w:rsid w:val="00A52C76"/>
  </w:style>
  <w:style w:type="paragraph" w:customStyle="1" w:styleId="5520A4576DB5924BB28FF6A8F88B58ED">
    <w:name w:val="5520A4576DB5924BB28FF6A8F88B58ED"/>
    <w:rsid w:val="00A52C76"/>
  </w:style>
</w:styles>
</file>

<file path=word/glossary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C421CE83C489854C9B156A6D258D37F7">
    <w:name w:val="C421CE83C489854C9B156A6D258D37F7"/>
    <w:rsid w:val="00A52C76"/>
  </w:style>
  <w:style w:type="paragraph" w:customStyle="1" w:styleId="5520A4576DB5924BB28FF6A8F88B58ED">
    <w:name w:val="5520A4576DB5924BB28FF6A8F88B58ED"/>
    <w:rsid w:val="00A52C7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FBAC166-C70C-B84B-8BDB-FA6AE89A60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</Pages>
  <Words>310</Words>
  <Characters>1711</Characters>
  <Application>Microsoft Macintosh Word</Application>
  <DocSecurity>0</DocSecurity>
  <Lines>14</Lines>
  <Paragraphs>4</Paragraphs>
  <ScaleCrop>false</ScaleCrop>
  <Company>FRA1710</Company>
  <LinksUpToDate>false</LinksUpToDate>
  <CharactersWithSpaces>2017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Université d’Ottawa</dc:title>
  <dc:subject/>
  <dc:creator>Laurie Jacques</dc:creator>
  <cp:keywords/>
  <dc:description/>
  <cp:lastModifiedBy>Laurie Jacques</cp:lastModifiedBy>
  <cp:revision>2</cp:revision>
  <dcterms:created xsi:type="dcterms:W3CDTF">2012-11-07T20:54:00Z</dcterms:created>
  <dcterms:modified xsi:type="dcterms:W3CDTF">2012-11-09T01:43:00Z</dcterms:modified>
</cp:coreProperties>
</file>