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983C11" w14:textId="77777777" w:rsidR="007D40A0" w:rsidRDefault="007D40A0">
      <w:pPr>
        <w:rPr>
          <w:rFonts w:ascii="Times New Roman" w:hAnsi="Times New Roman" w:cs="Times New Roman"/>
          <w:b/>
          <w:sz w:val="30"/>
          <w:szCs w:val="30"/>
          <w:u w:val="single"/>
        </w:rPr>
      </w:pPr>
    </w:p>
    <w:p w14:paraId="53450D73" w14:textId="77777777" w:rsidR="007D40A0" w:rsidRDefault="007D40A0">
      <w:pPr>
        <w:rPr>
          <w:rFonts w:ascii="Times New Roman" w:hAnsi="Times New Roman" w:cs="Times New Roman"/>
          <w:b/>
          <w:sz w:val="30"/>
          <w:szCs w:val="30"/>
          <w:u w:val="single"/>
        </w:rPr>
      </w:pPr>
    </w:p>
    <w:p w14:paraId="1B21D43D" w14:textId="77777777" w:rsidR="007D40A0" w:rsidRDefault="007D40A0">
      <w:pPr>
        <w:rPr>
          <w:rFonts w:ascii="Times New Roman" w:hAnsi="Times New Roman" w:cs="Times New Roman"/>
          <w:b/>
          <w:sz w:val="30"/>
          <w:szCs w:val="30"/>
          <w:u w:val="single"/>
        </w:rPr>
      </w:pPr>
    </w:p>
    <w:p w14:paraId="7BD7EB5E" w14:textId="77777777" w:rsidR="007D40A0" w:rsidRDefault="007D40A0">
      <w:pPr>
        <w:rPr>
          <w:rFonts w:ascii="Times New Roman" w:hAnsi="Times New Roman" w:cs="Times New Roman"/>
          <w:b/>
          <w:sz w:val="30"/>
          <w:szCs w:val="30"/>
          <w:u w:val="single"/>
        </w:rPr>
      </w:pPr>
    </w:p>
    <w:p w14:paraId="256D72BB" w14:textId="77777777" w:rsidR="007D40A0" w:rsidRDefault="007D40A0">
      <w:pPr>
        <w:rPr>
          <w:rFonts w:ascii="Times New Roman" w:hAnsi="Times New Roman" w:cs="Times New Roman"/>
          <w:b/>
          <w:sz w:val="30"/>
          <w:szCs w:val="30"/>
          <w:u w:val="single"/>
        </w:rPr>
      </w:pPr>
    </w:p>
    <w:p w14:paraId="72D733E4" w14:textId="77777777" w:rsidR="007D40A0" w:rsidRDefault="007D40A0">
      <w:pPr>
        <w:rPr>
          <w:rFonts w:ascii="Times New Roman" w:hAnsi="Times New Roman" w:cs="Times New Roman"/>
          <w:b/>
          <w:sz w:val="30"/>
          <w:szCs w:val="30"/>
          <w:u w:val="single"/>
        </w:rPr>
      </w:pPr>
    </w:p>
    <w:p w14:paraId="44EEA85D" w14:textId="77777777" w:rsidR="007D40A0" w:rsidRDefault="007D40A0">
      <w:pPr>
        <w:rPr>
          <w:rFonts w:ascii="Times New Roman" w:hAnsi="Times New Roman" w:cs="Times New Roman"/>
          <w:b/>
          <w:sz w:val="30"/>
          <w:szCs w:val="30"/>
          <w:u w:val="single"/>
        </w:rPr>
      </w:pPr>
    </w:p>
    <w:p w14:paraId="12BDDF6A" w14:textId="77777777" w:rsidR="007D40A0" w:rsidRDefault="007D40A0" w:rsidP="007D40A0">
      <w:pPr>
        <w:jc w:val="center"/>
        <w:rPr>
          <w:rFonts w:ascii="Times New Roman" w:hAnsi="Times New Roman" w:cs="Times New Roman"/>
          <w:b/>
          <w:sz w:val="30"/>
          <w:szCs w:val="30"/>
          <w:u w:val="single"/>
        </w:rPr>
      </w:pPr>
    </w:p>
    <w:p w14:paraId="1930A101" w14:textId="77777777" w:rsidR="007D40A0" w:rsidRDefault="007D40A0" w:rsidP="007D40A0">
      <w:pPr>
        <w:jc w:val="center"/>
        <w:rPr>
          <w:rFonts w:ascii="Times New Roman" w:hAnsi="Times New Roman" w:cs="Times New Roman"/>
          <w:b/>
          <w:sz w:val="30"/>
          <w:szCs w:val="30"/>
          <w:u w:val="single"/>
        </w:rPr>
      </w:pPr>
    </w:p>
    <w:p w14:paraId="799D5F61" w14:textId="77777777" w:rsidR="007D40A0" w:rsidRDefault="007D40A0" w:rsidP="007D40A0">
      <w:pPr>
        <w:jc w:val="center"/>
        <w:rPr>
          <w:rFonts w:ascii="Times New Roman" w:hAnsi="Times New Roman" w:cs="Times New Roman"/>
          <w:b/>
          <w:sz w:val="30"/>
          <w:szCs w:val="30"/>
          <w:u w:val="single"/>
        </w:rPr>
      </w:pPr>
    </w:p>
    <w:p w14:paraId="2560F909" w14:textId="77777777" w:rsidR="007D40A0" w:rsidRDefault="007D40A0" w:rsidP="007D40A0">
      <w:pPr>
        <w:jc w:val="center"/>
        <w:rPr>
          <w:rFonts w:ascii="Times New Roman" w:hAnsi="Times New Roman" w:cs="Times New Roman"/>
          <w:b/>
          <w:sz w:val="30"/>
          <w:szCs w:val="30"/>
          <w:u w:val="single"/>
        </w:rPr>
      </w:pPr>
    </w:p>
    <w:p w14:paraId="143E9E39" w14:textId="7A48F4C6" w:rsidR="00245302" w:rsidRPr="007D40A0" w:rsidRDefault="00565147" w:rsidP="00565147">
      <w:pPr>
        <w:jc w:val="center"/>
        <w:rPr>
          <w:rFonts w:ascii="Times New Roman" w:hAnsi="Times New Roman" w:cs="Times New Roman"/>
          <w:b/>
          <w:sz w:val="30"/>
          <w:szCs w:val="30"/>
          <w:u w:val="single"/>
        </w:rPr>
      </w:pPr>
      <w:r>
        <w:rPr>
          <w:rFonts w:ascii="Times New Roman" w:hAnsi="Times New Roman" w:cs="Times New Roman"/>
          <w:b/>
          <w:sz w:val="30"/>
          <w:szCs w:val="30"/>
          <w:u w:val="single"/>
        </w:rPr>
        <w:t>Alvin Plantinga’s</w:t>
      </w:r>
      <w:r w:rsidR="00105864" w:rsidRPr="007D40A0">
        <w:rPr>
          <w:rFonts w:ascii="Times New Roman" w:hAnsi="Times New Roman" w:cs="Times New Roman"/>
          <w:b/>
          <w:sz w:val="30"/>
          <w:szCs w:val="30"/>
          <w:u w:val="single"/>
        </w:rPr>
        <w:t xml:space="preserve"> </w:t>
      </w:r>
      <w:r>
        <w:rPr>
          <w:rFonts w:ascii="Times New Roman" w:hAnsi="Times New Roman" w:cs="Times New Roman"/>
          <w:b/>
          <w:sz w:val="30"/>
          <w:szCs w:val="30"/>
          <w:u w:val="single"/>
        </w:rPr>
        <w:t>“</w:t>
      </w:r>
      <w:r w:rsidR="00105864" w:rsidRPr="007D40A0">
        <w:rPr>
          <w:rFonts w:ascii="Times New Roman" w:hAnsi="Times New Roman" w:cs="Times New Roman"/>
          <w:b/>
          <w:sz w:val="30"/>
          <w:szCs w:val="30"/>
          <w:u w:val="single"/>
        </w:rPr>
        <w:t>Reformed Objection to Natural Theolo</w:t>
      </w:r>
      <w:r>
        <w:rPr>
          <w:rFonts w:ascii="Times New Roman" w:hAnsi="Times New Roman" w:cs="Times New Roman"/>
          <w:b/>
          <w:sz w:val="30"/>
          <w:szCs w:val="30"/>
          <w:u w:val="single"/>
        </w:rPr>
        <w:t xml:space="preserve">gy” </w:t>
      </w:r>
    </w:p>
    <w:p w14:paraId="41489CEA" w14:textId="77777777" w:rsidR="007D40A0" w:rsidRDefault="007D40A0">
      <w:pPr>
        <w:rPr>
          <w:rFonts w:ascii="Times New Roman" w:hAnsi="Times New Roman" w:cs="Times New Roman"/>
          <w:sz w:val="24"/>
          <w:szCs w:val="24"/>
        </w:rPr>
      </w:pPr>
    </w:p>
    <w:p w14:paraId="19B89D4B" w14:textId="77777777" w:rsidR="007D40A0" w:rsidRDefault="007D40A0">
      <w:pPr>
        <w:rPr>
          <w:rFonts w:ascii="Times New Roman" w:hAnsi="Times New Roman" w:cs="Times New Roman"/>
          <w:sz w:val="24"/>
          <w:szCs w:val="24"/>
        </w:rPr>
      </w:pPr>
    </w:p>
    <w:p w14:paraId="5A770961" w14:textId="77777777" w:rsidR="007D40A0" w:rsidRDefault="007D40A0">
      <w:pPr>
        <w:rPr>
          <w:rFonts w:ascii="Times New Roman" w:hAnsi="Times New Roman" w:cs="Times New Roman"/>
          <w:sz w:val="24"/>
          <w:szCs w:val="24"/>
        </w:rPr>
      </w:pPr>
    </w:p>
    <w:p w14:paraId="23AFC4DA" w14:textId="77777777" w:rsidR="007D40A0" w:rsidRDefault="007D40A0">
      <w:pPr>
        <w:rPr>
          <w:rFonts w:ascii="Times New Roman" w:hAnsi="Times New Roman" w:cs="Times New Roman"/>
          <w:sz w:val="24"/>
          <w:szCs w:val="24"/>
        </w:rPr>
      </w:pPr>
    </w:p>
    <w:p w14:paraId="291FA747" w14:textId="77777777" w:rsidR="007D40A0" w:rsidRDefault="007D40A0">
      <w:pPr>
        <w:rPr>
          <w:rFonts w:ascii="Times New Roman" w:hAnsi="Times New Roman" w:cs="Times New Roman"/>
          <w:sz w:val="24"/>
          <w:szCs w:val="24"/>
        </w:rPr>
      </w:pPr>
    </w:p>
    <w:p w14:paraId="3E611E98" w14:textId="77777777" w:rsidR="007D40A0" w:rsidRPr="007D40A0" w:rsidRDefault="007D40A0">
      <w:pPr>
        <w:rPr>
          <w:rFonts w:ascii="Times New Roman" w:hAnsi="Times New Roman" w:cs="Times New Roman"/>
          <w:sz w:val="24"/>
          <w:szCs w:val="24"/>
        </w:rPr>
      </w:pPr>
    </w:p>
    <w:p w14:paraId="2EDF71DB" w14:textId="77777777" w:rsidR="007D40A0" w:rsidRDefault="007D40A0" w:rsidP="007D40A0">
      <w:pPr>
        <w:jc w:val="right"/>
        <w:rPr>
          <w:rFonts w:ascii="Times New Roman" w:hAnsi="Times New Roman" w:cs="Times New Roman"/>
          <w:b/>
          <w:sz w:val="24"/>
          <w:szCs w:val="24"/>
        </w:rPr>
      </w:pPr>
    </w:p>
    <w:p w14:paraId="4D1FA0B8" w14:textId="77777777" w:rsidR="007D40A0" w:rsidRDefault="007D40A0" w:rsidP="007D40A0">
      <w:pPr>
        <w:jc w:val="right"/>
        <w:rPr>
          <w:rFonts w:ascii="Times New Roman" w:hAnsi="Times New Roman" w:cs="Times New Roman"/>
          <w:b/>
          <w:sz w:val="24"/>
          <w:szCs w:val="24"/>
        </w:rPr>
      </w:pPr>
    </w:p>
    <w:p w14:paraId="51659B98" w14:textId="77777777" w:rsidR="007D40A0" w:rsidRDefault="007D40A0" w:rsidP="007D40A0">
      <w:pPr>
        <w:jc w:val="right"/>
        <w:rPr>
          <w:rFonts w:ascii="Times New Roman" w:hAnsi="Times New Roman" w:cs="Times New Roman"/>
          <w:b/>
          <w:sz w:val="24"/>
          <w:szCs w:val="24"/>
        </w:rPr>
      </w:pPr>
    </w:p>
    <w:p w14:paraId="420EED83" w14:textId="77777777" w:rsidR="007D40A0" w:rsidRDefault="007D40A0" w:rsidP="007D40A0">
      <w:pPr>
        <w:jc w:val="right"/>
        <w:rPr>
          <w:rFonts w:ascii="Times New Roman" w:hAnsi="Times New Roman" w:cs="Times New Roman"/>
          <w:b/>
          <w:sz w:val="24"/>
          <w:szCs w:val="24"/>
        </w:rPr>
      </w:pPr>
    </w:p>
    <w:p w14:paraId="51BA8584" w14:textId="77777777" w:rsidR="00105864" w:rsidRPr="007D40A0" w:rsidRDefault="00105864" w:rsidP="007D40A0">
      <w:pPr>
        <w:jc w:val="right"/>
        <w:rPr>
          <w:rFonts w:ascii="Times New Roman" w:hAnsi="Times New Roman" w:cs="Times New Roman"/>
          <w:sz w:val="24"/>
          <w:szCs w:val="24"/>
        </w:rPr>
      </w:pPr>
      <w:r w:rsidRPr="007D40A0">
        <w:rPr>
          <w:rFonts w:ascii="Times New Roman" w:hAnsi="Times New Roman" w:cs="Times New Roman"/>
          <w:b/>
          <w:sz w:val="24"/>
          <w:szCs w:val="24"/>
        </w:rPr>
        <w:t>Name:</w:t>
      </w:r>
      <w:r w:rsidRPr="007D40A0">
        <w:rPr>
          <w:rFonts w:ascii="Times New Roman" w:hAnsi="Times New Roman" w:cs="Times New Roman"/>
          <w:sz w:val="24"/>
          <w:szCs w:val="24"/>
        </w:rPr>
        <w:t xml:space="preserve"> Sahana Bhardwaj</w:t>
      </w:r>
    </w:p>
    <w:p w14:paraId="7BA10B5E" w14:textId="77777777" w:rsidR="00105864" w:rsidRPr="007D40A0" w:rsidRDefault="007D40A0" w:rsidP="007D40A0">
      <w:pPr>
        <w:jc w:val="right"/>
        <w:rPr>
          <w:rFonts w:ascii="Times New Roman" w:hAnsi="Times New Roman" w:cs="Times New Roman"/>
          <w:sz w:val="24"/>
          <w:szCs w:val="24"/>
        </w:rPr>
      </w:pPr>
      <w:r w:rsidRPr="007D40A0">
        <w:rPr>
          <w:rFonts w:ascii="Times New Roman" w:hAnsi="Times New Roman" w:cs="Times New Roman"/>
          <w:b/>
          <w:sz w:val="24"/>
          <w:szCs w:val="24"/>
        </w:rPr>
        <w:t>Student Number:</w:t>
      </w:r>
      <w:r w:rsidRPr="007D40A0">
        <w:rPr>
          <w:rFonts w:ascii="Times New Roman" w:hAnsi="Times New Roman" w:cs="Times New Roman"/>
          <w:sz w:val="24"/>
          <w:szCs w:val="24"/>
        </w:rPr>
        <w:t xml:space="preserve"> 0600771</w:t>
      </w:r>
    </w:p>
    <w:p w14:paraId="6C3DFCFF" w14:textId="77777777" w:rsidR="007D40A0" w:rsidRPr="007D40A0" w:rsidRDefault="007D40A0" w:rsidP="007D40A0">
      <w:pPr>
        <w:jc w:val="right"/>
        <w:rPr>
          <w:rFonts w:ascii="Times New Roman" w:hAnsi="Times New Roman" w:cs="Times New Roman"/>
          <w:sz w:val="24"/>
          <w:szCs w:val="24"/>
        </w:rPr>
      </w:pPr>
      <w:r w:rsidRPr="007D40A0">
        <w:rPr>
          <w:rFonts w:ascii="Times New Roman" w:hAnsi="Times New Roman" w:cs="Times New Roman"/>
          <w:b/>
          <w:sz w:val="24"/>
          <w:szCs w:val="24"/>
        </w:rPr>
        <w:t>Professor:</w:t>
      </w:r>
      <w:r w:rsidRPr="007D40A0">
        <w:rPr>
          <w:rFonts w:ascii="Times New Roman" w:hAnsi="Times New Roman" w:cs="Times New Roman"/>
          <w:sz w:val="24"/>
          <w:szCs w:val="24"/>
        </w:rPr>
        <w:t xml:space="preserve"> Douglas </w:t>
      </w:r>
      <w:proofErr w:type="spellStart"/>
      <w:r w:rsidRPr="007D40A0">
        <w:rPr>
          <w:rFonts w:ascii="Times New Roman" w:hAnsi="Times New Roman" w:cs="Times New Roman"/>
          <w:sz w:val="24"/>
          <w:szCs w:val="24"/>
        </w:rPr>
        <w:t>McDermid</w:t>
      </w:r>
      <w:proofErr w:type="spellEnd"/>
      <w:r w:rsidRPr="007D40A0">
        <w:rPr>
          <w:rFonts w:ascii="Times New Roman" w:hAnsi="Times New Roman" w:cs="Times New Roman"/>
          <w:sz w:val="24"/>
          <w:szCs w:val="24"/>
        </w:rPr>
        <w:t xml:space="preserve"> </w:t>
      </w:r>
    </w:p>
    <w:p w14:paraId="211FB98D" w14:textId="246F2426" w:rsidR="007D40A0" w:rsidRDefault="007D40A0" w:rsidP="003D495F">
      <w:pPr>
        <w:jc w:val="right"/>
        <w:rPr>
          <w:rFonts w:ascii="Times New Roman" w:hAnsi="Times New Roman" w:cs="Times New Roman"/>
          <w:sz w:val="24"/>
          <w:szCs w:val="24"/>
        </w:rPr>
      </w:pPr>
      <w:r w:rsidRPr="007D40A0">
        <w:rPr>
          <w:rFonts w:ascii="Times New Roman" w:hAnsi="Times New Roman" w:cs="Times New Roman"/>
          <w:b/>
          <w:sz w:val="24"/>
          <w:szCs w:val="24"/>
        </w:rPr>
        <w:t>Date:</w:t>
      </w:r>
      <w:r w:rsidRPr="007D40A0">
        <w:rPr>
          <w:rFonts w:ascii="Times New Roman" w:hAnsi="Times New Roman" w:cs="Times New Roman"/>
          <w:sz w:val="24"/>
          <w:szCs w:val="24"/>
        </w:rPr>
        <w:t xml:space="preserve"> Friday </w:t>
      </w:r>
      <w:r w:rsidR="003D495F">
        <w:rPr>
          <w:rFonts w:ascii="Times New Roman" w:hAnsi="Times New Roman" w:cs="Times New Roman"/>
          <w:sz w:val="24"/>
          <w:szCs w:val="24"/>
        </w:rPr>
        <w:t>February</w:t>
      </w:r>
      <w:r w:rsidRPr="007D40A0">
        <w:rPr>
          <w:rFonts w:ascii="Times New Roman" w:hAnsi="Times New Roman" w:cs="Times New Roman"/>
          <w:sz w:val="24"/>
          <w:szCs w:val="24"/>
        </w:rPr>
        <w:t>, 2</w:t>
      </w:r>
      <w:r w:rsidR="003D495F">
        <w:rPr>
          <w:rFonts w:ascii="Times New Roman" w:hAnsi="Times New Roman" w:cs="Times New Roman"/>
          <w:sz w:val="24"/>
          <w:szCs w:val="24"/>
        </w:rPr>
        <w:t>nd</w:t>
      </w:r>
      <w:r w:rsidRPr="007D40A0">
        <w:rPr>
          <w:rFonts w:ascii="Times New Roman" w:hAnsi="Times New Roman" w:cs="Times New Roman"/>
          <w:sz w:val="24"/>
          <w:szCs w:val="24"/>
        </w:rPr>
        <w:t xml:space="preserve"> 2018 </w:t>
      </w:r>
    </w:p>
    <w:p w14:paraId="71CBDC35" w14:textId="6A7CE0DB" w:rsidR="008425A6" w:rsidRDefault="007D40A0" w:rsidP="00AE08E4">
      <w:pPr>
        <w:spacing w:line="240" w:lineRule="auto"/>
        <w:ind w:firstLine="720"/>
        <w:rPr>
          <w:rFonts w:ascii="Times New Roman" w:hAnsi="Times New Roman" w:cs="Times New Roman"/>
          <w:sz w:val="24"/>
          <w:szCs w:val="24"/>
        </w:rPr>
      </w:pPr>
      <w:r>
        <w:rPr>
          <w:rFonts w:ascii="Times New Roman" w:hAnsi="Times New Roman" w:cs="Times New Roman"/>
          <w:sz w:val="24"/>
          <w:szCs w:val="24"/>
        </w:rPr>
        <w:lastRenderedPageBreak/>
        <w:t xml:space="preserve">In his </w:t>
      </w:r>
      <w:r w:rsidR="00B25002">
        <w:rPr>
          <w:rFonts w:ascii="Times New Roman" w:hAnsi="Times New Roman" w:cs="Times New Roman"/>
          <w:sz w:val="24"/>
          <w:szCs w:val="24"/>
        </w:rPr>
        <w:t>meaningful</w:t>
      </w:r>
      <w:r>
        <w:rPr>
          <w:rFonts w:ascii="Times New Roman" w:hAnsi="Times New Roman" w:cs="Times New Roman"/>
          <w:sz w:val="24"/>
          <w:szCs w:val="24"/>
        </w:rPr>
        <w:t xml:space="preserve"> </w:t>
      </w:r>
      <w:r w:rsidR="003873F7">
        <w:rPr>
          <w:rFonts w:ascii="Times New Roman" w:hAnsi="Times New Roman" w:cs="Times New Roman"/>
          <w:sz w:val="24"/>
          <w:szCs w:val="24"/>
        </w:rPr>
        <w:t>1980</w:t>
      </w:r>
      <w:r>
        <w:rPr>
          <w:rFonts w:ascii="Times New Roman" w:hAnsi="Times New Roman" w:cs="Times New Roman"/>
          <w:sz w:val="24"/>
          <w:szCs w:val="24"/>
        </w:rPr>
        <w:t xml:space="preserve"> essay</w:t>
      </w:r>
      <w:r w:rsidR="00DF2BFD">
        <w:rPr>
          <w:rFonts w:ascii="Times New Roman" w:hAnsi="Times New Roman" w:cs="Times New Roman"/>
          <w:sz w:val="24"/>
          <w:szCs w:val="24"/>
        </w:rPr>
        <w:t xml:space="preserve"> “</w:t>
      </w:r>
      <w:r w:rsidR="00DF2BFD" w:rsidRPr="00DF2BFD">
        <w:rPr>
          <w:rFonts w:ascii="Times New Roman" w:hAnsi="Times New Roman" w:cs="Times New Roman"/>
          <w:i/>
          <w:sz w:val="24"/>
          <w:szCs w:val="24"/>
        </w:rPr>
        <w:t>Reformed Objection to Natural Theology</w:t>
      </w:r>
      <w:r w:rsidR="00DF2BFD">
        <w:rPr>
          <w:rFonts w:ascii="Times New Roman" w:hAnsi="Times New Roman" w:cs="Times New Roman"/>
          <w:sz w:val="24"/>
          <w:szCs w:val="24"/>
        </w:rPr>
        <w:t xml:space="preserve">” </w:t>
      </w:r>
      <w:r w:rsidR="00E80A26">
        <w:rPr>
          <w:rFonts w:ascii="Times New Roman" w:hAnsi="Times New Roman" w:cs="Times New Roman"/>
          <w:sz w:val="24"/>
          <w:szCs w:val="24"/>
        </w:rPr>
        <w:t xml:space="preserve">Alvin Plantinga </w:t>
      </w:r>
      <w:r w:rsidR="00207E90">
        <w:rPr>
          <w:rFonts w:ascii="Times New Roman" w:hAnsi="Times New Roman" w:cs="Times New Roman"/>
          <w:sz w:val="24"/>
          <w:szCs w:val="24"/>
        </w:rPr>
        <w:t>creates a</w:t>
      </w:r>
      <w:r w:rsidR="00E80A26">
        <w:rPr>
          <w:rFonts w:ascii="Times New Roman" w:hAnsi="Times New Roman" w:cs="Times New Roman"/>
          <w:sz w:val="24"/>
          <w:szCs w:val="24"/>
        </w:rPr>
        <w:t xml:space="preserve"> focus on the certain epistemological philosophy of “classical foundationalism” along with its seeming faults</w:t>
      </w:r>
      <w:r w:rsidR="007B36B7">
        <w:rPr>
          <w:rFonts w:ascii="Times New Roman" w:hAnsi="Times New Roman" w:cs="Times New Roman"/>
          <w:sz w:val="24"/>
          <w:szCs w:val="24"/>
        </w:rPr>
        <w:t xml:space="preserve">. This paper analyzes the existence of God and how to go about proving that from the perspective of the Reformed traditions, if, that is, we should even be attempting to prove God’s existence at all. </w:t>
      </w:r>
    </w:p>
    <w:p w14:paraId="08BB3D2E" w14:textId="76EB8611" w:rsidR="007B462C" w:rsidRDefault="007B36B7" w:rsidP="00AE08E4">
      <w:pPr>
        <w:spacing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Plantinga starts off by </w:t>
      </w:r>
      <w:r w:rsidR="007B462C">
        <w:rPr>
          <w:rFonts w:ascii="Times New Roman" w:hAnsi="Times New Roman" w:cs="Times New Roman"/>
          <w:sz w:val="24"/>
          <w:szCs w:val="24"/>
        </w:rPr>
        <w:t xml:space="preserve">introducing the fundamentals for Reformed epistemology which is a certain approach to understanding religious knowledge. Plantinga shares that proving the existence of God on the basis of natural theology has been rejected, by most reformed Christians, on the fact that God’s existence cannot be proven by reasoning and endless argumentation. </w:t>
      </w:r>
      <w:r w:rsidR="0093574D">
        <w:rPr>
          <w:rFonts w:ascii="Times New Roman" w:hAnsi="Times New Roman" w:cs="Times New Roman"/>
          <w:sz w:val="24"/>
          <w:szCs w:val="24"/>
        </w:rPr>
        <w:t>They trust that a belief based on proofs is a wretched faith, a belief full of flaws. Hermann Bavinck a 19</w:t>
      </w:r>
      <w:r w:rsidR="0093574D" w:rsidRPr="0093574D">
        <w:rPr>
          <w:rFonts w:ascii="Times New Roman" w:hAnsi="Times New Roman" w:cs="Times New Roman"/>
          <w:sz w:val="24"/>
          <w:szCs w:val="24"/>
          <w:vertAlign w:val="superscript"/>
        </w:rPr>
        <w:t>th</w:t>
      </w:r>
      <w:r w:rsidR="0093574D">
        <w:rPr>
          <w:rFonts w:ascii="Times New Roman" w:hAnsi="Times New Roman" w:cs="Times New Roman"/>
          <w:sz w:val="24"/>
          <w:szCs w:val="24"/>
        </w:rPr>
        <w:t xml:space="preserve"> century Dutch theologian argues that “a believer does not need natural theology in order to achieve rationality or epistemic propriety in believing; his belief in God can be perfectly rational even if he has no appropriate argument, deductive or inductive, for the existence of God, indeed </w:t>
      </w:r>
      <w:r w:rsidR="00BE50ED">
        <w:rPr>
          <w:rFonts w:ascii="Times New Roman" w:hAnsi="Times New Roman" w:cs="Times New Roman"/>
          <w:sz w:val="24"/>
          <w:szCs w:val="24"/>
        </w:rPr>
        <w:t xml:space="preserve">even if there is no such argument.” (Plantinga, 57). </w:t>
      </w:r>
      <w:r w:rsidR="004A35FA">
        <w:rPr>
          <w:rFonts w:ascii="Times New Roman" w:hAnsi="Times New Roman" w:cs="Times New Roman"/>
          <w:sz w:val="24"/>
          <w:szCs w:val="24"/>
        </w:rPr>
        <w:t xml:space="preserve">Bavinck claims that we cannot come to knowing of God’s existence on the basis of arguments, while making a reference to such a belief that resembles a belief in the existence of the external world and of the self that typically is not questioned or needed of evidence. </w:t>
      </w:r>
      <w:r w:rsidR="000C5C6A">
        <w:rPr>
          <w:rFonts w:ascii="Times New Roman" w:hAnsi="Times New Roman" w:cs="Times New Roman"/>
          <w:sz w:val="24"/>
          <w:szCs w:val="24"/>
        </w:rPr>
        <w:t xml:space="preserve">“Scripture urges us to behold the heaven and earth, birds and flowers and lilies, in order that we may see and recognize God in them.” (Plantinga, 49). </w:t>
      </w:r>
      <w:r w:rsidR="004A35FA">
        <w:rPr>
          <w:rFonts w:ascii="Times New Roman" w:hAnsi="Times New Roman" w:cs="Times New Roman"/>
          <w:sz w:val="24"/>
          <w:szCs w:val="24"/>
        </w:rPr>
        <w:t xml:space="preserve">According to John Calvin, </w:t>
      </w:r>
      <w:r w:rsidR="00994333">
        <w:rPr>
          <w:rFonts w:ascii="Times New Roman" w:hAnsi="Times New Roman" w:cs="Times New Roman"/>
          <w:sz w:val="24"/>
          <w:szCs w:val="24"/>
        </w:rPr>
        <w:t xml:space="preserve">“God has created us in such a way that we have a strong tendency to have a belief in him.” </w:t>
      </w:r>
      <w:r w:rsidR="00F11F80">
        <w:rPr>
          <w:rFonts w:ascii="Times New Roman" w:hAnsi="Times New Roman" w:cs="Times New Roman"/>
          <w:sz w:val="24"/>
          <w:szCs w:val="24"/>
        </w:rPr>
        <w:t xml:space="preserve">He claims that one who agrees with this propensity would accept the belief that God has created the world, perhaps upon beholding the starry heavens, is entirely within in epistemic rights to do so. One’s belief can be perfectly rational despite the proofs. Calvin strongly has faith in that a belief in the existence of God based on rational arguments is unstable and vacillating, </w:t>
      </w:r>
      <w:r w:rsidR="000C5C6A">
        <w:rPr>
          <w:rFonts w:ascii="Times New Roman" w:hAnsi="Times New Roman" w:cs="Times New Roman"/>
          <w:sz w:val="24"/>
          <w:szCs w:val="24"/>
        </w:rPr>
        <w:t>giving a comparison to having a belief in the existence of your spouse on the basis of an argument.</w:t>
      </w:r>
      <w:r w:rsidR="007B462C">
        <w:rPr>
          <w:rFonts w:ascii="Times New Roman" w:hAnsi="Times New Roman" w:cs="Times New Roman"/>
          <w:sz w:val="24"/>
          <w:szCs w:val="24"/>
        </w:rPr>
        <w:t xml:space="preserve"> “The Reformers mean to say, fundamentally, that a belief in God can properly be taken as basic</w:t>
      </w:r>
      <w:r w:rsidR="000F36C2">
        <w:rPr>
          <w:rFonts w:ascii="Times New Roman" w:hAnsi="Times New Roman" w:cs="Times New Roman"/>
          <w:sz w:val="24"/>
          <w:szCs w:val="24"/>
        </w:rPr>
        <w:t xml:space="preserve">.” </w:t>
      </w:r>
    </w:p>
    <w:p w14:paraId="2FBA4569" w14:textId="511E8EAF" w:rsidR="008C6481" w:rsidRDefault="00F2403E" w:rsidP="00AE08E4">
      <w:pPr>
        <w:spacing w:line="240" w:lineRule="auto"/>
        <w:ind w:firstLine="720"/>
        <w:rPr>
          <w:rFonts w:ascii="Times New Roman" w:hAnsi="Times New Roman" w:cs="Times New Roman"/>
          <w:sz w:val="24"/>
          <w:szCs w:val="24"/>
        </w:rPr>
      </w:pPr>
      <w:r>
        <w:rPr>
          <w:rFonts w:ascii="Times New Roman" w:hAnsi="Times New Roman" w:cs="Times New Roman"/>
          <w:sz w:val="24"/>
          <w:szCs w:val="24"/>
        </w:rPr>
        <w:t>Considering</w:t>
      </w:r>
      <w:r w:rsidR="000F36C2">
        <w:rPr>
          <w:rFonts w:ascii="Times New Roman" w:hAnsi="Times New Roman" w:cs="Times New Roman"/>
          <w:sz w:val="24"/>
          <w:szCs w:val="24"/>
        </w:rPr>
        <w:t xml:space="preserve"> that a belief towards the existence of God is basic, reformers reject the idea of classical foundationalism. Despite its dominance Plantinga describes the classical foundationalist view as a justification of knowledge which places commitments and compulsions on the knower to with respect to what they believe. </w:t>
      </w:r>
      <w:r w:rsidR="00757BFD">
        <w:rPr>
          <w:rFonts w:ascii="Times New Roman" w:hAnsi="Times New Roman" w:cs="Times New Roman"/>
          <w:sz w:val="24"/>
          <w:szCs w:val="24"/>
        </w:rPr>
        <w:t>Classical foundationalism</w:t>
      </w:r>
      <w:r w:rsidR="007806C7">
        <w:rPr>
          <w:rFonts w:ascii="Times New Roman" w:hAnsi="Times New Roman" w:cs="Times New Roman"/>
          <w:sz w:val="24"/>
          <w:szCs w:val="24"/>
        </w:rPr>
        <w:t xml:space="preserve">, which is a normative thesis about how beliefs are to be structured and what constitutes rationality, is designed to protect belief systems from error by allowing only certain propositions to make up the foundation. This thereby only permits those propositions that are rightly related to the foundation to count for knowledge. </w:t>
      </w:r>
      <w:r w:rsidR="00240AAF">
        <w:rPr>
          <w:rFonts w:ascii="Times New Roman" w:hAnsi="Times New Roman" w:cs="Times New Roman"/>
          <w:sz w:val="24"/>
          <w:szCs w:val="24"/>
        </w:rPr>
        <w:t xml:space="preserve">Plantinga believes “To be rational is to exercise one’s epistemic </w:t>
      </w:r>
      <w:r w:rsidR="00DD335C">
        <w:rPr>
          <w:rFonts w:ascii="Times New Roman" w:hAnsi="Times New Roman" w:cs="Times New Roman"/>
          <w:sz w:val="24"/>
          <w:szCs w:val="24"/>
        </w:rPr>
        <w:t>powers</w:t>
      </w:r>
      <w:r w:rsidR="00DD335C" w:rsidRPr="00491903">
        <w:rPr>
          <w:rFonts w:ascii="Times New Roman" w:hAnsi="Times New Roman" w:cs="Times New Roman"/>
          <w:i/>
          <w:sz w:val="24"/>
          <w:szCs w:val="24"/>
        </w:rPr>
        <w:t xml:space="preserve"> properly</w:t>
      </w:r>
      <w:r w:rsidR="00DD335C">
        <w:rPr>
          <w:rFonts w:ascii="Times New Roman" w:hAnsi="Times New Roman" w:cs="Times New Roman"/>
          <w:sz w:val="24"/>
          <w:szCs w:val="24"/>
        </w:rPr>
        <w:t>, to exercise them in such a way as to go contrary to none of the norms for such exercise” (</w:t>
      </w:r>
      <w:r w:rsidR="00976F3B">
        <w:rPr>
          <w:rFonts w:ascii="Times New Roman" w:hAnsi="Times New Roman" w:cs="Times New Roman"/>
          <w:sz w:val="24"/>
          <w:szCs w:val="24"/>
        </w:rPr>
        <w:t>Plantinga,</w:t>
      </w:r>
      <w:r w:rsidR="00B25002">
        <w:rPr>
          <w:rFonts w:ascii="Times New Roman" w:hAnsi="Times New Roman" w:cs="Times New Roman"/>
          <w:sz w:val="24"/>
          <w:szCs w:val="24"/>
        </w:rPr>
        <w:t xml:space="preserve"> </w:t>
      </w:r>
      <w:r w:rsidR="00DD335C">
        <w:rPr>
          <w:rFonts w:ascii="Times New Roman" w:hAnsi="Times New Roman" w:cs="Times New Roman"/>
          <w:sz w:val="24"/>
          <w:szCs w:val="24"/>
        </w:rPr>
        <w:t xml:space="preserve">54). </w:t>
      </w:r>
    </w:p>
    <w:p w14:paraId="793C2E0C" w14:textId="58F25A46" w:rsidR="0029063E" w:rsidRDefault="008C6481" w:rsidP="00AE08E4">
      <w:pPr>
        <w:spacing w:line="240" w:lineRule="auto"/>
        <w:rPr>
          <w:rFonts w:ascii="Times New Roman" w:hAnsi="Times New Roman" w:cs="Times New Roman"/>
          <w:sz w:val="24"/>
          <w:szCs w:val="24"/>
        </w:rPr>
      </w:pPr>
      <w:r>
        <w:rPr>
          <w:rFonts w:ascii="Times New Roman" w:hAnsi="Times New Roman" w:cs="Times New Roman"/>
          <w:sz w:val="24"/>
          <w:szCs w:val="24"/>
        </w:rPr>
        <w:tab/>
        <w:t xml:space="preserve">He begins by putting forth the conditions of proper </w:t>
      </w:r>
      <w:proofErr w:type="spellStart"/>
      <w:r>
        <w:rPr>
          <w:rFonts w:ascii="Times New Roman" w:hAnsi="Times New Roman" w:cs="Times New Roman"/>
          <w:sz w:val="24"/>
          <w:szCs w:val="24"/>
        </w:rPr>
        <w:t>basicality</w:t>
      </w:r>
      <w:proofErr w:type="spellEnd"/>
      <w:r>
        <w:rPr>
          <w:rFonts w:ascii="Times New Roman" w:hAnsi="Times New Roman" w:cs="Times New Roman"/>
          <w:sz w:val="24"/>
          <w:szCs w:val="24"/>
        </w:rPr>
        <w:t xml:space="preserve">, which seems to be a need to establish for many foundationalists. </w:t>
      </w:r>
      <w:r w:rsidR="002F55C9">
        <w:rPr>
          <w:rFonts w:ascii="Times New Roman" w:hAnsi="Times New Roman" w:cs="Times New Roman"/>
          <w:sz w:val="24"/>
          <w:szCs w:val="24"/>
        </w:rPr>
        <w:t>A survey conducted on various versions of foundationalism</w:t>
      </w:r>
      <w:r w:rsidR="003B66C5">
        <w:rPr>
          <w:rFonts w:ascii="Times New Roman" w:hAnsi="Times New Roman" w:cs="Times New Roman"/>
          <w:sz w:val="24"/>
          <w:szCs w:val="24"/>
        </w:rPr>
        <w:t xml:space="preserve"> (modern, medieval and ancient)</w:t>
      </w:r>
      <w:r w:rsidR="002F55C9">
        <w:rPr>
          <w:rFonts w:ascii="Times New Roman" w:hAnsi="Times New Roman" w:cs="Times New Roman"/>
          <w:sz w:val="24"/>
          <w:szCs w:val="24"/>
        </w:rPr>
        <w:t xml:space="preserve"> leads </w:t>
      </w:r>
      <w:r w:rsidR="00AF0C33">
        <w:rPr>
          <w:rFonts w:ascii="Times New Roman" w:hAnsi="Times New Roman" w:cs="Times New Roman"/>
          <w:sz w:val="24"/>
          <w:szCs w:val="24"/>
        </w:rPr>
        <w:t>to</w:t>
      </w:r>
      <w:r w:rsidR="00A825AA">
        <w:rPr>
          <w:rFonts w:ascii="Times New Roman" w:hAnsi="Times New Roman" w:cs="Times New Roman"/>
          <w:sz w:val="24"/>
          <w:szCs w:val="24"/>
        </w:rPr>
        <w:t xml:space="preserve"> Plantinga</w:t>
      </w:r>
      <w:r w:rsidR="002F55C9">
        <w:rPr>
          <w:rFonts w:ascii="Times New Roman" w:hAnsi="Times New Roman" w:cs="Times New Roman"/>
          <w:sz w:val="24"/>
          <w:szCs w:val="24"/>
        </w:rPr>
        <w:t xml:space="preserve"> conclud</w:t>
      </w:r>
      <w:r w:rsidR="00AF0C33">
        <w:rPr>
          <w:rFonts w:ascii="Times New Roman" w:hAnsi="Times New Roman" w:cs="Times New Roman"/>
          <w:sz w:val="24"/>
          <w:szCs w:val="24"/>
        </w:rPr>
        <w:t>ing</w:t>
      </w:r>
      <w:r w:rsidR="002F55C9">
        <w:rPr>
          <w:rFonts w:ascii="Times New Roman" w:hAnsi="Times New Roman" w:cs="Times New Roman"/>
          <w:sz w:val="24"/>
          <w:szCs w:val="24"/>
        </w:rPr>
        <w:t xml:space="preserve"> that there are three types of propositions that are taken into account for proper </w:t>
      </w:r>
      <w:proofErr w:type="spellStart"/>
      <w:r w:rsidR="002F55C9">
        <w:rPr>
          <w:rFonts w:ascii="Times New Roman" w:hAnsi="Times New Roman" w:cs="Times New Roman"/>
          <w:sz w:val="24"/>
          <w:szCs w:val="24"/>
        </w:rPr>
        <w:t>basicality</w:t>
      </w:r>
      <w:proofErr w:type="spellEnd"/>
      <w:r w:rsidR="002F55C9">
        <w:rPr>
          <w:rFonts w:ascii="Times New Roman" w:hAnsi="Times New Roman" w:cs="Times New Roman"/>
          <w:sz w:val="24"/>
          <w:szCs w:val="24"/>
        </w:rPr>
        <w:t xml:space="preserve">. First, a proposition is properly basic if it is self-evident, which is to say “one can simply begin to agree upon grasping or understanding it. Understanding a self-evident truth is adequate for comprehending its truth.” (Plantinga 56). </w:t>
      </w:r>
      <w:r w:rsidR="00AF0C33">
        <w:rPr>
          <w:rFonts w:ascii="Times New Roman" w:hAnsi="Times New Roman" w:cs="Times New Roman"/>
          <w:sz w:val="24"/>
          <w:szCs w:val="24"/>
        </w:rPr>
        <w:t xml:space="preserve">The second kind of proposition that may play a role in the foundation of knowledge are truths that are evident to the senses. That is “perceptual propositions whose truth or falsehood we can determine </w:t>
      </w:r>
      <w:r w:rsidR="00A825AA">
        <w:rPr>
          <w:rFonts w:ascii="Times New Roman" w:hAnsi="Times New Roman" w:cs="Times New Roman"/>
          <w:sz w:val="24"/>
          <w:szCs w:val="24"/>
        </w:rPr>
        <w:t xml:space="preserve">by looking or by employing some other sense.” (Plantinga, 56). </w:t>
      </w:r>
      <w:r w:rsidR="00A825AA">
        <w:rPr>
          <w:rFonts w:ascii="Times New Roman" w:hAnsi="Times New Roman" w:cs="Times New Roman"/>
          <w:sz w:val="24"/>
          <w:szCs w:val="24"/>
        </w:rPr>
        <w:lastRenderedPageBreak/>
        <w:t>Plantinga believes that propositions such as; “there is a tree before me”, “I am wearing green shoes”, “that tree’s leaves are yellow” are good examples of truths that are evident to senses.</w:t>
      </w:r>
      <w:r w:rsidR="00622C94">
        <w:rPr>
          <w:rFonts w:ascii="Times New Roman" w:hAnsi="Times New Roman" w:cs="Times New Roman"/>
          <w:sz w:val="24"/>
          <w:szCs w:val="24"/>
        </w:rPr>
        <w:t xml:space="preserve"> </w:t>
      </w:r>
      <w:r w:rsidR="00A825AA">
        <w:rPr>
          <w:rFonts w:ascii="Times New Roman" w:hAnsi="Times New Roman" w:cs="Times New Roman"/>
          <w:sz w:val="24"/>
          <w:szCs w:val="24"/>
        </w:rPr>
        <w:t>Foundationalists like Descartes, argue that properly basic beliefs in a rational noetic struct</w:t>
      </w:r>
      <w:r w:rsidR="00622C94">
        <w:rPr>
          <w:rFonts w:ascii="Times New Roman" w:hAnsi="Times New Roman" w:cs="Times New Roman"/>
          <w:sz w:val="24"/>
          <w:szCs w:val="24"/>
        </w:rPr>
        <w:t>u</w:t>
      </w:r>
      <w:r w:rsidR="00A825AA">
        <w:rPr>
          <w:rFonts w:ascii="Times New Roman" w:hAnsi="Times New Roman" w:cs="Times New Roman"/>
          <w:sz w:val="24"/>
          <w:szCs w:val="24"/>
        </w:rPr>
        <w:t xml:space="preserve">re must hold certainty in some important sense. </w:t>
      </w:r>
      <w:r w:rsidR="003B66C5">
        <w:rPr>
          <w:rFonts w:ascii="Times New Roman" w:hAnsi="Times New Roman" w:cs="Times New Roman"/>
          <w:sz w:val="24"/>
          <w:szCs w:val="24"/>
        </w:rPr>
        <w:t>Therefore, properly basic beliefs would exclude certain propositions that are supposedly evident to the senses, for they may be subject to illusion and/or hallucinations</w:t>
      </w:r>
      <w:r w:rsidR="00A31F06">
        <w:rPr>
          <w:rFonts w:ascii="Times New Roman" w:hAnsi="Times New Roman" w:cs="Times New Roman"/>
          <w:sz w:val="24"/>
          <w:szCs w:val="24"/>
        </w:rPr>
        <w:t xml:space="preserve">. To avoid this, they </w:t>
      </w:r>
      <w:r w:rsidR="00876606">
        <w:rPr>
          <w:rFonts w:ascii="Times New Roman" w:hAnsi="Times New Roman" w:cs="Times New Roman"/>
          <w:sz w:val="24"/>
          <w:szCs w:val="24"/>
        </w:rPr>
        <w:t>involve</w:t>
      </w:r>
      <w:r w:rsidR="00A31F06">
        <w:rPr>
          <w:rFonts w:ascii="Times New Roman" w:hAnsi="Times New Roman" w:cs="Times New Roman"/>
          <w:sz w:val="24"/>
          <w:szCs w:val="24"/>
        </w:rPr>
        <w:t xml:space="preserve"> the more cautious claims </w:t>
      </w:r>
      <w:r w:rsidR="00876606">
        <w:rPr>
          <w:rFonts w:ascii="Times New Roman" w:hAnsi="Times New Roman" w:cs="Times New Roman"/>
          <w:sz w:val="24"/>
          <w:szCs w:val="24"/>
        </w:rPr>
        <w:t xml:space="preserve">about the state of one’s own inner, mental or conscious life which seems to prevent any error. Statements such as; “It seems to me that I see a tree”, or “I seem to see something green” is portrayed as incorrigible, which Plantinga defines in this context as; “p is incorrigible for S if and only if (a) it is not possible for S to believe p and p be false, and (b) it is not possible that S believe p and p be true.” (Plantinga, 57) </w:t>
      </w:r>
    </w:p>
    <w:p w14:paraId="3733F130" w14:textId="2F7884D9" w:rsidR="003F3873" w:rsidRDefault="0029063E" w:rsidP="00AE08E4">
      <w:pPr>
        <w:spacing w:line="240" w:lineRule="auto"/>
        <w:rPr>
          <w:rFonts w:ascii="Times New Roman" w:hAnsi="Times New Roman" w:cs="Times New Roman"/>
          <w:sz w:val="24"/>
          <w:szCs w:val="24"/>
        </w:rPr>
      </w:pPr>
      <w:r>
        <w:rPr>
          <w:rFonts w:ascii="Times New Roman" w:hAnsi="Times New Roman" w:cs="Times New Roman"/>
          <w:sz w:val="24"/>
          <w:szCs w:val="24"/>
        </w:rPr>
        <w:tab/>
        <w:t xml:space="preserve">Coming together, ancient, modern and medieval foundationalist would agree on the idea that a proposition is properly basic if and only if it is self-evident, evident to the senses and incorrigible. Foundationalism establishes what Plantinga calls a “rational noetic structure” and describes it as a person’s beliefs along with the way in which these beliefs relate to one another. </w:t>
      </w:r>
      <w:r w:rsidR="003F3873">
        <w:rPr>
          <w:rFonts w:ascii="Times New Roman" w:hAnsi="Times New Roman" w:cs="Times New Roman"/>
          <w:sz w:val="24"/>
          <w:szCs w:val="24"/>
        </w:rPr>
        <w:t xml:space="preserve">This means that no belief would be accepted that is not incorporated and/or rest on this foundation, or else one would fail to do the right thing with respect to one’s beliefs and epistemic duties (Plantinga, 54). </w:t>
      </w:r>
    </w:p>
    <w:p w14:paraId="222970CF" w14:textId="6D540C41" w:rsidR="00622C94" w:rsidRDefault="008B276E" w:rsidP="00AE08E4">
      <w:pPr>
        <w:spacing w:line="240" w:lineRule="auto"/>
        <w:rPr>
          <w:rFonts w:ascii="Times New Roman" w:hAnsi="Times New Roman" w:cs="Times New Roman"/>
          <w:color w:val="333333"/>
          <w:sz w:val="24"/>
          <w:szCs w:val="24"/>
        </w:rPr>
      </w:pPr>
      <w:r>
        <w:rPr>
          <w:rFonts w:ascii="Times New Roman" w:hAnsi="Times New Roman" w:cs="Times New Roman"/>
          <w:color w:val="333333"/>
          <w:sz w:val="24"/>
          <w:szCs w:val="24"/>
        </w:rPr>
        <w:tab/>
        <w:t>Having enlightened the place a classical foundationalist would hold, Plantinga returns to explaining how the objections presented earlier by Christian Reformers would be accepted into the idea of the noetic structure. Specifically, Plantinga</w:t>
      </w:r>
      <w:r w:rsidR="0079259A">
        <w:rPr>
          <w:rFonts w:ascii="Times New Roman" w:hAnsi="Times New Roman" w:cs="Times New Roman"/>
          <w:color w:val="333333"/>
          <w:sz w:val="24"/>
          <w:szCs w:val="24"/>
        </w:rPr>
        <w:t xml:space="preserve"> explains how the Reformed thinkers’ argumentation for logical proof in the existence of God would permit us to conclude that, Reformers could have likely argued that a belief in God is properly basic and rational noetic structures can include such a belief as a part of its </w:t>
      </w:r>
      <w:r w:rsidR="002D668D">
        <w:rPr>
          <w:rFonts w:ascii="Times New Roman" w:hAnsi="Times New Roman" w:cs="Times New Roman"/>
          <w:color w:val="333333"/>
          <w:sz w:val="24"/>
          <w:szCs w:val="24"/>
        </w:rPr>
        <w:t>foundation. Reformers did not accept the conception that the base of a rational noetic structure can only include intentions that are self-evident or incorrigible (</w:t>
      </w:r>
      <w:r w:rsidR="00B25002">
        <w:rPr>
          <w:rFonts w:ascii="Times New Roman" w:hAnsi="Times New Roman" w:cs="Times New Roman"/>
          <w:color w:val="333333"/>
          <w:sz w:val="24"/>
          <w:szCs w:val="24"/>
        </w:rPr>
        <w:t xml:space="preserve">Plantinga, </w:t>
      </w:r>
      <w:r w:rsidR="002D668D">
        <w:rPr>
          <w:rFonts w:ascii="Times New Roman" w:hAnsi="Times New Roman" w:cs="Times New Roman"/>
          <w:color w:val="333333"/>
          <w:sz w:val="24"/>
          <w:szCs w:val="24"/>
        </w:rPr>
        <w:t>57). Calvin thoroughly believed that not only</w:t>
      </w:r>
      <w:r w:rsidR="00F26080">
        <w:rPr>
          <w:rFonts w:ascii="Times New Roman" w:hAnsi="Times New Roman" w:cs="Times New Roman"/>
          <w:color w:val="333333"/>
          <w:sz w:val="24"/>
          <w:szCs w:val="24"/>
        </w:rPr>
        <w:t xml:space="preserve"> </w:t>
      </w:r>
      <w:r w:rsidR="008A4770">
        <w:rPr>
          <w:rFonts w:ascii="Times New Roman" w:hAnsi="Times New Roman" w:cs="Times New Roman"/>
          <w:color w:val="333333"/>
          <w:sz w:val="24"/>
          <w:szCs w:val="24"/>
        </w:rPr>
        <w:t xml:space="preserve">is </w:t>
      </w:r>
      <w:r w:rsidR="00F26080">
        <w:rPr>
          <w:rFonts w:ascii="Times New Roman" w:hAnsi="Times New Roman" w:cs="Times New Roman"/>
          <w:color w:val="333333"/>
          <w:sz w:val="24"/>
          <w:szCs w:val="24"/>
        </w:rPr>
        <w:t xml:space="preserve">the belief in God properly basic without further explanation of self-evidence or incorrigibility, but by being a properly basic belief, it allows one to </w:t>
      </w:r>
      <w:r w:rsidR="00F26080" w:rsidRPr="00F26080">
        <w:rPr>
          <w:rFonts w:ascii="Times New Roman" w:hAnsi="Times New Roman" w:cs="Times New Roman"/>
          <w:color w:val="333333"/>
          <w:sz w:val="24"/>
          <w:szCs w:val="24"/>
        </w:rPr>
        <w:t>know</w:t>
      </w:r>
      <w:r w:rsidR="00F26080">
        <w:rPr>
          <w:rFonts w:ascii="Times New Roman" w:hAnsi="Times New Roman" w:cs="Times New Roman"/>
          <w:color w:val="333333"/>
          <w:sz w:val="24"/>
          <w:szCs w:val="24"/>
        </w:rPr>
        <w:t xml:space="preserve"> that God exists. </w:t>
      </w:r>
      <w:r w:rsidR="00A3119E">
        <w:rPr>
          <w:rFonts w:ascii="Times New Roman" w:hAnsi="Times New Roman" w:cs="Times New Roman"/>
          <w:color w:val="333333"/>
          <w:sz w:val="24"/>
          <w:szCs w:val="24"/>
        </w:rPr>
        <w:t xml:space="preserve">To Plantinga, the result </w:t>
      </w:r>
      <w:r w:rsidR="00B15A84">
        <w:rPr>
          <w:rFonts w:ascii="Times New Roman" w:hAnsi="Times New Roman" w:cs="Times New Roman"/>
          <w:color w:val="333333"/>
          <w:sz w:val="24"/>
          <w:szCs w:val="24"/>
        </w:rPr>
        <w:t xml:space="preserve">of Bavinck’s belief is that “the believer does not need natural theology in order to achieve rationality or epistemic propriety in believing; his belief in God can be perfectly rational even if he has no appropriate argument, deductive or inductive, for the existence of God, indeed even if there is no such argument.” (Plantinga, 57). </w:t>
      </w:r>
    </w:p>
    <w:p w14:paraId="4FEF8019" w14:textId="77777777" w:rsidR="003C6D51" w:rsidRDefault="00F26080" w:rsidP="00AE08E4">
      <w:pPr>
        <w:spacing w:line="240" w:lineRule="auto"/>
        <w:rPr>
          <w:rFonts w:ascii="Times New Roman" w:hAnsi="Times New Roman" w:cs="Times New Roman"/>
          <w:color w:val="333333"/>
          <w:sz w:val="24"/>
          <w:szCs w:val="24"/>
        </w:rPr>
      </w:pPr>
      <w:r>
        <w:rPr>
          <w:rFonts w:ascii="Times New Roman" w:hAnsi="Times New Roman" w:cs="Times New Roman"/>
          <w:color w:val="333333"/>
          <w:sz w:val="24"/>
          <w:szCs w:val="24"/>
        </w:rPr>
        <w:tab/>
        <w:t xml:space="preserve">Prior to concluding, Plantinga reports to a common objection put forth against the Reformist epistemology, called “The Great Pumpkin Objection”. This objection raises the following problem: If belief in God is properly basic, is it not also possible to take as properly basic </w:t>
      </w:r>
      <w:r w:rsidR="00DB79FD">
        <w:rPr>
          <w:rFonts w:ascii="Times New Roman" w:hAnsi="Times New Roman" w:cs="Times New Roman"/>
          <w:color w:val="333333"/>
          <w:sz w:val="24"/>
          <w:szCs w:val="24"/>
        </w:rPr>
        <w:t xml:space="preserve">any sort of bizarre or preposterous notion by simply saying the same thing about the latter as is said about the former? </w:t>
      </w:r>
      <w:r w:rsidR="00CE50AA">
        <w:rPr>
          <w:rFonts w:ascii="Times New Roman" w:hAnsi="Times New Roman" w:cs="Times New Roman"/>
          <w:color w:val="333333"/>
          <w:sz w:val="24"/>
          <w:szCs w:val="24"/>
        </w:rPr>
        <w:t xml:space="preserve">Simply put, if belief in God is properly basic, why can’t any other belief be basic? </w:t>
      </w:r>
      <w:r w:rsidR="005E701F">
        <w:rPr>
          <w:rFonts w:ascii="Times New Roman" w:hAnsi="Times New Roman" w:cs="Times New Roman"/>
          <w:color w:val="333333"/>
          <w:sz w:val="24"/>
          <w:szCs w:val="24"/>
        </w:rPr>
        <w:t xml:space="preserve">The response to this question seems to lie within the misconception of how we appropriately come to or develop criteria for a properly basic belief. Hence, criteria for proper </w:t>
      </w:r>
      <w:proofErr w:type="spellStart"/>
      <w:r w:rsidR="005E701F">
        <w:rPr>
          <w:rFonts w:ascii="Times New Roman" w:hAnsi="Times New Roman" w:cs="Times New Roman"/>
          <w:color w:val="333333"/>
          <w:sz w:val="24"/>
          <w:szCs w:val="24"/>
        </w:rPr>
        <w:t>basicality</w:t>
      </w:r>
      <w:proofErr w:type="spellEnd"/>
      <w:r w:rsidR="005E701F">
        <w:rPr>
          <w:rFonts w:ascii="Times New Roman" w:hAnsi="Times New Roman" w:cs="Times New Roman"/>
          <w:color w:val="333333"/>
          <w:sz w:val="24"/>
          <w:szCs w:val="24"/>
        </w:rPr>
        <w:t xml:space="preserve"> must be achieved from below rather than above. Plantinga completes by presenting the idea that indeed the correct way to arrive </w:t>
      </w:r>
      <w:r w:rsidR="00CC2DA8">
        <w:rPr>
          <w:rFonts w:ascii="Times New Roman" w:hAnsi="Times New Roman" w:cs="Times New Roman"/>
          <w:color w:val="333333"/>
          <w:sz w:val="24"/>
          <w:szCs w:val="24"/>
        </w:rPr>
        <w:t xml:space="preserve">at a criterion for proper </w:t>
      </w:r>
      <w:proofErr w:type="spellStart"/>
      <w:r w:rsidR="00CC2DA8">
        <w:rPr>
          <w:rFonts w:ascii="Times New Roman" w:hAnsi="Times New Roman" w:cs="Times New Roman"/>
          <w:color w:val="333333"/>
          <w:sz w:val="24"/>
          <w:szCs w:val="24"/>
        </w:rPr>
        <w:t>basicality</w:t>
      </w:r>
      <w:proofErr w:type="spellEnd"/>
      <w:r w:rsidR="00CC2DA8">
        <w:rPr>
          <w:rFonts w:ascii="Times New Roman" w:hAnsi="Times New Roman" w:cs="Times New Roman"/>
          <w:color w:val="333333"/>
          <w:sz w:val="24"/>
          <w:szCs w:val="24"/>
        </w:rPr>
        <w:t xml:space="preserve"> would be to use the methods of induction (using examples of beliefs within certain conditions and then moving to other examples and conditions while seeing what works as a standard for proper </w:t>
      </w:r>
      <w:proofErr w:type="spellStart"/>
      <w:r w:rsidR="00CC2DA8">
        <w:rPr>
          <w:rFonts w:ascii="Times New Roman" w:hAnsi="Times New Roman" w:cs="Times New Roman"/>
          <w:color w:val="333333"/>
          <w:sz w:val="24"/>
          <w:szCs w:val="24"/>
        </w:rPr>
        <w:t>basicality</w:t>
      </w:r>
      <w:proofErr w:type="spellEnd"/>
      <w:r w:rsidR="00CC2DA8">
        <w:rPr>
          <w:rFonts w:ascii="Times New Roman" w:hAnsi="Times New Roman" w:cs="Times New Roman"/>
          <w:color w:val="333333"/>
          <w:sz w:val="24"/>
          <w:szCs w:val="24"/>
        </w:rPr>
        <w:t xml:space="preserve"> and what does not) instead of what has been used so far by the classical foundationalists. </w:t>
      </w:r>
    </w:p>
    <w:p w14:paraId="4554D47A" w14:textId="412CD945" w:rsidR="0044515F" w:rsidRPr="00792F4C" w:rsidRDefault="000D1377" w:rsidP="00AE08E4">
      <w:pPr>
        <w:spacing w:line="240" w:lineRule="auto"/>
        <w:ind w:firstLine="720"/>
        <w:rPr>
          <w:rFonts w:ascii="Times New Roman" w:hAnsi="Times New Roman" w:cs="Times New Roman"/>
          <w:color w:val="333333"/>
          <w:sz w:val="24"/>
          <w:szCs w:val="24"/>
        </w:rPr>
      </w:pPr>
      <w:r>
        <w:rPr>
          <w:rFonts w:ascii="Times New Roman" w:hAnsi="Times New Roman" w:cs="Times New Roman"/>
          <w:color w:val="333333"/>
          <w:sz w:val="24"/>
          <w:szCs w:val="24"/>
        </w:rPr>
        <w:lastRenderedPageBreak/>
        <w:t xml:space="preserve">In conclusion, Plantinga lays out the Reformed objection to natural theology which is, in part, “unformed and inchoate,” but in all is a rejection of classical foundationalism (Plantinga, 61). </w:t>
      </w:r>
      <w:r w:rsidR="00DC72E7">
        <w:rPr>
          <w:rFonts w:ascii="Times New Roman" w:hAnsi="Times New Roman" w:cs="Times New Roman"/>
          <w:color w:val="333333"/>
          <w:sz w:val="24"/>
          <w:szCs w:val="24"/>
        </w:rPr>
        <w:t xml:space="preserve"> </w:t>
      </w:r>
      <w:bookmarkStart w:id="0" w:name="_GoBack"/>
      <w:bookmarkEnd w:id="0"/>
    </w:p>
    <w:sectPr w:rsidR="0044515F" w:rsidRPr="00792F4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5302"/>
    <w:rsid w:val="000C5C6A"/>
    <w:rsid w:val="000D1377"/>
    <w:rsid w:val="000D7FA6"/>
    <w:rsid w:val="000F36C2"/>
    <w:rsid w:val="000F7FCE"/>
    <w:rsid w:val="00105864"/>
    <w:rsid w:val="00146A61"/>
    <w:rsid w:val="00147AEE"/>
    <w:rsid w:val="00172664"/>
    <w:rsid w:val="00194D34"/>
    <w:rsid w:val="001A3685"/>
    <w:rsid w:val="001C421E"/>
    <w:rsid w:val="00207E90"/>
    <w:rsid w:val="00240AAF"/>
    <w:rsid w:val="00245302"/>
    <w:rsid w:val="0029063E"/>
    <w:rsid w:val="002B2E13"/>
    <w:rsid w:val="002C0BA5"/>
    <w:rsid w:val="002D668D"/>
    <w:rsid w:val="002E4FDA"/>
    <w:rsid w:val="002F55C9"/>
    <w:rsid w:val="0033129E"/>
    <w:rsid w:val="00345CA5"/>
    <w:rsid w:val="00366990"/>
    <w:rsid w:val="003873F7"/>
    <w:rsid w:val="003B66C5"/>
    <w:rsid w:val="003C6D51"/>
    <w:rsid w:val="003D495F"/>
    <w:rsid w:val="003E2003"/>
    <w:rsid w:val="003F3873"/>
    <w:rsid w:val="004325CC"/>
    <w:rsid w:val="0044515F"/>
    <w:rsid w:val="00470735"/>
    <w:rsid w:val="00487FE6"/>
    <w:rsid w:val="00491903"/>
    <w:rsid w:val="004A35FA"/>
    <w:rsid w:val="004D28F7"/>
    <w:rsid w:val="004D446E"/>
    <w:rsid w:val="004F39D4"/>
    <w:rsid w:val="00565147"/>
    <w:rsid w:val="005E701F"/>
    <w:rsid w:val="005F1A67"/>
    <w:rsid w:val="00622C94"/>
    <w:rsid w:val="006F54B7"/>
    <w:rsid w:val="00757BFD"/>
    <w:rsid w:val="007806C7"/>
    <w:rsid w:val="00783720"/>
    <w:rsid w:val="0079259A"/>
    <w:rsid w:val="00792F4C"/>
    <w:rsid w:val="007B36B7"/>
    <w:rsid w:val="007B462C"/>
    <w:rsid w:val="007D40A0"/>
    <w:rsid w:val="008425A6"/>
    <w:rsid w:val="00876606"/>
    <w:rsid w:val="008A4770"/>
    <w:rsid w:val="008B276E"/>
    <w:rsid w:val="008C6481"/>
    <w:rsid w:val="008E7365"/>
    <w:rsid w:val="0093574D"/>
    <w:rsid w:val="009658F0"/>
    <w:rsid w:val="00976F3B"/>
    <w:rsid w:val="00994333"/>
    <w:rsid w:val="009B26EB"/>
    <w:rsid w:val="009B5ED9"/>
    <w:rsid w:val="009C6E26"/>
    <w:rsid w:val="009D57BE"/>
    <w:rsid w:val="009F3E6C"/>
    <w:rsid w:val="00A3119E"/>
    <w:rsid w:val="00A31F06"/>
    <w:rsid w:val="00A825AA"/>
    <w:rsid w:val="00AE08E4"/>
    <w:rsid w:val="00AF0C33"/>
    <w:rsid w:val="00B15A84"/>
    <w:rsid w:val="00B25002"/>
    <w:rsid w:val="00B3695A"/>
    <w:rsid w:val="00B778DC"/>
    <w:rsid w:val="00B87FF8"/>
    <w:rsid w:val="00B91850"/>
    <w:rsid w:val="00BE18B2"/>
    <w:rsid w:val="00BE50ED"/>
    <w:rsid w:val="00C467FE"/>
    <w:rsid w:val="00C61316"/>
    <w:rsid w:val="00C91808"/>
    <w:rsid w:val="00CC2DA8"/>
    <w:rsid w:val="00CE50AA"/>
    <w:rsid w:val="00D13D57"/>
    <w:rsid w:val="00D445DE"/>
    <w:rsid w:val="00DB79FD"/>
    <w:rsid w:val="00DC72E7"/>
    <w:rsid w:val="00DD335C"/>
    <w:rsid w:val="00DF2BFD"/>
    <w:rsid w:val="00DF3766"/>
    <w:rsid w:val="00E80A26"/>
    <w:rsid w:val="00E83B65"/>
    <w:rsid w:val="00EB0BBD"/>
    <w:rsid w:val="00F1119A"/>
    <w:rsid w:val="00F11F80"/>
    <w:rsid w:val="00F15B1E"/>
    <w:rsid w:val="00F2403E"/>
    <w:rsid w:val="00F26080"/>
    <w:rsid w:val="00F53071"/>
    <w:rsid w:val="00F5658A"/>
    <w:rsid w:val="00F569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F4CFEF"/>
  <w15:chartTrackingRefBased/>
  <w15:docId w15:val="{6D40981A-7E21-4681-9FC2-6297AA3A55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F1119A"/>
    <w:rPr>
      <w:b/>
      <w:bCs/>
    </w:rPr>
  </w:style>
  <w:style w:type="character" w:styleId="Hyperlink">
    <w:name w:val="Hyperlink"/>
    <w:basedOn w:val="DefaultParagraphFont"/>
    <w:uiPriority w:val="99"/>
    <w:unhideWhenUsed/>
    <w:rsid w:val="001A3685"/>
    <w:rPr>
      <w:color w:val="0563C1" w:themeColor="hyperlink"/>
      <w:u w:val="single"/>
    </w:rPr>
  </w:style>
  <w:style w:type="character" w:styleId="UnresolvedMention">
    <w:name w:val="Unresolved Mention"/>
    <w:basedOn w:val="DefaultParagraphFont"/>
    <w:uiPriority w:val="99"/>
    <w:semiHidden/>
    <w:unhideWhenUsed/>
    <w:rsid w:val="001A3685"/>
    <w:rPr>
      <w:color w:val="808080"/>
      <w:shd w:val="clear" w:color="auto" w:fill="E6E6E6"/>
    </w:rPr>
  </w:style>
  <w:style w:type="character" w:styleId="FollowedHyperlink">
    <w:name w:val="FollowedHyperlink"/>
    <w:basedOn w:val="DefaultParagraphFont"/>
    <w:uiPriority w:val="99"/>
    <w:semiHidden/>
    <w:unhideWhenUsed/>
    <w:rsid w:val="0056514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76206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799</TotalTime>
  <Pages>4</Pages>
  <Words>1258</Words>
  <Characters>7177</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Sahana Bhardwaj</dc:creator>
  <cp:keywords/>
  <dc:description/>
  <cp:lastModifiedBy>Sahana Bhardwaj</cp:lastModifiedBy>
  <cp:revision>11</cp:revision>
  <dcterms:created xsi:type="dcterms:W3CDTF">2018-01-31T01:23:00Z</dcterms:created>
  <dcterms:modified xsi:type="dcterms:W3CDTF">2018-03-06T01:17:00Z</dcterms:modified>
</cp:coreProperties>
</file>