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8DB" w:rsidRPr="00867C18" w:rsidRDefault="005418DB" w:rsidP="005418DB">
      <w:pPr>
        <w:jc w:val="center"/>
        <w:rPr>
          <w:rFonts w:ascii="Times New Roman" w:hAnsi="Times New Roman" w:cs="Times New Roman"/>
          <w:b/>
          <w:sz w:val="32"/>
          <w:szCs w:val="32"/>
        </w:rPr>
      </w:pPr>
      <w:r>
        <w:rPr>
          <w:rFonts w:ascii="Times New Roman" w:hAnsi="Times New Roman" w:cs="Times New Roman"/>
          <w:b/>
          <w:sz w:val="32"/>
          <w:szCs w:val="32"/>
        </w:rPr>
        <w:t>L’enseignement : une problématique à double tranchant</w:t>
      </w:r>
    </w:p>
    <w:p w:rsidR="005418DB" w:rsidRPr="00867C18" w:rsidRDefault="005418DB" w:rsidP="005418DB">
      <w:pPr>
        <w:jc w:val="center"/>
        <w:rPr>
          <w:rFonts w:ascii="Times New Roman" w:hAnsi="Times New Roman" w:cs="Times New Roman"/>
          <w:b/>
        </w:rPr>
      </w:pPr>
    </w:p>
    <w:p w:rsidR="005418DB" w:rsidRPr="00867C18" w:rsidRDefault="005418DB" w:rsidP="005418DB">
      <w:pPr>
        <w:jc w:val="center"/>
        <w:rPr>
          <w:rFonts w:ascii="Times New Roman" w:hAnsi="Times New Roman" w:cs="Times New Roman"/>
          <w:b/>
        </w:rPr>
      </w:pPr>
    </w:p>
    <w:p w:rsidR="005418DB" w:rsidRDefault="005418DB" w:rsidP="005418DB">
      <w:pPr>
        <w:jc w:val="center"/>
        <w:rPr>
          <w:rFonts w:ascii="Times New Roman" w:hAnsi="Times New Roman" w:cs="Times New Roman"/>
          <w:b/>
        </w:rPr>
      </w:pPr>
    </w:p>
    <w:p w:rsidR="005418DB" w:rsidRPr="00867C18" w:rsidRDefault="005418DB" w:rsidP="005418DB">
      <w:pPr>
        <w:jc w:val="center"/>
        <w:rPr>
          <w:rFonts w:ascii="Times New Roman" w:hAnsi="Times New Roman" w:cs="Times New Roman"/>
          <w:b/>
        </w:rPr>
      </w:pPr>
    </w:p>
    <w:p w:rsidR="005418DB" w:rsidRPr="00867C18" w:rsidRDefault="005418DB" w:rsidP="005418DB">
      <w:pPr>
        <w:jc w:val="center"/>
        <w:rPr>
          <w:rFonts w:ascii="Times New Roman" w:hAnsi="Times New Roman" w:cs="Times New Roman"/>
          <w:b/>
        </w:rPr>
      </w:pPr>
    </w:p>
    <w:p w:rsidR="005418DB" w:rsidRPr="005418DB" w:rsidRDefault="005418DB" w:rsidP="005418DB">
      <w:pPr>
        <w:jc w:val="center"/>
        <w:rPr>
          <w:rFonts w:ascii="Times New Roman" w:hAnsi="Times New Roman" w:cs="Times New Roman"/>
          <w:b/>
          <w:sz w:val="24"/>
          <w:szCs w:val="24"/>
        </w:rPr>
      </w:pPr>
      <w:r w:rsidRPr="005418DB">
        <w:rPr>
          <w:rFonts w:ascii="Times New Roman" w:hAnsi="Times New Roman" w:cs="Times New Roman"/>
          <w:b/>
          <w:sz w:val="24"/>
          <w:szCs w:val="24"/>
        </w:rPr>
        <w:t xml:space="preserve">Examen final </w:t>
      </w:r>
    </w:p>
    <w:p w:rsidR="005418DB" w:rsidRPr="005418DB" w:rsidRDefault="005418DB" w:rsidP="005418DB">
      <w:pPr>
        <w:jc w:val="center"/>
        <w:rPr>
          <w:rFonts w:ascii="Times New Roman" w:hAnsi="Times New Roman" w:cs="Times New Roman"/>
          <w:b/>
          <w:sz w:val="24"/>
          <w:szCs w:val="24"/>
        </w:rPr>
      </w:pPr>
      <w:proofErr w:type="gramStart"/>
      <w:r w:rsidRPr="005418DB">
        <w:rPr>
          <w:rFonts w:ascii="Times New Roman" w:hAnsi="Times New Roman" w:cs="Times New Roman"/>
          <w:b/>
          <w:sz w:val="24"/>
          <w:szCs w:val="24"/>
        </w:rPr>
        <w:t>présenté</w:t>
      </w:r>
      <w:proofErr w:type="gramEnd"/>
      <w:r w:rsidRPr="005418DB">
        <w:rPr>
          <w:rFonts w:ascii="Times New Roman" w:hAnsi="Times New Roman" w:cs="Times New Roman"/>
          <w:b/>
          <w:sz w:val="24"/>
          <w:szCs w:val="24"/>
        </w:rPr>
        <w:t xml:space="preserve"> par Dominique Lacroix</w:t>
      </w:r>
    </w:p>
    <w:p w:rsidR="005418DB" w:rsidRPr="005418DB" w:rsidRDefault="005418DB" w:rsidP="005418DB">
      <w:pPr>
        <w:jc w:val="center"/>
        <w:rPr>
          <w:rFonts w:ascii="Times New Roman" w:hAnsi="Times New Roman" w:cs="Times New Roman"/>
          <w:b/>
          <w:sz w:val="24"/>
          <w:szCs w:val="24"/>
        </w:rPr>
      </w:pPr>
      <w:proofErr w:type="gramStart"/>
      <w:r w:rsidRPr="005418DB">
        <w:rPr>
          <w:rFonts w:ascii="Times New Roman" w:hAnsi="Times New Roman" w:cs="Times New Roman"/>
          <w:b/>
          <w:sz w:val="24"/>
          <w:szCs w:val="24"/>
        </w:rPr>
        <w:t>n</w:t>
      </w:r>
      <w:proofErr w:type="gramEnd"/>
      <w:r w:rsidRPr="005418DB">
        <w:rPr>
          <w:rFonts w:ascii="Times New Roman" w:hAnsi="Times New Roman" w:cs="Times New Roman"/>
          <w:b/>
          <w:sz w:val="24"/>
          <w:szCs w:val="24"/>
        </w:rPr>
        <w:t>º d’étudiante : 5957887</w:t>
      </w: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roofErr w:type="gramStart"/>
      <w:r w:rsidRPr="005418DB">
        <w:rPr>
          <w:rFonts w:ascii="Times New Roman" w:hAnsi="Times New Roman" w:cs="Times New Roman"/>
          <w:b/>
          <w:sz w:val="24"/>
          <w:szCs w:val="24"/>
        </w:rPr>
        <w:t>dans</w:t>
      </w:r>
      <w:proofErr w:type="gramEnd"/>
      <w:r w:rsidRPr="005418DB">
        <w:rPr>
          <w:rFonts w:ascii="Times New Roman" w:hAnsi="Times New Roman" w:cs="Times New Roman"/>
          <w:b/>
          <w:sz w:val="24"/>
          <w:szCs w:val="24"/>
        </w:rPr>
        <w:t xml:space="preserve"> le cadre du cours </w:t>
      </w:r>
    </w:p>
    <w:p w:rsidR="005418DB" w:rsidRPr="005418DB" w:rsidRDefault="005418DB" w:rsidP="005418DB">
      <w:pPr>
        <w:jc w:val="center"/>
        <w:rPr>
          <w:rFonts w:ascii="Times New Roman" w:hAnsi="Times New Roman" w:cs="Times New Roman"/>
          <w:b/>
          <w:sz w:val="24"/>
          <w:szCs w:val="24"/>
        </w:rPr>
      </w:pPr>
      <w:r w:rsidRPr="005418DB">
        <w:rPr>
          <w:rFonts w:ascii="Times New Roman" w:hAnsi="Times New Roman" w:cs="Times New Roman"/>
          <w:b/>
          <w:sz w:val="24"/>
          <w:szCs w:val="24"/>
        </w:rPr>
        <w:t>PED2507 – Réalités scolaires actuelles</w:t>
      </w:r>
    </w:p>
    <w:p w:rsidR="005418DB" w:rsidRPr="005418DB" w:rsidRDefault="005418DB" w:rsidP="005418DB">
      <w:pPr>
        <w:jc w:val="center"/>
        <w:rPr>
          <w:rFonts w:ascii="Times New Roman" w:hAnsi="Times New Roman" w:cs="Times New Roman"/>
          <w:b/>
          <w:sz w:val="24"/>
          <w:szCs w:val="24"/>
        </w:rPr>
      </w:pPr>
      <w:proofErr w:type="gramStart"/>
      <w:r w:rsidRPr="005418DB">
        <w:rPr>
          <w:rFonts w:ascii="Times New Roman" w:hAnsi="Times New Roman" w:cs="Times New Roman"/>
          <w:b/>
          <w:sz w:val="24"/>
          <w:szCs w:val="24"/>
        </w:rPr>
        <w:t>donné</w:t>
      </w:r>
      <w:proofErr w:type="gramEnd"/>
      <w:r w:rsidRPr="005418DB">
        <w:rPr>
          <w:rFonts w:ascii="Times New Roman" w:hAnsi="Times New Roman" w:cs="Times New Roman"/>
          <w:b/>
          <w:sz w:val="24"/>
          <w:szCs w:val="24"/>
        </w:rPr>
        <w:t xml:space="preserve"> par Paul Parisien</w:t>
      </w: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p>
    <w:p w:rsidR="005418DB" w:rsidRPr="005418DB" w:rsidRDefault="005418DB" w:rsidP="005418DB">
      <w:pPr>
        <w:jc w:val="center"/>
        <w:rPr>
          <w:rFonts w:ascii="Times New Roman" w:hAnsi="Times New Roman" w:cs="Times New Roman"/>
          <w:b/>
          <w:sz w:val="24"/>
          <w:szCs w:val="24"/>
        </w:rPr>
      </w:pPr>
      <w:r w:rsidRPr="005418DB">
        <w:rPr>
          <w:rFonts w:ascii="Times New Roman" w:hAnsi="Times New Roman" w:cs="Times New Roman"/>
          <w:b/>
          <w:sz w:val="24"/>
          <w:szCs w:val="24"/>
        </w:rPr>
        <w:t>Université d’Ottawa</w:t>
      </w:r>
    </w:p>
    <w:p w:rsidR="005418DB" w:rsidRPr="005418DB" w:rsidRDefault="005418DB" w:rsidP="005418DB">
      <w:pPr>
        <w:jc w:val="center"/>
        <w:rPr>
          <w:rFonts w:ascii="Times New Roman" w:hAnsi="Times New Roman" w:cs="Times New Roman"/>
          <w:b/>
          <w:sz w:val="24"/>
          <w:szCs w:val="24"/>
        </w:rPr>
      </w:pPr>
      <w:r w:rsidRPr="005418DB">
        <w:rPr>
          <w:rFonts w:ascii="Times New Roman" w:hAnsi="Times New Roman" w:cs="Times New Roman"/>
          <w:b/>
          <w:sz w:val="24"/>
          <w:szCs w:val="24"/>
        </w:rPr>
        <w:t>Le lundi 31</w:t>
      </w:r>
      <w:r w:rsidRPr="005418DB">
        <w:rPr>
          <w:rFonts w:ascii="Times New Roman" w:hAnsi="Times New Roman" w:cs="Times New Roman"/>
          <w:b/>
          <w:sz w:val="24"/>
          <w:szCs w:val="24"/>
        </w:rPr>
        <w:t xml:space="preserve"> février 2014</w:t>
      </w:r>
    </w:p>
    <w:p w:rsidR="0015089A" w:rsidRPr="005418DB" w:rsidRDefault="00F31729" w:rsidP="0015089A">
      <w:pPr>
        <w:spacing w:line="480" w:lineRule="auto"/>
        <w:ind w:firstLine="708"/>
        <w:rPr>
          <w:rFonts w:ascii="Times New Roman" w:hAnsi="Times New Roman" w:cs="Times New Roman"/>
          <w:sz w:val="24"/>
          <w:szCs w:val="24"/>
        </w:rPr>
      </w:pPr>
      <w:r w:rsidRPr="005418DB">
        <w:rPr>
          <w:rFonts w:ascii="Times New Roman" w:hAnsi="Times New Roman" w:cs="Times New Roman"/>
          <w:sz w:val="24"/>
          <w:szCs w:val="24"/>
        </w:rPr>
        <w:lastRenderedPageBreak/>
        <w:t xml:space="preserve">Au sein de l’article intitulé </w:t>
      </w:r>
      <w:r w:rsidRPr="005418DB">
        <w:rPr>
          <w:rFonts w:ascii="Times New Roman" w:hAnsi="Times New Roman" w:cs="Times New Roman"/>
          <w:i/>
          <w:sz w:val="24"/>
          <w:szCs w:val="24"/>
        </w:rPr>
        <w:t>Quel système scolaire veut-on, éducatif ou policier?,</w:t>
      </w:r>
      <w:r w:rsidRPr="005418DB">
        <w:rPr>
          <w:rFonts w:ascii="Times New Roman" w:hAnsi="Times New Roman" w:cs="Times New Roman"/>
          <w:sz w:val="24"/>
          <w:szCs w:val="24"/>
        </w:rPr>
        <w:t xml:space="preserve"> l’auteur exprime des propos de frustrations envers le nouveau système d’éducation qui a été instauré il y a quelques dizaines d’années. Selon l’auteur, ce « virage idéologique » n’a que des effets néfastes car il déresponsabilise l’élève de ses résultats scolaires. Au contraire, je crois que cette évolution éducationnelle était nécessaire afin de répondre aux besoins des élèves du 21</w:t>
      </w:r>
      <w:r w:rsidRPr="005418DB">
        <w:rPr>
          <w:rFonts w:ascii="Times New Roman" w:hAnsi="Times New Roman" w:cs="Times New Roman"/>
          <w:sz w:val="24"/>
          <w:szCs w:val="24"/>
          <w:vertAlign w:val="superscript"/>
        </w:rPr>
        <w:t>e</w:t>
      </w:r>
      <w:r w:rsidRPr="005418DB">
        <w:rPr>
          <w:rFonts w:ascii="Times New Roman" w:hAnsi="Times New Roman" w:cs="Times New Roman"/>
          <w:sz w:val="24"/>
          <w:szCs w:val="24"/>
        </w:rPr>
        <w:t xml:space="preserve"> siècle, qui ont tous un profil unique. C’est grâce à cette nouvelle forme d’enseignement personnalisée que les enseignants ain</w:t>
      </w:r>
      <w:r w:rsidR="00DA14D8" w:rsidRPr="005418DB">
        <w:rPr>
          <w:rFonts w:ascii="Times New Roman" w:hAnsi="Times New Roman" w:cs="Times New Roman"/>
          <w:sz w:val="24"/>
          <w:szCs w:val="24"/>
        </w:rPr>
        <w:t>si que leurs équipes de soutien</w:t>
      </w:r>
      <w:r w:rsidRPr="005418DB">
        <w:rPr>
          <w:rFonts w:ascii="Times New Roman" w:hAnsi="Times New Roman" w:cs="Times New Roman"/>
          <w:sz w:val="24"/>
          <w:szCs w:val="24"/>
        </w:rPr>
        <w:t xml:space="preserve"> parviennent à assurer la réussite de l’ensemble de leur salle de classe.</w:t>
      </w:r>
      <w:r w:rsidR="0093493F" w:rsidRPr="005418DB">
        <w:rPr>
          <w:rFonts w:ascii="Times New Roman" w:hAnsi="Times New Roman" w:cs="Times New Roman"/>
          <w:sz w:val="24"/>
          <w:szCs w:val="24"/>
        </w:rPr>
        <w:t xml:space="preserve"> Quant à la déresponsabilisation, il est vrai que le prof doit assumer plus de responsabilités, mais simplement car les enseignants d’aujourd’hui ont maintenant les outils pour le faire. Je dirais que c’est plutôt un travail d’équipe qui se passe en salle de classe. L’élève a ses responsabilités aussi, et s’il les </w:t>
      </w:r>
      <w:r w:rsidR="0015089A" w:rsidRPr="005418DB">
        <w:rPr>
          <w:rFonts w:ascii="Times New Roman" w:hAnsi="Times New Roman" w:cs="Times New Roman"/>
          <w:sz w:val="24"/>
          <w:szCs w:val="24"/>
        </w:rPr>
        <w:t xml:space="preserve">assume, le prof pourra assurer sa réussite scolaire. C’est en </w:t>
      </w:r>
      <w:r w:rsidR="00DA14D8" w:rsidRPr="005418DB">
        <w:rPr>
          <w:rFonts w:ascii="Times New Roman" w:hAnsi="Times New Roman" w:cs="Times New Roman"/>
          <w:sz w:val="24"/>
          <w:szCs w:val="24"/>
        </w:rPr>
        <w:t>abordant les arguments de l’auteur,</w:t>
      </w:r>
      <w:r w:rsidR="0015089A" w:rsidRPr="005418DB">
        <w:rPr>
          <w:rFonts w:ascii="Times New Roman" w:hAnsi="Times New Roman" w:cs="Times New Roman"/>
          <w:sz w:val="24"/>
          <w:szCs w:val="24"/>
        </w:rPr>
        <w:t xml:space="preserve"> que je prouverai mes affirmations,</w:t>
      </w:r>
      <w:r w:rsidR="00DA14D8" w:rsidRPr="005418DB">
        <w:rPr>
          <w:rFonts w:ascii="Times New Roman" w:hAnsi="Times New Roman" w:cs="Times New Roman"/>
          <w:sz w:val="24"/>
          <w:szCs w:val="24"/>
        </w:rPr>
        <w:t xml:space="preserve"> tout en expliquant pourquoi le nouveau système d’éducation</w:t>
      </w:r>
      <w:r w:rsidR="0015089A" w:rsidRPr="005418DB">
        <w:rPr>
          <w:rFonts w:ascii="Times New Roman" w:hAnsi="Times New Roman" w:cs="Times New Roman"/>
          <w:sz w:val="24"/>
          <w:szCs w:val="24"/>
        </w:rPr>
        <w:t xml:space="preserve"> favorise une responsabilisation de l’élève et de l’enseignant qui est plus  profitable que le style d’enseignement </w:t>
      </w:r>
      <w:r w:rsidR="00DA14D8" w:rsidRPr="005418DB">
        <w:rPr>
          <w:rFonts w:ascii="Times New Roman" w:hAnsi="Times New Roman" w:cs="Times New Roman"/>
          <w:sz w:val="24"/>
          <w:szCs w:val="24"/>
        </w:rPr>
        <w:t>d’</w:t>
      </w:r>
      <w:r w:rsidR="0015089A" w:rsidRPr="005418DB">
        <w:rPr>
          <w:rFonts w:ascii="Times New Roman" w:hAnsi="Times New Roman" w:cs="Times New Roman"/>
          <w:sz w:val="24"/>
          <w:szCs w:val="24"/>
        </w:rPr>
        <w:t xml:space="preserve">auparavant par rapport à la réussite scolaire. </w:t>
      </w:r>
    </w:p>
    <w:p w:rsidR="0092072D" w:rsidRPr="005418DB" w:rsidRDefault="00DA14D8" w:rsidP="0092072D">
      <w:pPr>
        <w:spacing w:line="480" w:lineRule="auto"/>
        <w:ind w:firstLine="708"/>
        <w:rPr>
          <w:rFonts w:ascii="Times New Roman" w:hAnsi="Times New Roman" w:cs="Times New Roman"/>
          <w:sz w:val="24"/>
          <w:szCs w:val="24"/>
        </w:rPr>
      </w:pPr>
      <w:r w:rsidRPr="005418DB">
        <w:rPr>
          <w:rFonts w:ascii="Times New Roman" w:hAnsi="Times New Roman" w:cs="Times New Roman"/>
          <w:sz w:val="24"/>
          <w:szCs w:val="24"/>
        </w:rPr>
        <w:t>Premièrement, l’auteur explique que l’enseignement d’autre</w:t>
      </w:r>
      <w:r w:rsidR="0015089A" w:rsidRPr="005418DB">
        <w:rPr>
          <w:rFonts w:ascii="Times New Roman" w:hAnsi="Times New Roman" w:cs="Times New Roman"/>
          <w:sz w:val="24"/>
          <w:szCs w:val="24"/>
        </w:rPr>
        <w:t xml:space="preserve">fois était plutôt centré sur le </w:t>
      </w:r>
      <w:r w:rsidRPr="005418DB">
        <w:rPr>
          <w:rFonts w:ascii="Times New Roman" w:hAnsi="Times New Roman" w:cs="Times New Roman"/>
          <w:sz w:val="24"/>
          <w:szCs w:val="24"/>
        </w:rPr>
        <w:t xml:space="preserve">professeur. </w:t>
      </w:r>
      <w:r w:rsidR="0092072D" w:rsidRPr="005418DB">
        <w:rPr>
          <w:rFonts w:ascii="Times New Roman" w:hAnsi="Times New Roman" w:cs="Times New Roman"/>
          <w:sz w:val="24"/>
          <w:szCs w:val="24"/>
        </w:rPr>
        <w:t>D’une part, c</w:t>
      </w:r>
      <w:r w:rsidRPr="005418DB">
        <w:rPr>
          <w:rFonts w:ascii="Times New Roman" w:hAnsi="Times New Roman" w:cs="Times New Roman"/>
          <w:sz w:val="24"/>
          <w:szCs w:val="24"/>
        </w:rPr>
        <w:t xml:space="preserve">e dernier avait le rôle </w:t>
      </w:r>
      <w:r w:rsidR="008A063C" w:rsidRPr="005418DB">
        <w:rPr>
          <w:rFonts w:ascii="Times New Roman" w:hAnsi="Times New Roman" w:cs="Times New Roman"/>
          <w:sz w:val="24"/>
          <w:szCs w:val="24"/>
        </w:rPr>
        <w:t>premier d’enseigner, que l’auteur définit par le simple fait de « transmettre des connaissances et des savoir-faire »</w:t>
      </w:r>
      <w:r w:rsidRPr="005418DB">
        <w:rPr>
          <w:rFonts w:ascii="Times New Roman" w:hAnsi="Times New Roman" w:cs="Times New Roman"/>
          <w:sz w:val="24"/>
          <w:szCs w:val="24"/>
        </w:rPr>
        <w:t>.</w:t>
      </w:r>
      <w:r w:rsidR="008A063C" w:rsidRPr="005418DB">
        <w:rPr>
          <w:rFonts w:ascii="Times New Roman" w:hAnsi="Times New Roman" w:cs="Times New Roman"/>
          <w:sz w:val="24"/>
          <w:szCs w:val="24"/>
        </w:rPr>
        <w:t xml:space="preserve"> Alors, chaque élève devait s’adapter à la méthode du prof. Cette centralisation de l’enseignant est</w:t>
      </w:r>
      <w:r w:rsidRPr="005418DB">
        <w:rPr>
          <w:rFonts w:ascii="Times New Roman" w:hAnsi="Times New Roman" w:cs="Times New Roman"/>
          <w:sz w:val="24"/>
          <w:szCs w:val="24"/>
        </w:rPr>
        <w:t xml:space="preserve"> néfaste selon moi car </w:t>
      </w:r>
      <w:r w:rsidR="008A063C" w:rsidRPr="005418DB">
        <w:rPr>
          <w:rFonts w:ascii="Times New Roman" w:hAnsi="Times New Roman" w:cs="Times New Roman"/>
          <w:sz w:val="24"/>
          <w:szCs w:val="24"/>
        </w:rPr>
        <w:t>les profs enseignaient</w:t>
      </w:r>
      <w:r w:rsidRPr="005418DB">
        <w:rPr>
          <w:rFonts w:ascii="Times New Roman" w:hAnsi="Times New Roman" w:cs="Times New Roman"/>
          <w:sz w:val="24"/>
          <w:szCs w:val="24"/>
        </w:rPr>
        <w:t xml:space="preserve"> de façon trop généralisée</w:t>
      </w:r>
      <w:r w:rsidR="008A063C" w:rsidRPr="005418DB">
        <w:rPr>
          <w:rFonts w:ascii="Times New Roman" w:hAnsi="Times New Roman" w:cs="Times New Roman"/>
          <w:sz w:val="24"/>
          <w:szCs w:val="24"/>
        </w:rPr>
        <w:t xml:space="preserve"> sans tenir compte des besoins des élèves</w:t>
      </w:r>
      <w:r w:rsidRPr="005418DB">
        <w:rPr>
          <w:rFonts w:ascii="Times New Roman" w:hAnsi="Times New Roman" w:cs="Times New Roman"/>
          <w:sz w:val="24"/>
          <w:szCs w:val="24"/>
        </w:rPr>
        <w:t xml:space="preserve">. Par exemple, </w:t>
      </w:r>
      <w:r w:rsidR="008A063C" w:rsidRPr="005418DB">
        <w:rPr>
          <w:rFonts w:ascii="Times New Roman" w:hAnsi="Times New Roman" w:cs="Times New Roman"/>
          <w:sz w:val="24"/>
          <w:szCs w:val="24"/>
        </w:rPr>
        <w:t xml:space="preserve">il existe trois </w:t>
      </w:r>
      <w:r w:rsidRPr="005418DB">
        <w:rPr>
          <w:rFonts w:ascii="Times New Roman" w:hAnsi="Times New Roman" w:cs="Times New Roman"/>
          <w:sz w:val="24"/>
          <w:szCs w:val="24"/>
        </w:rPr>
        <w:t>styles d’apprentissage</w:t>
      </w:r>
      <w:r w:rsidR="008A063C" w:rsidRPr="005418DB">
        <w:rPr>
          <w:rFonts w:ascii="Times New Roman" w:hAnsi="Times New Roman" w:cs="Times New Roman"/>
          <w:sz w:val="24"/>
          <w:szCs w:val="24"/>
        </w:rPr>
        <w:t xml:space="preserve"> que peuvent préférer chaque élève, soit </w:t>
      </w:r>
      <w:r w:rsidR="0092072D" w:rsidRPr="005418DB">
        <w:rPr>
          <w:rFonts w:ascii="Times New Roman" w:hAnsi="Times New Roman" w:cs="Times New Roman"/>
          <w:sz w:val="24"/>
          <w:szCs w:val="24"/>
        </w:rPr>
        <w:t>visuel, auditif</w:t>
      </w:r>
      <w:r w:rsidR="008A063C" w:rsidRPr="005418DB">
        <w:rPr>
          <w:rFonts w:ascii="Times New Roman" w:hAnsi="Times New Roman" w:cs="Times New Roman"/>
          <w:sz w:val="24"/>
          <w:szCs w:val="24"/>
        </w:rPr>
        <w:t xml:space="preserve"> ou</w:t>
      </w:r>
      <w:r w:rsidRPr="005418DB">
        <w:rPr>
          <w:rFonts w:ascii="Times New Roman" w:hAnsi="Times New Roman" w:cs="Times New Roman"/>
          <w:sz w:val="24"/>
          <w:szCs w:val="24"/>
        </w:rPr>
        <w:t xml:space="preserve"> kinesth</w:t>
      </w:r>
      <w:r w:rsidR="0092072D" w:rsidRPr="005418DB">
        <w:rPr>
          <w:rFonts w:ascii="Times New Roman" w:hAnsi="Times New Roman" w:cs="Times New Roman"/>
          <w:sz w:val="24"/>
          <w:szCs w:val="24"/>
        </w:rPr>
        <w:t>ésique</w:t>
      </w:r>
      <w:r w:rsidRPr="005418DB">
        <w:rPr>
          <w:rFonts w:ascii="Times New Roman" w:hAnsi="Times New Roman" w:cs="Times New Roman"/>
          <w:sz w:val="24"/>
          <w:szCs w:val="24"/>
        </w:rPr>
        <w:t xml:space="preserve">. </w:t>
      </w:r>
      <w:r w:rsidR="008A063C" w:rsidRPr="005418DB">
        <w:rPr>
          <w:rFonts w:ascii="Times New Roman" w:hAnsi="Times New Roman" w:cs="Times New Roman"/>
          <w:sz w:val="24"/>
          <w:szCs w:val="24"/>
        </w:rPr>
        <w:t xml:space="preserve">Par contre, puisque le </w:t>
      </w:r>
      <w:r w:rsidR="008A063C" w:rsidRPr="005418DB">
        <w:rPr>
          <w:rFonts w:ascii="Times New Roman" w:hAnsi="Times New Roman" w:cs="Times New Roman"/>
          <w:sz w:val="24"/>
          <w:szCs w:val="24"/>
        </w:rPr>
        <w:lastRenderedPageBreak/>
        <w:t>prof valorisait le style d’apprentissage qu’il/elle préférait, les élèves en souffraient davantage, car seulement une petite portion de la classe pouvait bénéficier de ce type d’enseignement. Notons bien que ces profs étaient en grande majorité des sœurs religieuses, donc la variation de l’enseignement n’était surt</w:t>
      </w:r>
      <w:r w:rsidR="0015089A" w:rsidRPr="005418DB">
        <w:rPr>
          <w:rFonts w:ascii="Times New Roman" w:hAnsi="Times New Roman" w:cs="Times New Roman"/>
          <w:sz w:val="24"/>
          <w:szCs w:val="24"/>
        </w:rPr>
        <w:t xml:space="preserve">out pas prise en considération, ce qui rendait la responsabilisation des élèves encore plus difficile. </w:t>
      </w:r>
      <w:r w:rsidR="008A063C" w:rsidRPr="005418DB">
        <w:rPr>
          <w:rFonts w:ascii="Times New Roman" w:hAnsi="Times New Roman" w:cs="Times New Roman"/>
          <w:sz w:val="24"/>
          <w:szCs w:val="24"/>
        </w:rPr>
        <w:t xml:space="preserve"> </w:t>
      </w:r>
      <w:r w:rsidR="0092072D" w:rsidRPr="005418DB">
        <w:rPr>
          <w:rFonts w:ascii="Times New Roman" w:hAnsi="Times New Roman" w:cs="Times New Roman"/>
          <w:sz w:val="24"/>
          <w:szCs w:val="24"/>
        </w:rPr>
        <w:t>Au contraire, l’enseignant d’aujourd’hui a plusieurs rôles,  car malgré que le prof demeure une figure centrale, il/elle est moins une figure de peur, mais plutôt une figure d’encouragement. Les profs du 21</w:t>
      </w:r>
      <w:r w:rsidR="0092072D" w:rsidRPr="005418DB">
        <w:rPr>
          <w:rFonts w:ascii="Times New Roman" w:hAnsi="Times New Roman" w:cs="Times New Roman"/>
          <w:sz w:val="24"/>
          <w:szCs w:val="24"/>
          <w:vertAlign w:val="superscript"/>
        </w:rPr>
        <w:t>e</w:t>
      </w:r>
      <w:r w:rsidR="0092072D" w:rsidRPr="005418DB">
        <w:rPr>
          <w:rFonts w:ascii="Times New Roman" w:hAnsi="Times New Roman" w:cs="Times New Roman"/>
          <w:sz w:val="24"/>
          <w:szCs w:val="24"/>
        </w:rPr>
        <w:t xml:space="preserve"> siècle s’assurent d’adapter leur enseignement aux besoins de chaque élève, tout en offrant un enseignement varié par rapport aux profils qui se retrouvent dans sa salle de classe. Ces profs sont aussi des gens à qui les élèves peuvent se confier, donc ceci  aide encore plus à diagnostiquer un trouble d’apprentissage qui serait présent chez cet élève pour ensuite intervenir de façon à assurer sa réussite à l’école. </w:t>
      </w:r>
      <w:r w:rsidR="0015089A" w:rsidRPr="005418DB">
        <w:rPr>
          <w:rFonts w:ascii="Times New Roman" w:hAnsi="Times New Roman" w:cs="Times New Roman"/>
          <w:sz w:val="24"/>
          <w:szCs w:val="24"/>
        </w:rPr>
        <w:t xml:space="preserve">Alors, quand un élève sent que le prof est attentionné à sa situation, il/elle serait plus apte à assurer ses responsabilités en tant qu’élève. </w:t>
      </w:r>
    </w:p>
    <w:p w:rsidR="009F6762" w:rsidRPr="005418DB" w:rsidRDefault="0092072D" w:rsidP="009F6762">
      <w:pPr>
        <w:spacing w:line="480" w:lineRule="auto"/>
        <w:ind w:firstLine="708"/>
        <w:rPr>
          <w:rFonts w:ascii="Times New Roman" w:hAnsi="Times New Roman" w:cs="Times New Roman"/>
          <w:sz w:val="24"/>
          <w:szCs w:val="24"/>
        </w:rPr>
      </w:pPr>
      <w:r w:rsidRPr="005418DB">
        <w:rPr>
          <w:rFonts w:ascii="Times New Roman" w:hAnsi="Times New Roman" w:cs="Times New Roman"/>
          <w:sz w:val="24"/>
          <w:szCs w:val="24"/>
        </w:rPr>
        <w:t>D’autre part, l’auteur explique que le deuxième rôle qu’avait l’enseignant d’autrefois était de sanctionner, ce qui impliquait l’évaluation de passage des élèves par rapport aux résultats de leurs travaux. Par contre, ce que l’auteur ne mentionne pas, c’est les méthodes de sanction par rapport à la gestion de classe qu’employaient les enseignants d’autrefois. Ces moyens</w:t>
      </w:r>
      <w:r w:rsidR="00DA14D8" w:rsidRPr="005418DB">
        <w:rPr>
          <w:rFonts w:ascii="Times New Roman" w:hAnsi="Times New Roman" w:cs="Times New Roman"/>
          <w:sz w:val="24"/>
          <w:szCs w:val="24"/>
        </w:rPr>
        <w:t xml:space="preserve"> sanglants,</w:t>
      </w:r>
      <w:r w:rsidRPr="005418DB">
        <w:rPr>
          <w:rFonts w:ascii="Times New Roman" w:hAnsi="Times New Roman" w:cs="Times New Roman"/>
          <w:sz w:val="24"/>
          <w:szCs w:val="24"/>
        </w:rPr>
        <w:t xml:space="preserve"> qui impliquaient </w:t>
      </w:r>
      <w:r w:rsidR="00DA14D8" w:rsidRPr="005418DB">
        <w:rPr>
          <w:rFonts w:ascii="Times New Roman" w:hAnsi="Times New Roman" w:cs="Times New Roman"/>
          <w:sz w:val="24"/>
          <w:szCs w:val="24"/>
        </w:rPr>
        <w:t xml:space="preserve">la </w:t>
      </w:r>
      <w:r w:rsidR="008A063C" w:rsidRPr="005418DB">
        <w:rPr>
          <w:rFonts w:ascii="Times New Roman" w:hAnsi="Times New Roman" w:cs="Times New Roman"/>
          <w:sz w:val="24"/>
          <w:szCs w:val="24"/>
        </w:rPr>
        <w:t>ceinture de cuir</w:t>
      </w:r>
      <w:r w:rsidR="00DA14D8" w:rsidRPr="005418DB">
        <w:rPr>
          <w:rFonts w:ascii="Times New Roman" w:hAnsi="Times New Roman" w:cs="Times New Roman"/>
          <w:sz w:val="24"/>
          <w:szCs w:val="24"/>
        </w:rPr>
        <w:t xml:space="preserve">, la règle, </w:t>
      </w:r>
      <w:r w:rsidRPr="005418DB">
        <w:rPr>
          <w:rFonts w:ascii="Times New Roman" w:hAnsi="Times New Roman" w:cs="Times New Roman"/>
          <w:sz w:val="24"/>
          <w:szCs w:val="24"/>
        </w:rPr>
        <w:t xml:space="preserve">ou autres, n’avaient que des effets néfastes sur l’apprentissage </w:t>
      </w:r>
      <w:r w:rsidR="0015089A" w:rsidRPr="005418DB">
        <w:rPr>
          <w:rFonts w:ascii="Times New Roman" w:hAnsi="Times New Roman" w:cs="Times New Roman"/>
          <w:sz w:val="24"/>
          <w:szCs w:val="24"/>
        </w:rPr>
        <w:t xml:space="preserve">et la responsabilisation </w:t>
      </w:r>
      <w:r w:rsidRPr="005418DB">
        <w:rPr>
          <w:rFonts w:ascii="Times New Roman" w:hAnsi="Times New Roman" w:cs="Times New Roman"/>
          <w:sz w:val="24"/>
          <w:szCs w:val="24"/>
        </w:rPr>
        <w:t xml:space="preserve">de l’élève. </w:t>
      </w:r>
      <w:r w:rsidR="00DA14D8" w:rsidRPr="005418DB">
        <w:rPr>
          <w:rFonts w:ascii="Times New Roman" w:hAnsi="Times New Roman" w:cs="Times New Roman"/>
          <w:sz w:val="24"/>
          <w:szCs w:val="24"/>
        </w:rPr>
        <w:t>On sanctionnait aussi pour des raisons bizarres, tels que les élèves gauchers</w:t>
      </w:r>
      <w:r w:rsidR="008A063C" w:rsidRPr="005418DB">
        <w:rPr>
          <w:rFonts w:ascii="Times New Roman" w:hAnsi="Times New Roman" w:cs="Times New Roman"/>
          <w:sz w:val="24"/>
          <w:szCs w:val="24"/>
        </w:rPr>
        <w:t>,</w:t>
      </w:r>
      <w:r w:rsidR="00DA14D8" w:rsidRPr="005418DB">
        <w:rPr>
          <w:rFonts w:ascii="Times New Roman" w:hAnsi="Times New Roman" w:cs="Times New Roman"/>
          <w:sz w:val="24"/>
          <w:szCs w:val="24"/>
        </w:rPr>
        <w:t xml:space="preserve"> qu’on tentait immédiatement de convertir en élèves droitiers. </w:t>
      </w:r>
      <w:r w:rsidR="008A063C" w:rsidRPr="005418DB">
        <w:rPr>
          <w:rFonts w:ascii="Times New Roman" w:hAnsi="Times New Roman" w:cs="Times New Roman"/>
          <w:sz w:val="24"/>
          <w:szCs w:val="24"/>
        </w:rPr>
        <w:t xml:space="preserve">La raison derrière cette sanction était certainement religieuse aussi. </w:t>
      </w:r>
      <w:r w:rsidRPr="005418DB">
        <w:rPr>
          <w:rFonts w:ascii="Times New Roman" w:hAnsi="Times New Roman" w:cs="Times New Roman"/>
          <w:sz w:val="24"/>
          <w:szCs w:val="24"/>
        </w:rPr>
        <w:t xml:space="preserve">Donc, puisque la religion a </w:t>
      </w:r>
      <w:r w:rsidRPr="005418DB">
        <w:rPr>
          <w:rFonts w:ascii="Times New Roman" w:hAnsi="Times New Roman" w:cs="Times New Roman"/>
          <w:sz w:val="24"/>
          <w:szCs w:val="24"/>
        </w:rPr>
        <w:lastRenderedPageBreak/>
        <w:t xml:space="preserve">évolué, l’enseignement s’est adapté. </w:t>
      </w:r>
      <w:r w:rsidR="0015089A" w:rsidRPr="005418DB">
        <w:rPr>
          <w:rFonts w:ascii="Times New Roman" w:hAnsi="Times New Roman" w:cs="Times New Roman"/>
          <w:sz w:val="24"/>
          <w:szCs w:val="24"/>
        </w:rPr>
        <w:t>Par contre, l</w:t>
      </w:r>
      <w:r w:rsidR="009F6762" w:rsidRPr="005418DB">
        <w:rPr>
          <w:rFonts w:ascii="Times New Roman" w:hAnsi="Times New Roman" w:cs="Times New Roman"/>
          <w:sz w:val="24"/>
          <w:szCs w:val="24"/>
        </w:rPr>
        <w:t xml:space="preserve">’auteur argumente que ce rôle de sanction de l’enseignant n’existe plus aujourd’hui. Au contraire, si l’enseignant ne sanctionnait pas, il n’y aurait aucun ordre dans la classe. Les profs d’aujourd’hui détiennent encore une autorité notable envers leurs élèves, mais les punitions sont un peu plus raisonnables. De plus, en ce qui a trait à l’évaluation, nous évaluons maintenant sous quatre volets distincts : l’habileté de la pensée, la connaissance et la compréhension, la communication, ainsi que la mise en application. Ces volets permettent à l’élève d’exceller sous 4 niveaux, au lieu de seulement un. </w:t>
      </w:r>
      <w:r w:rsidR="0015089A" w:rsidRPr="005418DB">
        <w:rPr>
          <w:rFonts w:ascii="Times New Roman" w:hAnsi="Times New Roman" w:cs="Times New Roman"/>
          <w:sz w:val="24"/>
          <w:szCs w:val="24"/>
        </w:rPr>
        <w:t xml:space="preserve">Alors, lorsqu’il y a un intérêt initial, il y a ensuite une responsabilisation chez l’élève, qui se sent comme si on lui donne plusieurs options pour réussir. </w:t>
      </w:r>
      <w:r w:rsidR="009F6762" w:rsidRPr="005418DB">
        <w:rPr>
          <w:rFonts w:ascii="Times New Roman" w:hAnsi="Times New Roman" w:cs="Times New Roman"/>
          <w:sz w:val="24"/>
          <w:szCs w:val="24"/>
        </w:rPr>
        <w:t>Alors, malgré qu’</w:t>
      </w:r>
      <w:r w:rsidR="0093493F" w:rsidRPr="005418DB">
        <w:rPr>
          <w:rFonts w:ascii="Times New Roman" w:hAnsi="Times New Roman" w:cs="Times New Roman"/>
          <w:sz w:val="24"/>
          <w:szCs w:val="24"/>
        </w:rPr>
        <w:t>il soit</w:t>
      </w:r>
      <w:r w:rsidR="009F6762" w:rsidRPr="005418DB">
        <w:rPr>
          <w:rFonts w:ascii="Times New Roman" w:hAnsi="Times New Roman" w:cs="Times New Roman"/>
          <w:sz w:val="24"/>
          <w:szCs w:val="24"/>
        </w:rPr>
        <w:t xml:space="preserve"> vrai que nous ne pouvons « accepter que deux ou trois pour cent de redoublement » comme le dit l’auteur, c’est simplement car nous avons maintenant les ressources à notre disposition pour assurer la réussite de chaque élève. L’échec est donc un élément de dernier recours pour un enseignant, après avoir tout essayé pour assurer le passage au prochain niveau. </w:t>
      </w:r>
    </w:p>
    <w:p w:rsidR="00BF298E" w:rsidRPr="005418DB" w:rsidRDefault="00BD7B4D" w:rsidP="00BF298E">
      <w:pPr>
        <w:spacing w:line="480" w:lineRule="auto"/>
        <w:ind w:firstLine="708"/>
        <w:rPr>
          <w:rFonts w:ascii="Times New Roman" w:hAnsi="Times New Roman" w:cs="Times New Roman"/>
          <w:sz w:val="24"/>
          <w:szCs w:val="24"/>
        </w:rPr>
      </w:pPr>
      <w:r w:rsidRPr="005418DB">
        <w:rPr>
          <w:rFonts w:ascii="Times New Roman" w:hAnsi="Times New Roman" w:cs="Times New Roman"/>
          <w:sz w:val="24"/>
          <w:szCs w:val="24"/>
        </w:rPr>
        <w:t>Deuxièmement, l’auteur argumente que</w:t>
      </w:r>
      <w:r w:rsidR="00BF298E" w:rsidRPr="005418DB">
        <w:rPr>
          <w:rFonts w:ascii="Times New Roman" w:hAnsi="Times New Roman" w:cs="Times New Roman"/>
          <w:sz w:val="24"/>
          <w:szCs w:val="24"/>
        </w:rPr>
        <w:t xml:space="preserve"> «  le professeur est responsable de l’échec scolaire ». Au contraire, le professeur d’aujourd’hui a toutes les ressources à sa disposition pour assurer la réussite de l’élève. Le prof peut avoir recours à la direction, aux aides enseignantes, aux professionnels, tels que les psychologues, ainsi qu’autres partenaires qui offrent des programmes spécialisés pour chaque trouble que pourrait présenter l’élève. Si l’élève échoue, c’est car il n’a pas contribué à ces multiples phases d’intervention.  L’auteur argumente ensuite que </w:t>
      </w:r>
      <w:r w:rsidR="00AC47D7" w:rsidRPr="005418DB">
        <w:rPr>
          <w:rFonts w:ascii="Times New Roman" w:hAnsi="Times New Roman" w:cs="Times New Roman"/>
          <w:sz w:val="24"/>
          <w:szCs w:val="24"/>
        </w:rPr>
        <w:t>« </w:t>
      </w:r>
      <w:r w:rsidR="00BF298E" w:rsidRPr="005418DB">
        <w:rPr>
          <w:rFonts w:ascii="Times New Roman" w:hAnsi="Times New Roman" w:cs="Times New Roman"/>
          <w:sz w:val="24"/>
          <w:szCs w:val="24"/>
        </w:rPr>
        <w:t xml:space="preserve">la plupart des élèves attendent que les savoirs leur tombent dessus comme la manne et bien peu sont ceux qui produisent des efforts… ». Au contraire, les élèves d’aujourd’hui sont conscients qu’ils ont une </w:t>
      </w:r>
      <w:r w:rsidR="00BF298E" w:rsidRPr="005418DB">
        <w:rPr>
          <w:rFonts w:ascii="Times New Roman" w:hAnsi="Times New Roman" w:cs="Times New Roman"/>
          <w:sz w:val="24"/>
          <w:szCs w:val="24"/>
        </w:rPr>
        <w:lastRenderedPageBreak/>
        <w:t xml:space="preserve">responsabilité d’apprendre et d’illustrer leurs apprentissages sous forme d’évaluations, qu’elles soient formatives ou sommatives. Malgré que le prof ne soit pas une figure de peur comme auparavant, il agit plutôt comme coopérateur qui travaille avec les élèves et fait de son mieux pour s’adapter à la salle de classe qui lui est présentée. Si le prof parvient à bien s’adapter, il est certain que les élèves seront motivés et encouragés de bien réussir et de fournir des résultats favorables à leur réussite. Par contre, si le prof employait les méthodes d’autrefois, il est certain que les élèves de sa salle de classe seraient extrêmement découragés et comme résultat, ne voudront pas se responsabiliser afin de contribuer à leur propre réussite. </w:t>
      </w:r>
    </w:p>
    <w:p w:rsidR="00403CBB" w:rsidRPr="005418DB" w:rsidRDefault="00BF298E" w:rsidP="00686C36">
      <w:pPr>
        <w:spacing w:line="480" w:lineRule="auto"/>
        <w:ind w:firstLine="708"/>
        <w:rPr>
          <w:rFonts w:ascii="Times New Roman" w:hAnsi="Times New Roman" w:cs="Times New Roman"/>
          <w:sz w:val="24"/>
          <w:szCs w:val="24"/>
        </w:rPr>
      </w:pPr>
      <w:r w:rsidRPr="005418DB">
        <w:rPr>
          <w:rFonts w:ascii="Times New Roman" w:hAnsi="Times New Roman" w:cs="Times New Roman"/>
          <w:sz w:val="24"/>
          <w:szCs w:val="24"/>
        </w:rPr>
        <w:t xml:space="preserve">En tant que future enseignante, </w:t>
      </w:r>
      <w:r w:rsidR="00686C36" w:rsidRPr="005418DB">
        <w:rPr>
          <w:rFonts w:ascii="Times New Roman" w:hAnsi="Times New Roman" w:cs="Times New Roman"/>
          <w:sz w:val="24"/>
          <w:szCs w:val="24"/>
        </w:rPr>
        <w:t xml:space="preserve">je veux prouver l’efficace du </w:t>
      </w:r>
      <w:r w:rsidR="00DB738D" w:rsidRPr="005418DB">
        <w:rPr>
          <w:rFonts w:ascii="Times New Roman" w:hAnsi="Times New Roman" w:cs="Times New Roman"/>
          <w:sz w:val="24"/>
          <w:szCs w:val="24"/>
        </w:rPr>
        <w:t>nouveau système éducatif en m’</w:t>
      </w:r>
      <w:r w:rsidR="00686C36" w:rsidRPr="005418DB">
        <w:rPr>
          <w:rFonts w:ascii="Times New Roman" w:hAnsi="Times New Roman" w:cs="Times New Roman"/>
          <w:sz w:val="24"/>
          <w:szCs w:val="24"/>
        </w:rPr>
        <w:t xml:space="preserve">adaptant </w:t>
      </w:r>
      <w:r w:rsidR="00DB738D" w:rsidRPr="005418DB">
        <w:rPr>
          <w:rFonts w:ascii="Times New Roman" w:hAnsi="Times New Roman" w:cs="Times New Roman"/>
          <w:sz w:val="24"/>
          <w:szCs w:val="24"/>
        </w:rPr>
        <w:t xml:space="preserve">aux élèves que je reçois dans ma salle de classe, afin d’assurer la réussite de tous. Je le ferais non seulement en employant mes propres habiletés et compétences, mais surtout en me référant aux ressources qui me sont disponibles. Par exemple, le guide intitulé </w:t>
      </w:r>
      <w:r w:rsidR="00DB738D" w:rsidRPr="005418DB">
        <w:rPr>
          <w:rFonts w:ascii="Times New Roman" w:hAnsi="Times New Roman" w:cs="Times New Roman"/>
          <w:i/>
          <w:sz w:val="24"/>
          <w:szCs w:val="24"/>
        </w:rPr>
        <w:t>L’apprentissage pour tous</w:t>
      </w:r>
      <w:r w:rsidR="00DB738D" w:rsidRPr="005418DB">
        <w:rPr>
          <w:rFonts w:ascii="Times New Roman" w:hAnsi="Times New Roman" w:cs="Times New Roman"/>
          <w:sz w:val="24"/>
          <w:szCs w:val="24"/>
        </w:rPr>
        <w:t>, créé par le Ministère de l’Ontario, fournit tous les outils nécessaires afin d’assurer la réussite de tous les élèves, quel que soit leur niveau. Quelques principes prônés par ce guide, dont je suis entièrement d’accord sont par exemple, que « chaque élève présente des modes d’apprentissage qui lui sont propres</w:t>
      </w:r>
      <w:r w:rsidR="00B6572A" w:rsidRPr="005418DB">
        <w:rPr>
          <w:rStyle w:val="FootnoteReference"/>
          <w:rFonts w:ascii="Times New Roman" w:hAnsi="Times New Roman" w:cs="Times New Roman"/>
          <w:sz w:val="24"/>
          <w:szCs w:val="24"/>
        </w:rPr>
        <w:footnoteReference w:id="1"/>
      </w:r>
      <w:r w:rsidR="00B6572A" w:rsidRPr="005418DB">
        <w:rPr>
          <w:rFonts w:ascii="Times New Roman" w:hAnsi="Times New Roman" w:cs="Times New Roman"/>
          <w:sz w:val="24"/>
          <w:szCs w:val="24"/>
        </w:rPr>
        <w:t> ». Comme m</w:t>
      </w:r>
      <w:r w:rsidR="00403CBB" w:rsidRPr="005418DB">
        <w:rPr>
          <w:rFonts w:ascii="Times New Roman" w:hAnsi="Times New Roman" w:cs="Times New Roman"/>
          <w:sz w:val="24"/>
          <w:szCs w:val="24"/>
        </w:rPr>
        <w:t xml:space="preserve">entionné ultérieurement, comme futur enseignante, je m’adapterai </w:t>
      </w:r>
      <w:r w:rsidR="00B6572A" w:rsidRPr="005418DB">
        <w:rPr>
          <w:rFonts w:ascii="Times New Roman" w:hAnsi="Times New Roman" w:cs="Times New Roman"/>
          <w:sz w:val="24"/>
          <w:szCs w:val="24"/>
        </w:rPr>
        <w:t>aux modes d’</w:t>
      </w:r>
      <w:r w:rsidR="00403CBB" w:rsidRPr="005418DB">
        <w:rPr>
          <w:rFonts w:ascii="Times New Roman" w:hAnsi="Times New Roman" w:cs="Times New Roman"/>
          <w:sz w:val="24"/>
          <w:szCs w:val="24"/>
        </w:rPr>
        <w:t>apprentissages que préfèrent m</w:t>
      </w:r>
      <w:r w:rsidR="00B6572A" w:rsidRPr="005418DB">
        <w:rPr>
          <w:rFonts w:ascii="Times New Roman" w:hAnsi="Times New Roman" w:cs="Times New Roman"/>
          <w:sz w:val="24"/>
          <w:szCs w:val="24"/>
        </w:rPr>
        <w:t>es élèves, et ceci s’accomplit facilement, tout en offrant des photos ou des vidéos pour les visuels, de plus amples explications pour les auditifs ainsi que des exercices motrices pour les kinesthésiques. Un deuxième principe que je trouve essentiel, est  que « </w:t>
      </w:r>
      <w:r w:rsidR="00DB738D" w:rsidRPr="005418DB">
        <w:rPr>
          <w:rFonts w:ascii="Times New Roman" w:hAnsi="Times New Roman" w:cs="Times New Roman"/>
          <w:sz w:val="24"/>
          <w:szCs w:val="24"/>
        </w:rPr>
        <w:t xml:space="preserve">l’équité n’est pas synonyme </w:t>
      </w:r>
      <w:r w:rsidR="00DB738D" w:rsidRPr="005418DB">
        <w:rPr>
          <w:rFonts w:ascii="Times New Roman" w:hAnsi="Times New Roman" w:cs="Times New Roman"/>
          <w:sz w:val="24"/>
          <w:szCs w:val="24"/>
        </w:rPr>
        <w:lastRenderedPageBreak/>
        <w:t>d’</w:t>
      </w:r>
      <w:r w:rsidR="00B6572A" w:rsidRPr="005418DB">
        <w:rPr>
          <w:rFonts w:ascii="Times New Roman" w:hAnsi="Times New Roman" w:cs="Times New Roman"/>
          <w:sz w:val="24"/>
          <w:szCs w:val="24"/>
        </w:rPr>
        <w:t>uniformité</w:t>
      </w:r>
      <w:r w:rsidR="00B6572A" w:rsidRPr="005418DB">
        <w:rPr>
          <w:rStyle w:val="FootnoteReference"/>
          <w:rFonts w:ascii="Times New Roman" w:hAnsi="Times New Roman" w:cs="Times New Roman"/>
          <w:sz w:val="24"/>
          <w:szCs w:val="24"/>
        </w:rPr>
        <w:footnoteReference w:id="2"/>
      </w:r>
      <w:r w:rsidR="00B6572A" w:rsidRPr="005418DB">
        <w:rPr>
          <w:rFonts w:ascii="Times New Roman" w:hAnsi="Times New Roman" w:cs="Times New Roman"/>
          <w:sz w:val="24"/>
          <w:szCs w:val="24"/>
        </w:rPr>
        <w:t> »</w:t>
      </w:r>
      <w:r w:rsidR="00686C36" w:rsidRPr="005418DB">
        <w:rPr>
          <w:rFonts w:ascii="Times New Roman" w:hAnsi="Times New Roman" w:cs="Times New Roman"/>
          <w:sz w:val="24"/>
          <w:szCs w:val="24"/>
        </w:rPr>
        <w:t>. L’uniformité, qui était privilégiée au sein de l’ancien système éducatif, s’</w:t>
      </w:r>
      <w:r w:rsidR="00403CBB" w:rsidRPr="005418DB">
        <w:rPr>
          <w:rFonts w:ascii="Times New Roman" w:hAnsi="Times New Roman" w:cs="Times New Roman"/>
          <w:sz w:val="24"/>
          <w:szCs w:val="24"/>
        </w:rPr>
        <w:t>est évolué à l’</w:t>
      </w:r>
      <w:r w:rsidR="00686C36" w:rsidRPr="005418DB">
        <w:rPr>
          <w:rFonts w:ascii="Times New Roman" w:hAnsi="Times New Roman" w:cs="Times New Roman"/>
          <w:sz w:val="24"/>
          <w:szCs w:val="24"/>
        </w:rPr>
        <w:t xml:space="preserve">équité, qui est plutôt un but </w:t>
      </w:r>
      <w:r w:rsidR="00403CBB" w:rsidRPr="005418DB">
        <w:rPr>
          <w:rFonts w:ascii="Times New Roman" w:hAnsi="Times New Roman" w:cs="Times New Roman"/>
          <w:sz w:val="24"/>
          <w:szCs w:val="24"/>
        </w:rPr>
        <w:t>pour les profs de se</w:t>
      </w:r>
      <w:r w:rsidR="00686C36" w:rsidRPr="005418DB">
        <w:rPr>
          <w:rFonts w:ascii="Times New Roman" w:hAnsi="Times New Roman" w:cs="Times New Roman"/>
          <w:sz w:val="24"/>
          <w:szCs w:val="24"/>
        </w:rPr>
        <w:t xml:space="preserve"> conscientiser des difficultés </w:t>
      </w:r>
      <w:r w:rsidR="00403CBB" w:rsidRPr="005418DB">
        <w:rPr>
          <w:rFonts w:ascii="Times New Roman" w:hAnsi="Times New Roman" w:cs="Times New Roman"/>
          <w:sz w:val="24"/>
          <w:szCs w:val="24"/>
        </w:rPr>
        <w:t>de leurs élèves</w:t>
      </w:r>
      <w:r w:rsidR="00686C36" w:rsidRPr="005418DB">
        <w:rPr>
          <w:rFonts w:ascii="Times New Roman" w:hAnsi="Times New Roman" w:cs="Times New Roman"/>
          <w:sz w:val="24"/>
          <w:szCs w:val="24"/>
        </w:rPr>
        <w:t xml:space="preserve"> afin de les mener au niveau </w:t>
      </w:r>
      <w:r w:rsidR="00403CBB" w:rsidRPr="005418DB">
        <w:rPr>
          <w:rFonts w:ascii="Times New Roman" w:hAnsi="Times New Roman" w:cs="Times New Roman"/>
          <w:sz w:val="24"/>
          <w:szCs w:val="24"/>
        </w:rPr>
        <w:t xml:space="preserve">pour qu’ils puissent apprendre et </w:t>
      </w:r>
      <w:r w:rsidR="00686C36" w:rsidRPr="005418DB">
        <w:rPr>
          <w:rFonts w:ascii="Times New Roman" w:hAnsi="Times New Roman" w:cs="Times New Roman"/>
          <w:sz w:val="24"/>
          <w:szCs w:val="24"/>
        </w:rPr>
        <w:t xml:space="preserve"> réussir de façon équitable à leurs camarades de classe. </w:t>
      </w:r>
      <w:r w:rsidR="00403CBB" w:rsidRPr="005418DB">
        <w:rPr>
          <w:rFonts w:ascii="Times New Roman" w:hAnsi="Times New Roman" w:cs="Times New Roman"/>
          <w:sz w:val="24"/>
          <w:szCs w:val="24"/>
        </w:rPr>
        <w:t>De plus, l</w:t>
      </w:r>
      <w:r w:rsidR="00AD3178" w:rsidRPr="005418DB">
        <w:rPr>
          <w:rFonts w:ascii="Times New Roman" w:hAnsi="Times New Roman" w:cs="Times New Roman"/>
          <w:sz w:val="24"/>
          <w:szCs w:val="24"/>
        </w:rPr>
        <w:t>e guide d’apprentissage pour tous assure le succès de l’enseignement et de l’évaluation pour chaque enseignant si il/elle intègre les 3 éléments suivants à leur enseignement : la personnalisation, les interventions ciblées ainsi que le perfectionnement professionnel. En premier lieu, la personnalisation implique la centralisation de l’élève au processus afin qu’il puisse recevoir un enseignement et une évaluation adaptés à ses besoins. En deuxième lieu, le</w:t>
      </w:r>
      <w:r w:rsidR="00403CBB" w:rsidRPr="005418DB">
        <w:rPr>
          <w:rFonts w:ascii="Times New Roman" w:hAnsi="Times New Roman" w:cs="Times New Roman"/>
          <w:sz w:val="24"/>
          <w:szCs w:val="24"/>
        </w:rPr>
        <w:t>s interventions ciblées vise</w:t>
      </w:r>
      <w:r w:rsidR="00AD3178" w:rsidRPr="005418DB">
        <w:rPr>
          <w:rFonts w:ascii="Times New Roman" w:hAnsi="Times New Roman" w:cs="Times New Roman"/>
          <w:sz w:val="24"/>
          <w:szCs w:val="24"/>
        </w:rPr>
        <w:t xml:space="preserve"> une évaluation au service de l’apprentissage </w:t>
      </w:r>
      <w:r w:rsidR="00403CBB" w:rsidRPr="005418DB">
        <w:rPr>
          <w:rFonts w:ascii="Times New Roman" w:hAnsi="Times New Roman" w:cs="Times New Roman"/>
          <w:sz w:val="24"/>
          <w:szCs w:val="24"/>
        </w:rPr>
        <w:t>qui établit un lien avec les méthodes d’enseignement employées, et ce, au quotidien. Donc, le prof doit constamment être au courant des progrès autant que les déclins des élèves. En troisième lieu, le perfectionnement professionnel dénote que chaque enseignant doit toujours chercher à s’améliorer en assistant aux formations qui lui sont offertes</w:t>
      </w:r>
      <w:r w:rsidR="00AC47D7" w:rsidRPr="005418DB">
        <w:rPr>
          <w:rStyle w:val="FootnoteReference"/>
          <w:rFonts w:ascii="Times New Roman" w:hAnsi="Times New Roman" w:cs="Times New Roman"/>
          <w:sz w:val="24"/>
          <w:szCs w:val="24"/>
        </w:rPr>
        <w:footnoteReference w:id="3"/>
      </w:r>
      <w:r w:rsidR="00403CBB" w:rsidRPr="005418DB">
        <w:rPr>
          <w:rFonts w:ascii="Times New Roman" w:hAnsi="Times New Roman" w:cs="Times New Roman"/>
          <w:sz w:val="24"/>
          <w:szCs w:val="24"/>
        </w:rPr>
        <w:t xml:space="preserve">. Par exemple, je planifie employer la technologie pour ses bienfaits, afin que les étudiants puissent employer un médium qui leur est familier afin de maximiser leurs chances de réussite. </w:t>
      </w:r>
    </w:p>
    <w:p w:rsidR="00403CBB" w:rsidRPr="005418DB" w:rsidRDefault="00403CBB" w:rsidP="00403CBB">
      <w:pPr>
        <w:spacing w:line="480" w:lineRule="auto"/>
        <w:ind w:firstLine="708"/>
        <w:rPr>
          <w:rFonts w:ascii="Times New Roman" w:hAnsi="Times New Roman" w:cs="Times New Roman"/>
          <w:sz w:val="24"/>
          <w:szCs w:val="24"/>
        </w:rPr>
      </w:pPr>
      <w:r w:rsidRPr="005418DB">
        <w:rPr>
          <w:rFonts w:ascii="Times New Roman" w:hAnsi="Times New Roman" w:cs="Times New Roman"/>
          <w:sz w:val="24"/>
          <w:szCs w:val="24"/>
        </w:rPr>
        <w:t>Pour conclure, il est évident que la carrière en enseignement implique plusieurs défis. L’éducation évolue constamment et comme nous l’avons vu dans l’</w:t>
      </w:r>
      <w:r w:rsidR="0019439C" w:rsidRPr="005418DB">
        <w:rPr>
          <w:rFonts w:ascii="Times New Roman" w:hAnsi="Times New Roman" w:cs="Times New Roman"/>
          <w:sz w:val="24"/>
          <w:szCs w:val="24"/>
        </w:rPr>
        <w:t xml:space="preserve">article analysé ci-haut, et </w:t>
      </w:r>
      <w:r w:rsidRPr="005418DB">
        <w:rPr>
          <w:rFonts w:ascii="Times New Roman" w:hAnsi="Times New Roman" w:cs="Times New Roman"/>
          <w:sz w:val="24"/>
          <w:szCs w:val="24"/>
        </w:rPr>
        <w:t>elle n’est surtout pas comme elle l’était auparavant. Mais, il faut apprécier les modifications et en prendre avantage car elles permettent un enseignement varié et individualisé pour chaque élève. Les enfants du 21</w:t>
      </w:r>
      <w:r w:rsidRPr="005418DB">
        <w:rPr>
          <w:rFonts w:ascii="Times New Roman" w:hAnsi="Times New Roman" w:cs="Times New Roman"/>
          <w:sz w:val="24"/>
          <w:szCs w:val="24"/>
          <w:vertAlign w:val="superscript"/>
        </w:rPr>
        <w:t>e</w:t>
      </w:r>
      <w:r w:rsidRPr="005418DB">
        <w:rPr>
          <w:rFonts w:ascii="Times New Roman" w:hAnsi="Times New Roman" w:cs="Times New Roman"/>
          <w:sz w:val="24"/>
          <w:szCs w:val="24"/>
        </w:rPr>
        <w:t xml:space="preserve"> siècle sont extrêmement chanceux d’avoir des enseignants qui tiennent leur réussite à cœur, en variant leurs leçons ainsi que </w:t>
      </w:r>
      <w:r w:rsidRPr="005418DB">
        <w:rPr>
          <w:rFonts w:ascii="Times New Roman" w:hAnsi="Times New Roman" w:cs="Times New Roman"/>
          <w:sz w:val="24"/>
          <w:szCs w:val="24"/>
        </w:rPr>
        <w:lastRenderedPageBreak/>
        <w:t xml:space="preserve">leurs méthodes d’évaluation. En tant que prof, il faut simplement conscientiser nos élèves de ce fait afin qu’ils puissent assumer leurs responsabilités </w:t>
      </w:r>
      <w:r w:rsidR="0019439C" w:rsidRPr="005418DB">
        <w:rPr>
          <w:rFonts w:ascii="Times New Roman" w:hAnsi="Times New Roman" w:cs="Times New Roman"/>
          <w:sz w:val="24"/>
          <w:szCs w:val="24"/>
        </w:rPr>
        <w:t xml:space="preserve">et ensuite nous accompagner sur leur </w:t>
      </w:r>
      <w:r w:rsidRPr="005418DB">
        <w:rPr>
          <w:rFonts w:ascii="Times New Roman" w:hAnsi="Times New Roman" w:cs="Times New Roman"/>
          <w:sz w:val="24"/>
          <w:szCs w:val="24"/>
        </w:rPr>
        <w:t xml:space="preserve">chemin vers la réussite. </w:t>
      </w:r>
    </w:p>
    <w:p w:rsidR="00AC47D7" w:rsidRDefault="00403CBB" w:rsidP="00AC47D7">
      <w:pPr>
        <w:spacing w:line="480" w:lineRule="auto"/>
        <w:ind w:firstLine="708"/>
        <w:rPr>
          <w:rFonts w:ascii="Times New Roman" w:hAnsi="Times New Roman" w:cs="Times New Roman"/>
        </w:rPr>
      </w:pPr>
      <w:r>
        <w:rPr>
          <w:rFonts w:ascii="Times New Roman" w:hAnsi="Times New Roman" w:cs="Times New Roman"/>
        </w:rPr>
        <w:t xml:space="preserve"> </w:t>
      </w:r>
    </w:p>
    <w:p w:rsidR="00AC47D7" w:rsidRDefault="00AC47D7" w:rsidP="00AC47D7">
      <w:pPr>
        <w:spacing w:line="480" w:lineRule="auto"/>
        <w:ind w:firstLine="708"/>
        <w:rPr>
          <w:rFonts w:ascii="Times New Roman" w:hAnsi="Times New Roman" w:cs="Times New Roman"/>
        </w:rPr>
      </w:pPr>
    </w:p>
    <w:p w:rsidR="00AC47D7" w:rsidRDefault="00AC47D7" w:rsidP="00AC47D7">
      <w:pPr>
        <w:spacing w:line="480" w:lineRule="auto"/>
        <w:ind w:firstLine="708"/>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5418DB" w:rsidRDefault="005418DB" w:rsidP="00AC47D7">
      <w:pPr>
        <w:spacing w:line="480" w:lineRule="auto"/>
        <w:rPr>
          <w:rFonts w:ascii="Times New Roman" w:hAnsi="Times New Roman" w:cs="Times New Roman"/>
        </w:rPr>
      </w:pPr>
    </w:p>
    <w:p w:rsidR="005418DB" w:rsidRDefault="005418DB" w:rsidP="00AC47D7">
      <w:pPr>
        <w:spacing w:line="480" w:lineRule="auto"/>
        <w:rPr>
          <w:rFonts w:ascii="Times New Roman" w:hAnsi="Times New Roman" w:cs="Times New Roman"/>
        </w:rPr>
      </w:pPr>
    </w:p>
    <w:p w:rsidR="005418DB" w:rsidRDefault="005418DB" w:rsidP="00AC47D7">
      <w:pPr>
        <w:spacing w:line="480" w:lineRule="auto"/>
        <w:rPr>
          <w:rFonts w:ascii="Times New Roman" w:hAnsi="Times New Roman" w:cs="Times New Roman"/>
        </w:rPr>
      </w:pPr>
    </w:p>
    <w:p w:rsidR="005418DB" w:rsidRDefault="005418DB" w:rsidP="00AC47D7">
      <w:pPr>
        <w:spacing w:line="480" w:lineRule="auto"/>
        <w:rPr>
          <w:rFonts w:ascii="Times New Roman" w:hAnsi="Times New Roman" w:cs="Times New Roman"/>
        </w:rPr>
      </w:pPr>
    </w:p>
    <w:p w:rsidR="00AC47D7" w:rsidRDefault="00AC47D7" w:rsidP="00AC47D7">
      <w:pPr>
        <w:spacing w:line="480" w:lineRule="auto"/>
        <w:rPr>
          <w:rFonts w:ascii="Times New Roman" w:hAnsi="Times New Roman" w:cs="Times New Roman"/>
        </w:rPr>
      </w:pPr>
    </w:p>
    <w:p w:rsidR="00AC47D7" w:rsidRPr="005418DB" w:rsidRDefault="00AC47D7" w:rsidP="00AC47D7">
      <w:pPr>
        <w:spacing w:line="480" w:lineRule="auto"/>
        <w:jc w:val="center"/>
        <w:rPr>
          <w:rFonts w:ascii="Times New Roman" w:hAnsi="Times New Roman" w:cs="Times New Roman"/>
          <w:b/>
          <w:sz w:val="28"/>
          <w:szCs w:val="28"/>
        </w:rPr>
      </w:pPr>
      <w:r w:rsidRPr="005418DB">
        <w:rPr>
          <w:rFonts w:ascii="Times New Roman" w:hAnsi="Times New Roman" w:cs="Times New Roman"/>
          <w:b/>
          <w:sz w:val="28"/>
          <w:szCs w:val="28"/>
        </w:rPr>
        <w:lastRenderedPageBreak/>
        <w:t>Bibliographie</w:t>
      </w:r>
    </w:p>
    <w:p w:rsidR="00AC47D7" w:rsidRPr="005418DB" w:rsidRDefault="00AC47D7" w:rsidP="00AC47D7">
      <w:pPr>
        <w:spacing w:line="240" w:lineRule="auto"/>
        <w:rPr>
          <w:rFonts w:ascii="Times New Roman" w:hAnsi="Times New Roman" w:cs="Times New Roman"/>
          <w:sz w:val="24"/>
          <w:szCs w:val="24"/>
        </w:rPr>
      </w:pPr>
      <w:r w:rsidRPr="005418DB">
        <w:rPr>
          <w:rFonts w:ascii="Times New Roman" w:hAnsi="Times New Roman" w:cs="Times New Roman"/>
          <w:sz w:val="24"/>
          <w:szCs w:val="24"/>
        </w:rPr>
        <w:t>MINISTÈRE DE L’ONTARIO</w:t>
      </w:r>
      <w:r w:rsidRPr="005418DB">
        <w:rPr>
          <w:rFonts w:ascii="Times New Roman" w:hAnsi="Times New Roman" w:cs="Times New Roman"/>
          <w:sz w:val="24"/>
          <w:szCs w:val="24"/>
        </w:rPr>
        <w:t xml:space="preserve">, </w:t>
      </w:r>
      <w:r w:rsidRPr="005418DB">
        <w:rPr>
          <w:rFonts w:ascii="Times New Roman" w:hAnsi="Times New Roman" w:cs="Times New Roman"/>
          <w:i/>
          <w:sz w:val="24"/>
          <w:szCs w:val="24"/>
        </w:rPr>
        <w:t>L’apprentissage pour tous</w:t>
      </w:r>
      <w:r w:rsidRPr="005418DB">
        <w:rPr>
          <w:rFonts w:ascii="Times New Roman" w:hAnsi="Times New Roman" w:cs="Times New Roman"/>
          <w:sz w:val="24"/>
          <w:szCs w:val="24"/>
        </w:rPr>
        <w:t xml:space="preserve">, Imprimeur de la Reine pour l’Ontario, 2011, </w:t>
      </w:r>
      <w:r w:rsidRPr="005418DB">
        <w:rPr>
          <w:rFonts w:ascii="Times New Roman" w:hAnsi="Times New Roman" w:cs="Times New Roman"/>
          <w:sz w:val="24"/>
          <w:szCs w:val="24"/>
        </w:rPr>
        <w:t>71 p.</w:t>
      </w:r>
    </w:p>
    <w:p w:rsidR="00AC47D7" w:rsidRPr="00AC47D7" w:rsidRDefault="00AC47D7" w:rsidP="00AC47D7">
      <w:pPr>
        <w:spacing w:line="480" w:lineRule="auto"/>
        <w:rPr>
          <w:rFonts w:ascii="Times New Roman" w:hAnsi="Times New Roman" w:cs="Times New Roman"/>
        </w:rPr>
      </w:pPr>
      <w:bookmarkStart w:id="0" w:name="_GoBack"/>
      <w:bookmarkEnd w:id="0"/>
    </w:p>
    <w:sectPr w:rsidR="00AC47D7" w:rsidRPr="00AC47D7" w:rsidSect="000248A4">
      <w:footerReference w:type="defaul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53F" w:rsidRDefault="00BB053F" w:rsidP="00B6572A">
      <w:pPr>
        <w:spacing w:after="0" w:line="240" w:lineRule="auto"/>
      </w:pPr>
      <w:r>
        <w:separator/>
      </w:r>
    </w:p>
  </w:endnote>
  <w:endnote w:type="continuationSeparator" w:id="0">
    <w:p w:rsidR="00BB053F" w:rsidRDefault="00BB053F" w:rsidP="00B65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7066876"/>
      <w:docPartObj>
        <w:docPartGallery w:val="Page Numbers (Bottom of Page)"/>
        <w:docPartUnique/>
      </w:docPartObj>
    </w:sdtPr>
    <w:sdtEndPr>
      <w:rPr>
        <w:noProof/>
      </w:rPr>
    </w:sdtEndPr>
    <w:sdtContent>
      <w:p w:rsidR="000248A4" w:rsidRDefault="000248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248A4" w:rsidRDefault="000248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53F" w:rsidRDefault="00BB053F" w:rsidP="00B6572A">
      <w:pPr>
        <w:spacing w:after="0" w:line="240" w:lineRule="auto"/>
      </w:pPr>
      <w:r>
        <w:separator/>
      </w:r>
    </w:p>
  </w:footnote>
  <w:footnote w:type="continuationSeparator" w:id="0">
    <w:p w:rsidR="00BB053F" w:rsidRDefault="00BB053F" w:rsidP="00B6572A">
      <w:pPr>
        <w:spacing w:after="0" w:line="240" w:lineRule="auto"/>
      </w:pPr>
      <w:r>
        <w:continuationSeparator/>
      </w:r>
    </w:p>
  </w:footnote>
  <w:footnote w:id="1">
    <w:p w:rsidR="00B6572A" w:rsidRPr="00AC47D7" w:rsidRDefault="00B6572A">
      <w:pPr>
        <w:pStyle w:val="FootnoteText"/>
        <w:rPr>
          <w:rFonts w:ascii="Times New Roman" w:hAnsi="Times New Roman" w:cs="Times New Roman"/>
        </w:rPr>
      </w:pPr>
      <w:r w:rsidRPr="00AC47D7">
        <w:rPr>
          <w:rStyle w:val="FootnoteReference"/>
          <w:rFonts w:ascii="Times New Roman" w:hAnsi="Times New Roman" w:cs="Times New Roman"/>
        </w:rPr>
        <w:footnoteRef/>
      </w:r>
      <w:r w:rsidRPr="00AC47D7">
        <w:rPr>
          <w:rFonts w:ascii="Times New Roman" w:hAnsi="Times New Roman" w:cs="Times New Roman"/>
        </w:rPr>
        <w:t xml:space="preserve"> </w:t>
      </w:r>
      <w:r w:rsidR="00AC47D7" w:rsidRPr="00AC47D7">
        <w:rPr>
          <w:rFonts w:ascii="Times New Roman" w:hAnsi="Times New Roman" w:cs="Times New Roman"/>
        </w:rPr>
        <w:t xml:space="preserve">Ministère de l’Ontario, </w:t>
      </w:r>
      <w:r w:rsidRPr="00AC47D7">
        <w:rPr>
          <w:rFonts w:ascii="Times New Roman" w:hAnsi="Times New Roman" w:cs="Times New Roman"/>
          <w:i/>
        </w:rPr>
        <w:t>L’apprentissage pour tous</w:t>
      </w:r>
      <w:r w:rsidRPr="00AC47D7">
        <w:rPr>
          <w:rFonts w:ascii="Times New Roman" w:hAnsi="Times New Roman" w:cs="Times New Roman"/>
        </w:rPr>
        <w:t xml:space="preserve">, </w:t>
      </w:r>
      <w:r w:rsidR="00AC47D7" w:rsidRPr="00AC47D7">
        <w:rPr>
          <w:rFonts w:ascii="Times New Roman" w:hAnsi="Times New Roman" w:cs="Times New Roman"/>
        </w:rPr>
        <w:t>Imprimeur de la Reine pour l’Ontario, 2011, p.</w:t>
      </w:r>
      <w:r w:rsidRPr="00AC47D7">
        <w:rPr>
          <w:rFonts w:ascii="Times New Roman" w:hAnsi="Times New Roman" w:cs="Times New Roman"/>
        </w:rPr>
        <w:t xml:space="preserve"> 8</w:t>
      </w:r>
      <w:r w:rsidR="00AC47D7" w:rsidRPr="00AC47D7">
        <w:rPr>
          <w:rFonts w:ascii="Times New Roman" w:hAnsi="Times New Roman" w:cs="Times New Roman"/>
        </w:rPr>
        <w:t>.</w:t>
      </w:r>
      <w:r w:rsidRPr="00AC47D7">
        <w:rPr>
          <w:rFonts w:ascii="Times New Roman" w:hAnsi="Times New Roman" w:cs="Times New Roman"/>
        </w:rPr>
        <w:t xml:space="preserve"> </w:t>
      </w:r>
    </w:p>
  </w:footnote>
  <w:footnote w:id="2">
    <w:p w:rsidR="00B6572A" w:rsidRPr="00AC47D7" w:rsidRDefault="00B6572A">
      <w:pPr>
        <w:pStyle w:val="FootnoteText"/>
        <w:rPr>
          <w:rFonts w:ascii="Times New Roman" w:hAnsi="Times New Roman" w:cs="Times New Roman"/>
        </w:rPr>
      </w:pPr>
      <w:r w:rsidRPr="00AC47D7">
        <w:rPr>
          <w:rStyle w:val="FootnoteReference"/>
          <w:rFonts w:ascii="Times New Roman" w:hAnsi="Times New Roman" w:cs="Times New Roman"/>
        </w:rPr>
        <w:footnoteRef/>
      </w:r>
      <w:r w:rsidR="00AC47D7" w:rsidRPr="00AC47D7">
        <w:rPr>
          <w:rFonts w:ascii="Times New Roman" w:hAnsi="Times New Roman" w:cs="Times New Roman"/>
        </w:rPr>
        <w:t xml:space="preserve"> </w:t>
      </w:r>
      <w:proofErr w:type="spellStart"/>
      <w:r w:rsidR="00AC47D7" w:rsidRPr="00AC47D7">
        <w:rPr>
          <w:rFonts w:ascii="Times New Roman" w:hAnsi="Times New Roman" w:cs="Times New Roman"/>
          <w:i/>
        </w:rPr>
        <w:t>Ibid</w:t>
      </w:r>
      <w:proofErr w:type="spellEnd"/>
      <w:r w:rsidR="00AC47D7" w:rsidRPr="00AC47D7">
        <w:rPr>
          <w:rFonts w:ascii="Times New Roman" w:hAnsi="Times New Roman" w:cs="Times New Roman"/>
          <w:i/>
        </w:rPr>
        <w:t>,</w:t>
      </w:r>
      <w:r w:rsidR="00AC47D7" w:rsidRPr="00AC47D7">
        <w:rPr>
          <w:rFonts w:ascii="Times New Roman" w:hAnsi="Times New Roman" w:cs="Times New Roman"/>
        </w:rPr>
        <w:t xml:space="preserve"> p.</w:t>
      </w:r>
      <w:r w:rsidRPr="00AC47D7">
        <w:rPr>
          <w:rFonts w:ascii="Times New Roman" w:hAnsi="Times New Roman" w:cs="Times New Roman"/>
        </w:rPr>
        <w:t xml:space="preserve"> 8. </w:t>
      </w:r>
    </w:p>
  </w:footnote>
  <w:footnote w:id="3">
    <w:p w:rsidR="00AC47D7" w:rsidRDefault="00AC47D7">
      <w:pPr>
        <w:pStyle w:val="FootnoteText"/>
      </w:pPr>
      <w:r w:rsidRPr="00AC47D7">
        <w:rPr>
          <w:rStyle w:val="FootnoteReference"/>
          <w:rFonts w:ascii="Times New Roman" w:hAnsi="Times New Roman" w:cs="Times New Roman"/>
        </w:rPr>
        <w:footnoteRef/>
      </w:r>
      <w:r w:rsidRPr="00AC47D7">
        <w:rPr>
          <w:rFonts w:ascii="Times New Roman" w:hAnsi="Times New Roman" w:cs="Times New Roman"/>
        </w:rPr>
        <w:t xml:space="preserve"> </w:t>
      </w:r>
      <w:proofErr w:type="spellStart"/>
      <w:r w:rsidRPr="00AC47D7">
        <w:rPr>
          <w:rFonts w:ascii="Times New Roman" w:hAnsi="Times New Roman" w:cs="Times New Roman"/>
          <w:i/>
        </w:rPr>
        <w:t>Ibid</w:t>
      </w:r>
      <w:proofErr w:type="spellEnd"/>
      <w:r w:rsidRPr="00AC47D7">
        <w:rPr>
          <w:rFonts w:ascii="Times New Roman" w:hAnsi="Times New Roman" w:cs="Times New Roman"/>
        </w:rPr>
        <w:t>, p. 9.</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281E"/>
    <w:multiLevelType w:val="hybridMultilevel"/>
    <w:tmpl w:val="9A74DE04"/>
    <w:lvl w:ilvl="0" w:tplc="F0686608">
      <w:start w:val="16"/>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5C9D4788"/>
    <w:multiLevelType w:val="hybridMultilevel"/>
    <w:tmpl w:val="046CFDB0"/>
    <w:lvl w:ilvl="0" w:tplc="708C3E08">
      <w:start w:val="16"/>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329"/>
    <w:rsid w:val="000248A4"/>
    <w:rsid w:val="000A7329"/>
    <w:rsid w:val="0015089A"/>
    <w:rsid w:val="0019439C"/>
    <w:rsid w:val="00334B89"/>
    <w:rsid w:val="00403CBB"/>
    <w:rsid w:val="005418DB"/>
    <w:rsid w:val="005B0B35"/>
    <w:rsid w:val="00686C36"/>
    <w:rsid w:val="008A063C"/>
    <w:rsid w:val="0092072D"/>
    <w:rsid w:val="0093493F"/>
    <w:rsid w:val="009F6762"/>
    <w:rsid w:val="00AC47D7"/>
    <w:rsid w:val="00AD3178"/>
    <w:rsid w:val="00B6572A"/>
    <w:rsid w:val="00BB053F"/>
    <w:rsid w:val="00BD7B4D"/>
    <w:rsid w:val="00BF298E"/>
    <w:rsid w:val="00D4062D"/>
    <w:rsid w:val="00DA14D8"/>
    <w:rsid w:val="00DB738D"/>
    <w:rsid w:val="00E67886"/>
    <w:rsid w:val="00F3172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329"/>
    <w:pPr>
      <w:ind w:left="720"/>
      <w:contextualSpacing/>
    </w:pPr>
  </w:style>
  <w:style w:type="paragraph" w:styleId="FootnoteText">
    <w:name w:val="footnote text"/>
    <w:basedOn w:val="Normal"/>
    <w:link w:val="FootnoteTextChar"/>
    <w:uiPriority w:val="99"/>
    <w:semiHidden/>
    <w:unhideWhenUsed/>
    <w:rsid w:val="00B657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572A"/>
    <w:rPr>
      <w:sz w:val="20"/>
      <w:szCs w:val="20"/>
    </w:rPr>
  </w:style>
  <w:style w:type="character" w:styleId="FootnoteReference">
    <w:name w:val="footnote reference"/>
    <w:basedOn w:val="DefaultParagraphFont"/>
    <w:uiPriority w:val="99"/>
    <w:semiHidden/>
    <w:unhideWhenUsed/>
    <w:rsid w:val="00B6572A"/>
    <w:rPr>
      <w:vertAlign w:val="superscript"/>
    </w:rPr>
  </w:style>
  <w:style w:type="paragraph" w:styleId="Header">
    <w:name w:val="header"/>
    <w:basedOn w:val="Normal"/>
    <w:link w:val="HeaderChar"/>
    <w:uiPriority w:val="99"/>
    <w:unhideWhenUsed/>
    <w:rsid w:val="000248A4"/>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48A4"/>
  </w:style>
  <w:style w:type="paragraph" w:styleId="Footer">
    <w:name w:val="footer"/>
    <w:basedOn w:val="Normal"/>
    <w:link w:val="FooterChar"/>
    <w:uiPriority w:val="99"/>
    <w:unhideWhenUsed/>
    <w:rsid w:val="000248A4"/>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48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329"/>
    <w:pPr>
      <w:ind w:left="720"/>
      <w:contextualSpacing/>
    </w:pPr>
  </w:style>
  <w:style w:type="paragraph" w:styleId="FootnoteText">
    <w:name w:val="footnote text"/>
    <w:basedOn w:val="Normal"/>
    <w:link w:val="FootnoteTextChar"/>
    <w:uiPriority w:val="99"/>
    <w:semiHidden/>
    <w:unhideWhenUsed/>
    <w:rsid w:val="00B657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572A"/>
    <w:rPr>
      <w:sz w:val="20"/>
      <w:szCs w:val="20"/>
    </w:rPr>
  </w:style>
  <w:style w:type="character" w:styleId="FootnoteReference">
    <w:name w:val="footnote reference"/>
    <w:basedOn w:val="DefaultParagraphFont"/>
    <w:uiPriority w:val="99"/>
    <w:semiHidden/>
    <w:unhideWhenUsed/>
    <w:rsid w:val="00B6572A"/>
    <w:rPr>
      <w:vertAlign w:val="superscript"/>
    </w:rPr>
  </w:style>
  <w:style w:type="paragraph" w:styleId="Header">
    <w:name w:val="header"/>
    <w:basedOn w:val="Normal"/>
    <w:link w:val="HeaderChar"/>
    <w:uiPriority w:val="99"/>
    <w:unhideWhenUsed/>
    <w:rsid w:val="000248A4"/>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48A4"/>
  </w:style>
  <w:style w:type="paragraph" w:styleId="Footer">
    <w:name w:val="footer"/>
    <w:basedOn w:val="Normal"/>
    <w:link w:val="FooterChar"/>
    <w:uiPriority w:val="99"/>
    <w:unhideWhenUsed/>
    <w:rsid w:val="000248A4"/>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4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0D2DA-AB54-48AE-A206-8DD625A13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1592</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fra1705</dc:creator>
  <cp:lastModifiedBy>fra1705</cp:lastModifiedBy>
  <cp:revision>2</cp:revision>
  <dcterms:created xsi:type="dcterms:W3CDTF">2014-03-31T19:22:00Z</dcterms:created>
  <dcterms:modified xsi:type="dcterms:W3CDTF">2014-03-31T19:22:00Z</dcterms:modified>
</cp:coreProperties>
</file>