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Laboratoire n</w:t>
      </w:r>
      <w:r w:rsidRPr="00820DA7">
        <w:rPr>
          <w:sz w:val="30"/>
          <w:szCs w:val="30"/>
          <w:vertAlign w:val="superscript"/>
          <w:lang w:val="fr-FR"/>
        </w:rPr>
        <w:t>o</w:t>
      </w:r>
      <w:r w:rsidRPr="00820DA7">
        <w:rPr>
          <w:sz w:val="28"/>
          <w:szCs w:val="28"/>
          <w:lang w:val="fr-FR"/>
        </w:rPr>
        <w:t>3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Recombinaison, liaison et cartographies génétiques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820DA7" w:rsidRPr="00820DA7" w:rsidRDefault="00820DA7">
      <w:pPr>
        <w:ind w:left="280" w:right="120"/>
        <w:rPr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Par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Léanne Deschênes, 8605262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Yasmine Al-Nakeeb, 8631938</w:t>
      </w:r>
    </w:p>
    <w:p w:rsidR="001A0D93" w:rsidRPr="00820DA7" w:rsidRDefault="001A0D93">
      <w:pPr>
        <w:ind w:left="280" w:right="120"/>
        <w:jc w:val="center"/>
        <w:rPr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BIO2355 Section A01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Le mardi 13 février 2018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Département de Biologie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 xml:space="preserve"> </w:t>
      </w:r>
    </w:p>
    <w:p w:rsidR="001A0D93" w:rsidRPr="00820DA7" w:rsidRDefault="00C1092F">
      <w:pPr>
        <w:ind w:left="280" w:right="120"/>
        <w:jc w:val="center"/>
        <w:rPr>
          <w:sz w:val="28"/>
          <w:szCs w:val="28"/>
          <w:lang w:val="fr-FR"/>
        </w:rPr>
      </w:pPr>
      <w:r w:rsidRPr="00820DA7">
        <w:rPr>
          <w:sz w:val="28"/>
          <w:szCs w:val="28"/>
          <w:lang w:val="fr-FR"/>
        </w:rPr>
        <w:t>Université d’Ottawa</w:t>
      </w:r>
    </w:p>
    <w:p w:rsidR="00820DA7" w:rsidRPr="00820DA7" w:rsidRDefault="00C1092F">
      <w:pPr>
        <w:ind w:left="280" w:right="120"/>
        <w:rPr>
          <w:b/>
          <w:sz w:val="28"/>
          <w:szCs w:val="28"/>
          <w:lang w:val="fr-FR"/>
        </w:rPr>
      </w:pPr>
      <w:r w:rsidRPr="00820DA7">
        <w:rPr>
          <w:b/>
          <w:sz w:val="28"/>
          <w:szCs w:val="28"/>
          <w:lang w:val="fr-FR"/>
        </w:rPr>
        <w:tab/>
      </w:r>
    </w:p>
    <w:p w:rsidR="001A0D93" w:rsidRPr="00820DA7" w:rsidRDefault="00C1092F" w:rsidP="00820DA7">
      <w:pPr>
        <w:ind w:left="280" w:right="120" w:firstLine="440"/>
        <w:rPr>
          <w:b/>
          <w:sz w:val="28"/>
          <w:szCs w:val="28"/>
          <w:lang w:val="fr-FR"/>
        </w:rPr>
      </w:pPr>
      <w:r w:rsidRPr="00820DA7">
        <w:rPr>
          <w:b/>
          <w:sz w:val="30"/>
          <w:szCs w:val="30"/>
          <w:lang w:val="fr-FR"/>
        </w:rPr>
        <w:lastRenderedPageBreak/>
        <w:t>Introduction</w:t>
      </w:r>
      <w:r w:rsidRPr="00820DA7">
        <w:rPr>
          <w:b/>
          <w:sz w:val="28"/>
          <w:szCs w:val="28"/>
          <w:lang w:val="fr-FR"/>
        </w:rPr>
        <w:t xml:space="preserve"> </w:t>
      </w:r>
    </w:p>
    <w:p w:rsidR="001A0D93" w:rsidRPr="00820DA7" w:rsidRDefault="001A0D93">
      <w:pPr>
        <w:ind w:left="280"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rPr>
          <w:b/>
          <w:sz w:val="28"/>
          <w:szCs w:val="28"/>
          <w:lang w:val="fr-FR"/>
        </w:rPr>
      </w:pPr>
      <w:r w:rsidRPr="00820DA7">
        <w:rPr>
          <w:b/>
          <w:sz w:val="28"/>
          <w:szCs w:val="28"/>
          <w:lang w:val="fr-FR"/>
        </w:rPr>
        <w:t xml:space="preserve">Enjambement chromosomique </w:t>
      </w:r>
    </w:p>
    <w:p w:rsidR="001A0D93" w:rsidRPr="00820DA7" w:rsidRDefault="001A0D93">
      <w:pPr>
        <w:ind w:left="280"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t>Estimez la distance entre un gène d’intérêt (ou marqueur génétique ou locus) et le centromère de son chromosome sachant que l’enjambement chromosomique a été observé chez 10 descendants sur un total de 110 descendants. Estimez également le pourcentage de l’enjambement chromosomique pour un marqueur génétique dont la distance à son centromère est de 21.5 cM et convertissez cette valeur en distance estimée en paires de bases.</w:t>
      </w:r>
      <w:r w:rsidRPr="00820DA7">
        <w:rPr>
          <w:sz w:val="24"/>
          <w:szCs w:val="24"/>
          <w:lang w:val="fr-FR"/>
        </w:rPr>
        <w:t xml:space="preserve"> </w:t>
      </w:r>
    </w:p>
    <w:p w:rsidR="001A0D93" w:rsidRPr="00820DA7" w:rsidRDefault="001A0D93">
      <w:pPr>
        <w:ind w:right="120"/>
        <w:jc w:val="both"/>
        <w:rPr>
          <w:sz w:val="24"/>
          <w:szCs w:val="24"/>
          <w:lang w:val="fr-FR"/>
        </w:rPr>
      </w:pPr>
    </w:p>
    <w:tbl>
      <w:tblPr>
        <w:tblStyle w:val="a"/>
        <w:tblW w:w="9030" w:type="dxa"/>
        <w:tblInd w:w="380" w:type="dxa"/>
        <w:tblLayout w:type="fixed"/>
        <w:tblLook w:val="0600" w:firstRow="0" w:lastRow="0" w:firstColumn="0" w:lastColumn="0" w:noHBand="1" w:noVBand="1"/>
      </w:tblPr>
      <w:tblGrid>
        <w:gridCol w:w="3122"/>
        <w:gridCol w:w="5908"/>
      </w:tblGrid>
      <w:tr w:rsidR="001A0D93" w:rsidTr="00820DA7">
        <w:tc>
          <w:tcPr>
            <w:tcW w:w="31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numPr>
                <w:ilvl w:val="0"/>
                <w:numId w:val="1"/>
              </w:numPr>
              <w:spacing w:line="240" w:lineRule="auto"/>
              <w:contextualSpacing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 xml:space="preserve">Estimer la distance entre un gène d’intérêt et le centromère: </w:t>
            </w:r>
          </w:p>
          <w:p w:rsidR="001A0D93" w:rsidRDefault="00C1092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Enjambements observés = 10 </w:t>
            </w:r>
          </w:p>
          <w:p w:rsidR="001A0D93" w:rsidRDefault="00C1092F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Descendants totals = 110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9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A7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Enjambements observés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Descendants totals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110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=9.09 </m:t>
                </m:r>
              </m:oMath>
            </m:oMathPara>
          </w:p>
          <w:p w:rsidR="001A0D93" w:rsidRDefault="00C1092F" w:rsidP="00820DA7">
            <w:pPr>
              <w:widowControl w:val="0"/>
              <w:spacing w:line="240" w:lineRule="auto"/>
              <w:rPr>
                <w:rFonts w:ascii="Times" w:eastAsia="Times" w:hAnsi="Times" w:cs="Times"/>
                <w:i/>
                <w:sz w:val="24"/>
                <w:szCs w:val="24"/>
              </w:rPr>
            </w:pPr>
            <w:r w:rsidRPr="00820DA7">
              <w:rPr>
                <w:rFonts w:ascii="Times" w:eastAsia="Times" w:hAnsi="Times" w:cs="Times"/>
                <w:i/>
                <w:sz w:val="18"/>
                <w:szCs w:val="18"/>
              </w:rPr>
              <w:t xml:space="preserve">Distance au centromère = 9.09 cM </w:t>
            </w:r>
          </w:p>
        </w:tc>
      </w:tr>
    </w:tbl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Puisque la distance entre un gène d’intérêt et le centromère est directement proportionnelle à la fréquence d’enjambement, il est possible de conclure que la distance est d’environ 9.09 cM. </w:t>
      </w:r>
    </w:p>
    <w:p w:rsidR="001A0D93" w:rsidRPr="00820DA7" w:rsidRDefault="001A0D93">
      <w:pPr>
        <w:ind w:left="280" w:right="120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ind w:left="280" w:right="120"/>
        <w:jc w:val="both"/>
        <w:rPr>
          <w:sz w:val="24"/>
          <w:szCs w:val="24"/>
          <w:lang w:val="fr-FR"/>
        </w:rPr>
      </w:pPr>
    </w:p>
    <w:tbl>
      <w:tblPr>
        <w:tblStyle w:val="a0"/>
        <w:tblW w:w="9030" w:type="dxa"/>
        <w:tblInd w:w="380" w:type="dxa"/>
        <w:tblLayout w:type="fixed"/>
        <w:tblLook w:val="0600" w:firstRow="0" w:lastRow="0" w:firstColumn="0" w:lastColumn="0" w:noHBand="1" w:noVBand="1"/>
      </w:tblPr>
      <w:tblGrid>
        <w:gridCol w:w="3075"/>
        <w:gridCol w:w="5955"/>
      </w:tblGrid>
      <w:tr w:rsidR="001A0D9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jc w:val="both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>2. Estimer le pourcentage de l’enjambement chromosomique:</w:t>
            </w:r>
          </w:p>
          <w:p w:rsidR="001A0D93" w:rsidRPr="00820DA7" w:rsidRDefault="00C1092F">
            <w:pPr>
              <w:widowControl w:val="0"/>
              <w:spacing w:line="240" w:lineRule="auto"/>
              <w:jc w:val="both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Distance au centromère = fréquence d'enjambement chromosomique </m:t>
                </m:r>
              </m:oMath>
            </m:oMathPara>
          </w:p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21.5 cM = 21.5 % </m:t>
                </m:r>
              </m:oMath>
            </m:oMathPara>
          </w:p>
          <w:p w:rsidR="001A0D93" w:rsidRDefault="001A0D9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1A0D93" w:rsidRDefault="001A0D9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1A0D9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jc w:val="both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>3. Convertir la distance au centromère en distance estimée en paires de bases:</w:t>
            </w:r>
          </w:p>
        </w:tc>
        <w:tc>
          <w:tcPr>
            <w:tcW w:w="5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05247A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21.5 cM 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 cM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pbs</m:t>
                    </m:r>
                  </m:den>
                </m:f>
              </m:oMath>
            </m:oMathPara>
          </w:p>
          <w:p w:rsidR="001A0D93" w:rsidRDefault="00C1092F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x =</m:t>
                </m:r>
                <m:f>
                  <m:f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(21.5 cM)⋅(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 xml:space="preserve"> pbs)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(1 cM)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 </m:t>
                </m:r>
              </m:oMath>
            </m:oMathPara>
          </w:p>
          <w:p w:rsidR="001A0D93" w:rsidRDefault="00C1092F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x = 21.5×</m:t>
                </m:r>
                <m:sSup>
                  <m:sSupPr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pbs</m:t>
                </m:r>
              </m:oMath>
            </m:oMathPara>
          </w:p>
          <w:p w:rsidR="001A0D93" w:rsidRDefault="001A0D93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Puisque la distance au centromère est directement proportionnelle à la fréquence d’enjambement chromosomique, il est possible de conclure que le pourcentage d’enjambement chromosomique est de 21.5% </w:t>
      </w:r>
    </w:p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>Par la suite, il est possible de convertir la distance au centromère en distance estimée en paires de bases. Sachant qu’un centiMorgan correspond à 10</w:t>
      </w:r>
      <w:r w:rsidRPr="00820DA7">
        <w:rPr>
          <w:sz w:val="24"/>
          <w:szCs w:val="24"/>
          <w:vertAlign w:val="superscript"/>
          <w:lang w:val="fr-FR"/>
        </w:rPr>
        <w:t>5</w:t>
      </w:r>
      <w:r w:rsidRPr="00820DA7">
        <w:rPr>
          <w:sz w:val="24"/>
          <w:szCs w:val="24"/>
          <w:lang w:val="fr-FR"/>
        </w:rPr>
        <w:t xml:space="preserve"> pbs chez l’</w:t>
      </w:r>
      <w:r w:rsidRPr="00820DA7">
        <w:rPr>
          <w:i/>
          <w:sz w:val="24"/>
          <w:szCs w:val="24"/>
          <w:lang w:val="fr-FR"/>
        </w:rPr>
        <w:t>Homo sapiens</w:t>
      </w:r>
      <w:r w:rsidRPr="00820DA7">
        <w:rPr>
          <w:sz w:val="24"/>
          <w:szCs w:val="24"/>
          <w:lang w:val="fr-FR"/>
        </w:rPr>
        <w:t>, il a été conclu que la ce marqueur génétique a une distance de 21.5x10</w:t>
      </w:r>
      <w:r w:rsidRPr="00820DA7">
        <w:rPr>
          <w:sz w:val="24"/>
          <w:szCs w:val="24"/>
          <w:vertAlign w:val="superscript"/>
          <w:lang w:val="fr-FR"/>
        </w:rPr>
        <w:t>5</w:t>
      </w:r>
      <w:r w:rsidRPr="00820DA7">
        <w:rPr>
          <w:sz w:val="24"/>
          <w:szCs w:val="24"/>
          <w:lang w:val="fr-FR"/>
        </w:rPr>
        <w:t xml:space="preserve"> pbs du centromère si celu</w:t>
      </w:r>
      <w:r w:rsidR="00820DA7">
        <w:rPr>
          <w:sz w:val="24"/>
          <w:szCs w:val="24"/>
          <w:lang w:val="fr-FR"/>
        </w:rPr>
        <w:t>i-ci s’applique à l’être humain</w:t>
      </w:r>
      <w:r w:rsidRPr="00820DA7">
        <w:rPr>
          <w:sz w:val="24"/>
          <w:szCs w:val="24"/>
          <w:lang w:val="fr-FR"/>
        </w:rPr>
        <w:t xml:space="preserve">. </w:t>
      </w:r>
    </w:p>
    <w:p w:rsidR="001A0D93" w:rsidRPr="00820DA7" w:rsidRDefault="001A0D93">
      <w:pPr>
        <w:ind w:left="280" w:right="120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ind w:left="280" w:right="120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ind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rPr>
          <w:b/>
          <w:sz w:val="28"/>
          <w:szCs w:val="28"/>
          <w:lang w:val="fr-FR"/>
        </w:rPr>
      </w:pPr>
      <w:r w:rsidRPr="00820DA7">
        <w:rPr>
          <w:b/>
          <w:sz w:val="30"/>
          <w:szCs w:val="30"/>
          <w:lang w:val="fr-FR"/>
        </w:rPr>
        <w:lastRenderedPageBreak/>
        <w:t>Procédures expérimentales</w:t>
      </w:r>
      <w:r w:rsidRPr="00820DA7">
        <w:rPr>
          <w:b/>
          <w:sz w:val="28"/>
          <w:szCs w:val="28"/>
          <w:lang w:val="fr-FR"/>
        </w:rPr>
        <w:t xml:space="preserve"> </w:t>
      </w:r>
    </w:p>
    <w:p w:rsidR="001A0D93" w:rsidRPr="00820DA7" w:rsidRDefault="001A0D93">
      <w:pPr>
        <w:ind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right="120"/>
        <w:rPr>
          <w:b/>
          <w:sz w:val="28"/>
          <w:szCs w:val="28"/>
          <w:lang w:val="fr-FR"/>
        </w:rPr>
      </w:pPr>
      <w:r w:rsidRPr="00820DA7">
        <w:rPr>
          <w:b/>
          <w:sz w:val="28"/>
          <w:szCs w:val="28"/>
          <w:lang w:val="fr-FR"/>
        </w:rPr>
        <w:t xml:space="preserve">Partie 2 - Éclatement des périthèces </w:t>
      </w:r>
    </w:p>
    <w:p w:rsidR="001A0D93" w:rsidRPr="00820DA7" w:rsidRDefault="001A0D93">
      <w:pPr>
        <w:jc w:val="both"/>
        <w:rPr>
          <w:sz w:val="24"/>
          <w:szCs w:val="24"/>
          <w:lang w:val="fr-FR"/>
        </w:rPr>
      </w:pPr>
    </w:p>
    <w:p w:rsidR="001A0D93" w:rsidRDefault="00C1092F">
      <w:pPr>
        <w:jc w:val="both"/>
        <w:rPr>
          <w:b/>
          <w:sz w:val="28"/>
          <w:szCs w:val="28"/>
          <w:shd w:val="clear" w:color="auto" w:fill="EFEFEF"/>
        </w:rPr>
      </w:pPr>
      <w:r w:rsidRPr="00820DA7">
        <w:rPr>
          <w:sz w:val="24"/>
          <w:szCs w:val="24"/>
          <w:shd w:val="clear" w:color="auto" w:fill="EFEFEF"/>
          <w:lang w:val="fr-FR"/>
        </w:rPr>
        <w:t xml:space="preserve">Insérez l'image d'une rosette d’asques que vous avez utilisée pour recueillir vos données. </w:t>
      </w:r>
      <w:r>
        <w:rPr>
          <w:sz w:val="24"/>
          <w:szCs w:val="24"/>
          <w:shd w:val="clear" w:color="auto" w:fill="EFEFEF"/>
        </w:rPr>
        <w:t>Décrivez brièvement les structures que vous voyez.</w:t>
      </w:r>
    </w:p>
    <w:p w:rsidR="001A0D93" w:rsidRDefault="001A0D93">
      <w:pPr>
        <w:ind w:right="120"/>
        <w:rPr>
          <w:b/>
          <w:sz w:val="28"/>
          <w:szCs w:val="28"/>
        </w:rPr>
      </w:pPr>
    </w:p>
    <w:p w:rsidR="001A0D93" w:rsidRDefault="00820DA7">
      <w:pPr>
        <w:ind w:right="12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3994785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 Shot 2018-02-15 at 12.58.50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D93" w:rsidRPr="00820DA7" w:rsidRDefault="00C1092F">
      <w:pPr>
        <w:ind w:right="120"/>
        <w:jc w:val="both"/>
        <w:rPr>
          <w:sz w:val="24"/>
          <w:szCs w:val="24"/>
          <w:lang w:val="fr-FR"/>
        </w:rPr>
      </w:pPr>
      <w:r w:rsidRPr="00820DA7">
        <w:rPr>
          <w:b/>
          <w:sz w:val="24"/>
          <w:szCs w:val="24"/>
          <w:lang w:val="fr-FR"/>
        </w:rPr>
        <w:t>Figure 1.</w:t>
      </w:r>
      <w:r w:rsidRPr="00820DA7">
        <w:rPr>
          <w:sz w:val="24"/>
          <w:szCs w:val="24"/>
          <w:lang w:val="fr-FR"/>
        </w:rPr>
        <w:t xml:space="preserve"> Rosette d’asques de </w:t>
      </w:r>
      <w:r w:rsidRPr="00820DA7">
        <w:rPr>
          <w:i/>
          <w:sz w:val="24"/>
          <w:szCs w:val="24"/>
          <w:lang w:val="fr-FR"/>
        </w:rPr>
        <w:t>Sordaria fimicola</w:t>
      </w:r>
      <w:r w:rsidRPr="00820DA7">
        <w:rPr>
          <w:sz w:val="24"/>
          <w:szCs w:val="24"/>
          <w:lang w:val="fr-FR"/>
        </w:rPr>
        <w:t xml:space="preserve"> produite suite au croisement entre un individu sauvage (noir) et un individu bronzé (tan)</w:t>
      </w:r>
      <w:r w:rsidR="00FF5E47">
        <w:rPr>
          <w:sz w:val="24"/>
          <w:szCs w:val="24"/>
          <w:lang w:val="fr-FR"/>
        </w:rPr>
        <w:t>, à un grossissement de 10X</w:t>
      </w:r>
      <w:bookmarkStart w:id="0" w:name="_GoBack"/>
      <w:bookmarkEnd w:id="0"/>
      <w:r w:rsidRPr="00820DA7">
        <w:rPr>
          <w:sz w:val="24"/>
          <w:szCs w:val="24"/>
          <w:lang w:val="fr-FR"/>
        </w:rPr>
        <w:t>.</w:t>
      </w:r>
      <w:r w:rsidRPr="00820DA7">
        <w:rPr>
          <w:b/>
          <w:sz w:val="24"/>
          <w:szCs w:val="24"/>
          <w:lang w:val="fr-FR"/>
        </w:rPr>
        <w:t xml:space="preserve"> </w:t>
      </w:r>
      <w:r w:rsidRPr="00820DA7">
        <w:rPr>
          <w:sz w:val="24"/>
          <w:szCs w:val="24"/>
          <w:lang w:val="fr-FR"/>
        </w:rPr>
        <w:t xml:space="preserve">La rosette expulsée d’un périthèce est une grappe composée d’une multitude d’asques matures, contenant chacun </w:t>
      </w:r>
      <w:r w:rsidR="00820DA7" w:rsidRPr="00820DA7">
        <w:rPr>
          <w:sz w:val="24"/>
          <w:szCs w:val="24"/>
          <w:lang w:val="fr-FR"/>
        </w:rPr>
        <w:t>huit ascospores organisées</w:t>
      </w:r>
      <w:r w:rsidRPr="00820DA7">
        <w:rPr>
          <w:sz w:val="24"/>
          <w:szCs w:val="24"/>
          <w:lang w:val="fr-FR"/>
        </w:rPr>
        <w:t xml:space="preserve"> dans un ordre spécifique. Certains asques ont été endommagés à cause de la pression appliquée sur la plaque, c’est pourquoi on note la présence d’ascospores libres dans la figure. </w:t>
      </w:r>
    </w:p>
    <w:p w:rsidR="001A0D93" w:rsidRPr="00820DA7" w:rsidRDefault="001A0D93">
      <w:pPr>
        <w:ind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right="120"/>
        <w:rPr>
          <w:b/>
          <w:sz w:val="28"/>
          <w:szCs w:val="28"/>
          <w:lang w:val="fr-FR"/>
        </w:rPr>
      </w:pPr>
      <w:r w:rsidRPr="00820DA7">
        <w:rPr>
          <w:lang w:val="fr-FR"/>
        </w:rPr>
        <w:br w:type="page"/>
      </w:r>
    </w:p>
    <w:p w:rsidR="001A0D93" w:rsidRPr="00820DA7" w:rsidRDefault="00C1092F">
      <w:pPr>
        <w:ind w:right="120"/>
        <w:rPr>
          <w:b/>
          <w:sz w:val="28"/>
          <w:szCs w:val="28"/>
          <w:lang w:val="fr-FR"/>
        </w:rPr>
      </w:pPr>
      <w:r w:rsidRPr="00820DA7">
        <w:rPr>
          <w:b/>
          <w:sz w:val="28"/>
          <w:szCs w:val="28"/>
          <w:lang w:val="fr-FR"/>
        </w:rPr>
        <w:lastRenderedPageBreak/>
        <w:t>Partie 4 - Analyse des données</w:t>
      </w:r>
    </w:p>
    <w:p w:rsidR="001A0D93" w:rsidRPr="00820DA7" w:rsidRDefault="001A0D93">
      <w:pPr>
        <w:ind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spacing w:after="100" w:line="248" w:lineRule="auto"/>
        <w:ind w:left="567" w:right="288"/>
        <w:jc w:val="both"/>
        <w:rPr>
          <w:b/>
          <w:sz w:val="20"/>
          <w:szCs w:val="20"/>
          <w:lang w:val="fr-FR"/>
        </w:rPr>
      </w:pPr>
      <w:r w:rsidRPr="00820DA7">
        <w:rPr>
          <w:b/>
          <w:lang w:val="fr-FR"/>
        </w:rPr>
        <w:t xml:space="preserve">Tableau 1. </w:t>
      </w:r>
      <w:r w:rsidRPr="00820DA7">
        <w:rPr>
          <w:lang w:val="fr-FR"/>
        </w:rPr>
        <w:t xml:space="preserve">Analyse phénotypique des asques observés pour les croisements génétiques entre la lignée sauvage de </w:t>
      </w:r>
      <w:r w:rsidRPr="00820DA7">
        <w:rPr>
          <w:i/>
          <w:lang w:val="fr-FR"/>
        </w:rPr>
        <w:t>Sordaria</w:t>
      </w:r>
      <w:r w:rsidRPr="00820DA7">
        <w:rPr>
          <w:lang w:val="fr-FR"/>
        </w:rPr>
        <w:t xml:space="preserve"> </w:t>
      </w:r>
      <w:r w:rsidRPr="00820DA7">
        <w:rPr>
          <w:i/>
          <w:lang w:val="fr-FR"/>
        </w:rPr>
        <w:t>fimicola</w:t>
      </w:r>
      <w:r w:rsidRPr="00820DA7">
        <w:rPr>
          <w:lang w:val="fr-FR"/>
        </w:rPr>
        <w:t xml:space="preserve"> et ses lignées mutantes avec spores </w:t>
      </w:r>
      <w:r w:rsidRPr="00820DA7">
        <w:rPr>
          <w:i/>
          <w:lang w:val="fr-FR"/>
        </w:rPr>
        <w:t>grises</w:t>
      </w:r>
      <w:r w:rsidRPr="00820DA7">
        <w:rPr>
          <w:lang w:val="fr-FR"/>
        </w:rPr>
        <w:t xml:space="preserve"> et spores </w:t>
      </w:r>
      <w:r w:rsidRPr="00820DA7">
        <w:rPr>
          <w:i/>
          <w:lang w:val="fr-FR"/>
        </w:rPr>
        <w:t>tan</w:t>
      </w:r>
      <w:r w:rsidRPr="00820DA7">
        <w:rPr>
          <w:lang w:val="fr-FR"/>
        </w:rPr>
        <w:t xml:space="preserve"> (</w:t>
      </w:r>
      <w:r w:rsidRPr="00820DA7">
        <w:rPr>
          <w:i/>
          <w:lang w:val="fr-FR"/>
        </w:rPr>
        <w:t>Note:</w:t>
      </w:r>
      <w:r w:rsidRPr="00820DA7">
        <w:rPr>
          <w:lang w:val="fr-FR"/>
        </w:rPr>
        <w:t xml:space="preserve"> B = </w:t>
      </w:r>
      <w:r w:rsidRPr="00820DA7">
        <w:rPr>
          <w:i/>
          <w:lang w:val="fr-FR"/>
        </w:rPr>
        <w:t>black</w:t>
      </w:r>
      <w:r w:rsidRPr="00820DA7">
        <w:rPr>
          <w:lang w:val="fr-FR"/>
        </w:rPr>
        <w:t xml:space="preserve">, T = </w:t>
      </w:r>
      <w:r w:rsidRPr="00820DA7">
        <w:rPr>
          <w:i/>
          <w:lang w:val="fr-FR"/>
        </w:rPr>
        <w:t>tan</w:t>
      </w:r>
      <w:r w:rsidRPr="00820DA7">
        <w:rPr>
          <w:lang w:val="fr-FR"/>
        </w:rPr>
        <w:t>, G = gris).</w:t>
      </w:r>
      <w:r w:rsidRPr="00820DA7">
        <w:rPr>
          <w:b/>
          <w:sz w:val="20"/>
          <w:szCs w:val="20"/>
          <w:lang w:val="fr-FR"/>
        </w:rPr>
        <w:t xml:space="preserve">  </w:t>
      </w:r>
    </w:p>
    <w:tbl>
      <w:tblPr>
        <w:tblStyle w:val="a1"/>
        <w:tblW w:w="897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681"/>
        <w:gridCol w:w="484"/>
        <w:gridCol w:w="1134"/>
        <w:gridCol w:w="1290"/>
        <w:gridCol w:w="1246"/>
        <w:gridCol w:w="899"/>
        <w:gridCol w:w="1290"/>
        <w:gridCol w:w="1246"/>
      </w:tblGrid>
      <w:tr w:rsidR="001A0D93" w:rsidRPr="00FF5E47">
        <w:trPr>
          <w:jc w:val="center"/>
        </w:trPr>
        <w:tc>
          <w:tcPr>
            <w:tcW w:w="704" w:type="dxa"/>
            <w:vMerge w:val="restart"/>
            <w:tcMar>
              <w:left w:w="0" w:type="dxa"/>
              <w:right w:w="0" w:type="dxa"/>
            </w:tcMar>
          </w:tcPr>
          <w:p w:rsidR="001A0D93" w:rsidRPr="00820DA7" w:rsidRDefault="001A0D93">
            <w:pPr>
              <w:spacing w:after="100" w:line="248" w:lineRule="auto"/>
              <w:ind w:right="63"/>
              <w:jc w:val="center"/>
              <w:rPr>
                <w:b/>
                <w:sz w:val="16"/>
                <w:szCs w:val="16"/>
                <w:lang w:val="fr-FR"/>
              </w:rPr>
            </w:pPr>
          </w:p>
        </w:tc>
        <w:tc>
          <w:tcPr>
            <w:tcW w:w="681" w:type="dxa"/>
            <w:vMerge w:val="restart"/>
            <w:tcMar>
              <w:left w:w="0" w:type="dxa"/>
              <w:right w:w="0" w:type="dxa"/>
            </w:tcMar>
            <w:vAlign w:val="center"/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d’asques observés (#)</w:t>
            </w:r>
          </w:p>
        </w:tc>
        <w:tc>
          <w:tcPr>
            <w:tcW w:w="484" w:type="dxa"/>
            <w:vMerge w:val="restart"/>
            <w:tcMar>
              <w:left w:w="0" w:type="dxa"/>
              <w:right w:w="0" w:type="dxa"/>
            </w:tcMar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PD ou T?</w:t>
            </w:r>
          </w:p>
        </w:tc>
        <w:tc>
          <w:tcPr>
            <w:tcW w:w="3670" w:type="dxa"/>
            <w:gridSpan w:val="3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  <w:lang w:val="fr-FR"/>
              </w:rPr>
            </w:pPr>
            <w:r w:rsidRPr="00820DA7">
              <w:rPr>
                <w:b/>
                <w:sz w:val="16"/>
                <w:szCs w:val="16"/>
                <w:lang w:val="fr-FR"/>
              </w:rPr>
              <w:t>Asques résultant d’un enjambement chromosomique</w:t>
            </w:r>
          </w:p>
        </w:tc>
        <w:tc>
          <w:tcPr>
            <w:tcW w:w="3435" w:type="dxa"/>
            <w:gridSpan w:val="3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  <w:lang w:val="fr-FR"/>
              </w:rPr>
            </w:pPr>
            <w:r w:rsidRPr="00820DA7">
              <w:rPr>
                <w:b/>
                <w:sz w:val="16"/>
                <w:szCs w:val="16"/>
                <w:lang w:val="fr-FR"/>
              </w:rPr>
              <w:t>Asques ne résultant pas d’un enjambement chromosomique</w:t>
            </w:r>
          </w:p>
        </w:tc>
      </w:tr>
      <w:tr w:rsidR="001A0D93">
        <w:trPr>
          <w:jc w:val="center"/>
        </w:trPr>
        <w:tc>
          <w:tcPr>
            <w:tcW w:w="704" w:type="dxa"/>
            <w:vMerge/>
            <w:tcMar>
              <w:left w:w="0" w:type="dxa"/>
              <w:right w:w="0" w:type="dxa"/>
            </w:tcMar>
          </w:tcPr>
          <w:p w:rsidR="001A0D93" w:rsidRPr="00820DA7" w:rsidRDefault="001A0D93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681" w:type="dxa"/>
            <w:vMerge/>
            <w:tcMar>
              <w:left w:w="0" w:type="dxa"/>
              <w:right w:w="0" w:type="dxa"/>
            </w:tcMar>
            <w:vAlign w:val="center"/>
          </w:tcPr>
          <w:p w:rsidR="001A0D93" w:rsidRPr="00820DA7" w:rsidRDefault="001A0D93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484" w:type="dxa"/>
            <w:vMerge/>
            <w:tcMar>
              <w:left w:w="0" w:type="dxa"/>
              <w:right w:w="0" w:type="dxa"/>
            </w:tcMar>
            <w:vAlign w:val="center"/>
          </w:tcPr>
          <w:p w:rsidR="001A0D93" w:rsidRPr="00820DA7" w:rsidRDefault="001A0D93">
            <w:pPr>
              <w:spacing w:after="100" w:line="248" w:lineRule="auto"/>
              <w:ind w:right="5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d’asques (#)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  <w:lang w:val="fr-FR"/>
              </w:rPr>
            </w:pPr>
            <w:r w:rsidRPr="00820DA7">
              <w:rPr>
                <w:b/>
                <w:sz w:val="16"/>
                <w:szCs w:val="16"/>
                <w:lang w:val="fr-FR"/>
              </w:rPr>
              <w:t>Nombre d’ascospores associées à un enjambement chromosomique (#)</w:t>
            </w:r>
          </w:p>
        </w:tc>
        <w:tc>
          <w:tcPr>
            <w:tcW w:w="1246" w:type="dxa"/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total d’ascospores (#)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d’asques (#)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  <w:lang w:val="fr-FR"/>
              </w:rPr>
            </w:pPr>
            <w:r w:rsidRPr="00820DA7">
              <w:rPr>
                <w:b/>
                <w:sz w:val="16"/>
                <w:szCs w:val="16"/>
                <w:lang w:val="fr-FR"/>
              </w:rPr>
              <w:t>Nombre d’ascospores non associées à un enjambement chromosomique (#)</w:t>
            </w:r>
          </w:p>
        </w:tc>
        <w:tc>
          <w:tcPr>
            <w:tcW w:w="1246" w:type="dxa"/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total d’ascospores (#)</w:t>
            </w:r>
          </w:p>
        </w:tc>
      </w:tr>
      <w:tr w:rsidR="001A0D93" w:rsidRPr="00FF5E47">
        <w:trPr>
          <w:jc w:val="center"/>
        </w:trPr>
        <w:tc>
          <w:tcPr>
            <w:tcW w:w="8974" w:type="dxa"/>
            <w:gridSpan w:val="9"/>
          </w:tcPr>
          <w:p w:rsidR="001A0D93" w:rsidRPr="00820DA7" w:rsidRDefault="00C1092F">
            <w:pPr>
              <w:spacing w:after="100" w:line="248" w:lineRule="auto"/>
              <w:ind w:right="50"/>
              <w:rPr>
                <w:b/>
                <w:sz w:val="18"/>
                <w:szCs w:val="18"/>
                <w:lang w:val="fr-FR"/>
              </w:rPr>
            </w:pPr>
            <w:r w:rsidRPr="00820DA7">
              <w:rPr>
                <w:b/>
                <w:sz w:val="20"/>
                <w:szCs w:val="20"/>
                <w:lang w:val="fr-FR"/>
              </w:rPr>
              <w:t>Croisement de la lignée sauvage avec spores noires x mutant avec spores grises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GGBB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BBGG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GBGB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BGBG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64                                                                          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GBBG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BGGB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bookmarkStart w:id="1" w:name="_gjdgxs" w:colFirst="0" w:colLast="0"/>
            <w:bookmarkEnd w:id="1"/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 w:rsidRPr="00820DA7">
        <w:trPr>
          <w:jc w:val="center"/>
        </w:trPr>
        <w:tc>
          <w:tcPr>
            <w:tcW w:w="8974" w:type="dxa"/>
            <w:gridSpan w:val="9"/>
          </w:tcPr>
          <w:p w:rsidR="001A0D93" w:rsidRPr="00820DA7" w:rsidRDefault="00C1092F">
            <w:pPr>
              <w:spacing w:after="100" w:line="248" w:lineRule="auto"/>
              <w:ind w:right="50"/>
              <w:rPr>
                <w:b/>
                <w:sz w:val="18"/>
                <w:szCs w:val="18"/>
                <w:lang w:val="fr-FR"/>
              </w:rPr>
            </w:pPr>
            <w:r w:rsidRPr="00820DA7">
              <w:rPr>
                <w:b/>
                <w:sz w:val="20"/>
                <w:szCs w:val="20"/>
                <w:lang w:val="fr-FR"/>
              </w:rPr>
              <w:t>Croisement de la lignée sauvage avec spores noires x mutant avec spores tan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TTBB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BBTT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PD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TBTB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56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BTBT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TBBT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1A0D93">
        <w:trPr>
          <w:jc w:val="center"/>
        </w:trPr>
        <w:tc>
          <w:tcPr>
            <w:tcW w:w="70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6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BTTB</w:t>
            </w:r>
          </w:p>
        </w:tc>
        <w:tc>
          <w:tcPr>
            <w:tcW w:w="681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8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899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90" w:type="dxa"/>
            <w:tcMar>
              <w:left w:w="0" w:type="dxa"/>
              <w:right w:w="0" w:type="dxa"/>
            </w:tcMar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246" w:type="dxa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="001A0D93" w:rsidRDefault="001A0D93">
      <w:pPr>
        <w:ind w:right="120"/>
        <w:rPr>
          <w:b/>
          <w:sz w:val="24"/>
          <w:szCs w:val="24"/>
        </w:rPr>
      </w:pPr>
    </w:p>
    <w:p w:rsidR="001A0D93" w:rsidRDefault="001A0D93">
      <w:pPr>
        <w:spacing w:line="254" w:lineRule="auto"/>
        <w:jc w:val="both"/>
        <w:rPr>
          <w:sz w:val="24"/>
          <w:szCs w:val="24"/>
          <w:shd w:val="clear" w:color="auto" w:fill="EFEFEF"/>
        </w:rPr>
      </w:pPr>
    </w:p>
    <w:p w:rsidR="001A0D93" w:rsidRDefault="001A0D93">
      <w:pPr>
        <w:spacing w:line="254" w:lineRule="auto"/>
        <w:jc w:val="both"/>
        <w:rPr>
          <w:sz w:val="24"/>
          <w:szCs w:val="24"/>
          <w:shd w:val="clear" w:color="auto" w:fill="EFEFEF"/>
        </w:rPr>
      </w:pPr>
    </w:p>
    <w:p w:rsidR="001A0D93" w:rsidRPr="00820DA7" w:rsidRDefault="00C1092F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t>Avez-vous observé un autre arrangement de tétrade que ceux listés dans le tableau 2 parmi les asques que vous avez observés ? Si oui, indiquez l'un d'eux et expliquez comment il a pu être produit.</w:t>
      </w:r>
    </w:p>
    <w:p w:rsidR="001A0D93" w:rsidRPr="00820DA7" w:rsidRDefault="001A0D93">
      <w:pPr>
        <w:spacing w:line="240" w:lineRule="auto"/>
        <w:rPr>
          <w:sz w:val="24"/>
          <w:szCs w:val="24"/>
          <w:lang w:val="fr-FR"/>
        </w:rPr>
      </w:pPr>
    </w:p>
    <w:p w:rsidR="001A0D93" w:rsidRPr="00820DA7" w:rsidRDefault="00C1092F">
      <w:pPr>
        <w:spacing w:line="240" w:lineRule="auto"/>
        <w:ind w:firstLine="720"/>
        <w:jc w:val="both"/>
        <w:rPr>
          <w:lang w:val="fr-FR"/>
        </w:rPr>
      </w:pPr>
      <w:r w:rsidRPr="00820DA7">
        <w:rPr>
          <w:sz w:val="24"/>
          <w:szCs w:val="24"/>
          <w:lang w:val="fr-FR"/>
        </w:rPr>
        <w:t xml:space="preserve">On observe la présence de deux asques possédant un arrangement de tétrades différent des autres. L’un des deux asques contient 2 ascospores bronzés suivis par 3 noirs, 1 bronzé, 1 noir et 1 dernier bronzé. Cette séquence ressemble à TBBT, cependant il y a un ascospore noir introduit entre </w:t>
      </w:r>
      <w:r w:rsidR="00820DA7" w:rsidRPr="00820DA7">
        <w:rPr>
          <w:sz w:val="24"/>
          <w:szCs w:val="24"/>
          <w:lang w:val="fr-FR"/>
        </w:rPr>
        <w:t>les deux dernières ascospores</w:t>
      </w:r>
      <w:r w:rsidRPr="00820DA7">
        <w:rPr>
          <w:sz w:val="24"/>
          <w:szCs w:val="24"/>
          <w:lang w:val="fr-FR"/>
        </w:rPr>
        <w:t xml:space="preserve"> bronzés. Ceci peut s’expliquer de deux </w:t>
      </w:r>
      <w:r w:rsidR="00820DA7" w:rsidRPr="00820DA7">
        <w:rPr>
          <w:sz w:val="24"/>
          <w:szCs w:val="24"/>
          <w:lang w:val="fr-FR"/>
        </w:rPr>
        <w:t>manières :</w:t>
      </w:r>
      <w:r w:rsidRPr="00820DA7">
        <w:rPr>
          <w:sz w:val="24"/>
          <w:szCs w:val="24"/>
          <w:lang w:val="fr-FR"/>
        </w:rPr>
        <w:t xml:space="preserve"> soit qu’il y ait eu un enjambement de plus durant la méiose ce qui a modifié l’ordre des ascospores dans l’asque, soit qu’un ascospore libre s’est introduit dans un asque brisé et a modifié l’arrangement original de TBBT</w:t>
      </w:r>
      <w:r w:rsidRPr="00820DA7">
        <w:rPr>
          <w:lang w:val="fr-FR"/>
        </w:rPr>
        <w:t>.</w:t>
      </w:r>
    </w:p>
    <w:p w:rsidR="001A0D93" w:rsidRPr="00820DA7" w:rsidRDefault="001A0D93">
      <w:pPr>
        <w:spacing w:line="240" w:lineRule="auto"/>
        <w:jc w:val="both"/>
        <w:rPr>
          <w:lang w:val="fr-FR"/>
        </w:rPr>
      </w:pPr>
    </w:p>
    <w:p w:rsidR="001A0D93" w:rsidRPr="00820DA7" w:rsidRDefault="001A0D93">
      <w:pPr>
        <w:spacing w:line="240" w:lineRule="auto"/>
        <w:jc w:val="both"/>
        <w:rPr>
          <w:lang w:val="fr-FR"/>
        </w:rPr>
      </w:pPr>
    </w:p>
    <w:p w:rsidR="001A0D93" w:rsidRPr="00820DA7" w:rsidRDefault="00C1092F">
      <w:pPr>
        <w:spacing w:line="240" w:lineRule="auto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lastRenderedPageBreak/>
        <w:t xml:space="preserve">Estimez la distance en unités cartographiques entre le gène pour la couleur grise des ascospores et le centromère du chromosome sur lequel il est situé. </w:t>
      </w: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C1092F">
      <w:pPr>
        <w:spacing w:line="254" w:lineRule="auto"/>
        <w:jc w:val="both"/>
        <w:rPr>
          <w:sz w:val="24"/>
          <w:szCs w:val="24"/>
          <w:lang w:val="fr-FR"/>
        </w:rPr>
      </w:pPr>
      <w:r w:rsidRPr="00820DA7">
        <w:rPr>
          <w:b/>
          <w:sz w:val="24"/>
          <w:szCs w:val="24"/>
          <w:lang w:val="fr-FR"/>
        </w:rPr>
        <w:t>Tableau 2.</w:t>
      </w:r>
      <w:r w:rsidRPr="00820DA7">
        <w:rPr>
          <w:sz w:val="24"/>
          <w:szCs w:val="24"/>
          <w:lang w:val="fr-FR"/>
        </w:rPr>
        <w:t xml:space="preserve"> Proportions quantitatives d'ascospores associées à un enjambement chromosomique et d'ascospores totales observées pour le croisement entre le </w:t>
      </w:r>
      <w:r w:rsidRPr="00820DA7">
        <w:rPr>
          <w:i/>
          <w:sz w:val="24"/>
          <w:szCs w:val="24"/>
          <w:lang w:val="fr-FR"/>
        </w:rPr>
        <w:t xml:space="preserve">Sordaria fimicola </w:t>
      </w:r>
      <w:r w:rsidRPr="00820DA7">
        <w:rPr>
          <w:sz w:val="24"/>
          <w:szCs w:val="24"/>
          <w:lang w:val="fr-FR"/>
        </w:rPr>
        <w:t xml:space="preserve">de couleur </w:t>
      </w:r>
      <w:r w:rsidRPr="00820DA7">
        <w:rPr>
          <w:i/>
          <w:sz w:val="24"/>
          <w:szCs w:val="24"/>
          <w:lang w:val="fr-FR"/>
        </w:rPr>
        <w:t>noire</w:t>
      </w:r>
      <w:r w:rsidRPr="00820DA7">
        <w:rPr>
          <w:sz w:val="24"/>
          <w:szCs w:val="24"/>
          <w:lang w:val="fr-FR"/>
        </w:rPr>
        <w:t xml:space="preserve"> et de couleur </w:t>
      </w:r>
      <w:r w:rsidRPr="00820DA7">
        <w:rPr>
          <w:i/>
          <w:sz w:val="24"/>
          <w:szCs w:val="24"/>
          <w:lang w:val="fr-FR"/>
        </w:rPr>
        <w:t>grise</w:t>
      </w:r>
      <w:r w:rsidRPr="00820DA7">
        <w:rPr>
          <w:sz w:val="24"/>
          <w:szCs w:val="24"/>
          <w:lang w:val="fr-FR"/>
        </w:rPr>
        <w:t xml:space="preserve">. Les totals obtenus seront utilisés dans le calcul de distance gène-centromère pour le gène de couleur </w:t>
      </w:r>
      <w:r w:rsidRPr="00820DA7">
        <w:rPr>
          <w:i/>
          <w:sz w:val="24"/>
          <w:szCs w:val="24"/>
          <w:lang w:val="fr-FR"/>
        </w:rPr>
        <w:t>grise</w:t>
      </w:r>
      <w:r w:rsidRPr="00820DA7">
        <w:rPr>
          <w:sz w:val="24"/>
          <w:szCs w:val="24"/>
          <w:lang w:val="fr-FR"/>
        </w:rPr>
        <w:t>.</w:t>
      </w:r>
    </w:p>
    <w:tbl>
      <w:tblPr>
        <w:tblStyle w:val="a2"/>
        <w:tblW w:w="93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Asques observées</w:t>
            </w:r>
          </w:p>
        </w:tc>
        <w:tc>
          <w:tcPr>
            <w:tcW w:w="3120" w:type="dxa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>Nombre d’ascospores associées à un enjambement chromosomique (#)</w:t>
            </w:r>
          </w:p>
        </w:tc>
        <w:tc>
          <w:tcPr>
            <w:tcW w:w="3120" w:type="dxa"/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total d’ascospores </w:t>
            </w:r>
          </w:p>
          <w:p w:rsidR="001A0D93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(#)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GBGB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BGBG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GBBG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BGGB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GGBB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BBGG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A0D93"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</w:t>
            </w:r>
          </w:p>
        </w:tc>
      </w:tr>
    </w:tbl>
    <w:p w:rsidR="001A0D93" w:rsidRDefault="001A0D93">
      <w:pPr>
        <w:spacing w:line="254" w:lineRule="auto"/>
        <w:jc w:val="both"/>
        <w:rPr>
          <w:sz w:val="24"/>
          <w:szCs w:val="24"/>
        </w:rPr>
      </w:pPr>
    </w:p>
    <w:p w:rsidR="001A0D93" w:rsidRDefault="00C1092F">
      <w:pPr>
        <w:spacing w:line="254" w:lineRule="auto"/>
        <w:jc w:val="both"/>
        <w:rPr>
          <w:sz w:val="24"/>
          <w:szCs w:val="24"/>
        </w:rPr>
      </w:pPr>
      <w:r>
        <w:rPr>
          <w:sz w:val="24"/>
          <w:szCs w:val="24"/>
        </w:rPr>
        <w:t>Calcul :</w:t>
      </w:r>
    </w:p>
    <w:tbl>
      <w:tblPr>
        <w:tblStyle w:val="a3"/>
        <w:tblW w:w="9030" w:type="dxa"/>
        <w:tblInd w:w="380" w:type="dxa"/>
        <w:tblLayout w:type="fixed"/>
        <w:tblLook w:val="0600" w:firstRow="0" w:lastRow="0" w:firstColumn="0" w:lastColumn="0" w:noHBand="1" w:noVBand="1"/>
      </w:tblPr>
      <w:tblGrid>
        <w:gridCol w:w="3570"/>
        <w:gridCol w:w="5460"/>
      </w:tblGrid>
      <w:tr w:rsidR="001A0D93"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 xml:space="preserve">Distance entre le gène pour la couleur </w:t>
            </w:r>
            <w:r w:rsidRPr="00820DA7">
              <w:rPr>
                <w:i/>
                <w:sz w:val="20"/>
                <w:szCs w:val="20"/>
                <w:lang w:val="fr-FR"/>
              </w:rPr>
              <w:t>grise</w:t>
            </w:r>
            <w:r w:rsidRPr="00820DA7">
              <w:rPr>
                <w:sz w:val="20"/>
                <w:szCs w:val="20"/>
                <w:lang w:val="fr-FR"/>
              </w:rPr>
              <w:t xml:space="preserve"> et le </w:t>
            </w:r>
            <w:r w:rsidR="00820DA7" w:rsidRPr="00820DA7">
              <w:rPr>
                <w:sz w:val="20"/>
                <w:szCs w:val="20"/>
                <w:lang w:val="fr-FR"/>
              </w:rPr>
              <w:t>centromère :</w:t>
            </w:r>
            <w:r w:rsidRPr="00820DA7">
              <w:rPr>
                <w:sz w:val="20"/>
                <w:szCs w:val="20"/>
                <w:lang w:val="fr-FR"/>
              </w:rPr>
              <w:t xml:space="preserve"> </w:t>
            </w:r>
          </w:p>
          <w:p w:rsidR="001A0D93" w:rsidRPr="00820DA7" w:rsidRDefault="001A0D93">
            <w:pPr>
              <w:widowControl w:val="0"/>
              <w:spacing w:line="240" w:lineRule="auto"/>
              <w:rPr>
                <w:sz w:val="20"/>
                <w:szCs w:val="20"/>
                <w:lang w:val="fr-FR"/>
              </w:rPr>
            </w:pPr>
          </w:p>
          <w:p w:rsidR="001A0D93" w:rsidRDefault="00C1092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spores recombinants = 84</w:t>
            </w:r>
          </w:p>
          <w:p w:rsidR="001A0D93" w:rsidRDefault="00C1092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spores total = 248</w:t>
            </w:r>
          </w:p>
          <w:p w:rsidR="001A0D93" w:rsidRDefault="001A0D9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# spores recombinants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# spores total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84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248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=33.8 </m:t>
                </m:r>
              </m:oMath>
            </m:oMathPara>
          </w:p>
          <w:p w:rsidR="00820DA7" w:rsidRPr="00820DA7" w:rsidRDefault="00C1092F" w:rsidP="00820DA7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Distance au ce</m:t>
                </m:r>
              </m:oMath>
            </m:oMathPara>
          </w:p>
          <w:p w:rsidR="001A0D93" w:rsidRPr="00820DA7" w:rsidRDefault="00C1092F" w:rsidP="00820DA7">
            <w:pPr>
              <w:widowControl w:val="0"/>
              <w:spacing w:line="240" w:lineRule="auto"/>
              <w:rPr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ntromère = 33.8 cM</m:t>
                </m:r>
              </m:oMath>
            </m:oMathPara>
          </w:p>
          <w:p w:rsidR="001A0D93" w:rsidRDefault="001A0D93" w:rsidP="00820DA7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Selon la collecte de donnée effectuée lors du laboratoire 3, il y a eu 84 ascospores associés à un enjambement chromosomique pour la couleur </w:t>
      </w:r>
      <w:r w:rsidRPr="00820DA7">
        <w:rPr>
          <w:i/>
          <w:sz w:val="24"/>
          <w:szCs w:val="24"/>
          <w:lang w:val="fr-FR"/>
        </w:rPr>
        <w:t>grise</w:t>
      </w:r>
      <w:r w:rsidRPr="00820DA7">
        <w:rPr>
          <w:sz w:val="24"/>
          <w:szCs w:val="24"/>
          <w:lang w:val="fr-FR"/>
        </w:rPr>
        <w:t xml:space="preserve">, dans un total de 248 ascospores observés. </w:t>
      </w:r>
    </w:p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Cela signifie qu’il y a une distance de 33.8 cM entre le gène pour la couleur </w:t>
      </w:r>
      <w:r w:rsidRPr="00820DA7">
        <w:rPr>
          <w:i/>
          <w:sz w:val="24"/>
          <w:szCs w:val="24"/>
          <w:lang w:val="fr-FR"/>
        </w:rPr>
        <w:t>grise</w:t>
      </w:r>
      <w:r w:rsidRPr="00820DA7">
        <w:rPr>
          <w:sz w:val="24"/>
          <w:szCs w:val="24"/>
          <w:lang w:val="fr-FR"/>
        </w:rPr>
        <w:t xml:space="preserve"> et le centromère du chromosome. </w:t>
      </w:r>
    </w:p>
    <w:p w:rsidR="001A0D93" w:rsidRPr="00820DA7" w:rsidRDefault="001A0D93">
      <w:pPr>
        <w:widowControl w:val="0"/>
        <w:spacing w:line="240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820DA7" w:rsidRDefault="00820DA7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820DA7" w:rsidRDefault="00820DA7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C1092F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lastRenderedPageBreak/>
        <w:t xml:space="preserve">Estimez la distance en unités cartographiques entre le gène pour la couleur </w:t>
      </w:r>
      <w:r w:rsidRPr="00820DA7">
        <w:rPr>
          <w:i/>
          <w:sz w:val="24"/>
          <w:szCs w:val="24"/>
          <w:shd w:val="clear" w:color="auto" w:fill="EFEFEF"/>
          <w:lang w:val="fr-FR"/>
        </w:rPr>
        <w:t>tan</w:t>
      </w:r>
      <w:r w:rsidRPr="00820DA7">
        <w:rPr>
          <w:sz w:val="24"/>
          <w:szCs w:val="24"/>
          <w:shd w:val="clear" w:color="auto" w:fill="EFEFEF"/>
          <w:lang w:val="fr-FR"/>
        </w:rPr>
        <w:t xml:space="preserve"> des ascospores et le centromère du chromosome sur lequel il est situé. </w:t>
      </w:r>
    </w:p>
    <w:p w:rsidR="001A0D93" w:rsidRPr="00820DA7" w:rsidRDefault="001A0D93">
      <w:pPr>
        <w:spacing w:line="254" w:lineRule="auto"/>
        <w:jc w:val="both"/>
        <w:rPr>
          <w:b/>
          <w:sz w:val="24"/>
          <w:szCs w:val="24"/>
          <w:lang w:val="fr-FR"/>
        </w:rPr>
      </w:pPr>
    </w:p>
    <w:p w:rsidR="001A0D93" w:rsidRPr="00820DA7" w:rsidRDefault="00C1092F">
      <w:pPr>
        <w:spacing w:line="254" w:lineRule="auto"/>
        <w:jc w:val="both"/>
        <w:rPr>
          <w:sz w:val="24"/>
          <w:szCs w:val="24"/>
          <w:lang w:val="fr-FR"/>
        </w:rPr>
      </w:pPr>
      <w:r w:rsidRPr="00820DA7">
        <w:rPr>
          <w:b/>
          <w:sz w:val="24"/>
          <w:szCs w:val="24"/>
          <w:lang w:val="fr-FR"/>
        </w:rPr>
        <w:t>Tableau 3.</w:t>
      </w:r>
      <w:r w:rsidRPr="00820DA7">
        <w:rPr>
          <w:sz w:val="24"/>
          <w:szCs w:val="24"/>
          <w:lang w:val="fr-FR"/>
        </w:rPr>
        <w:t xml:space="preserve"> Proportions quantitatives d'ascospores associées à un enjambement chromosomique et d'ascospores totales observées pour le croisement entre le </w:t>
      </w:r>
      <w:r w:rsidRPr="00820DA7">
        <w:rPr>
          <w:i/>
          <w:sz w:val="24"/>
          <w:szCs w:val="24"/>
          <w:lang w:val="fr-FR"/>
        </w:rPr>
        <w:t xml:space="preserve">Sordaria fimicola </w:t>
      </w:r>
      <w:r w:rsidRPr="00820DA7">
        <w:rPr>
          <w:sz w:val="24"/>
          <w:szCs w:val="24"/>
          <w:lang w:val="fr-FR"/>
        </w:rPr>
        <w:t xml:space="preserve">de couleur </w:t>
      </w:r>
      <w:r w:rsidRPr="00820DA7">
        <w:rPr>
          <w:i/>
          <w:sz w:val="24"/>
          <w:szCs w:val="24"/>
          <w:lang w:val="fr-FR"/>
        </w:rPr>
        <w:t>noire</w:t>
      </w:r>
      <w:r w:rsidRPr="00820DA7">
        <w:rPr>
          <w:sz w:val="24"/>
          <w:szCs w:val="24"/>
          <w:lang w:val="fr-FR"/>
        </w:rPr>
        <w:t xml:space="preserve"> et de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. Les totals obtenus seront utilisés dans le calcul de distance entre le gène pour la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 et le centromère du chromosome. </w:t>
      </w:r>
    </w:p>
    <w:tbl>
      <w:tblPr>
        <w:tblStyle w:val="a4"/>
        <w:tblW w:w="93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Asques observées</w:t>
            </w:r>
          </w:p>
        </w:tc>
        <w:tc>
          <w:tcPr>
            <w:tcW w:w="3120" w:type="dxa"/>
            <w:tcMar>
              <w:left w:w="0" w:type="dxa"/>
              <w:right w:w="0" w:type="dxa"/>
            </w:tcMar>
            <w:vAlign w:val="center"/>
          </w:tcPr>
          <w:p w:rsidR="001A0D93" w:rsidRPr="00820DA7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>Nombre d’ascospores associées à un enjambement chromosomique (#)</w:t>
            </w:r>
          </w:p>
        </w:tc>
        <w:tc>
          <w:tcPr>
            <w:tcW w:w="3120" w:type="dxa"/>
            <w:vAlign w:val="center"/>
          </w:tcPr>
          <w:p w:rsidR="001A0D93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Nombre total d’ascospores </w:t>
            </w:r>
          </w:p>
          <w:p w:rsidR="001A0D93" w:rsidRDefault="00C1092F">
            <w:pPr>
              <w:spacing w:after="100" w:line="248" w:lineRule="auto"/>
              <w:ind w:right="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(#)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TBTB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BTBT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TBBT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BTTB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TTBB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A0D93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BBTT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1A0D93"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1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Default="00C109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</w:tr>
    </w:tbl>
    <w:p w:rsidR="001A0D93" w:rsidRDefault="001A0D93">
      <w:pPr>
        <w:ind w:right="120"/>
        <w:jc w:val="both"/>
        <w:rPr>
          <w:sz w:val="24"/>
          <w:szCs w:val="24"/>
        </w:rPr>
      </w:pPr>
    </w:p>
    <w:p w:rsidR="001A0D93" w:rsidRDefault="00C1092F">
      <w:pPr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Calcul : </w:t>
      </w:r>
    </w:p>
    <w:tbl>
      <w:tblPr>
        <w:tblStyle w:val="a5"/>
        <w:tblW w:w="9030" w:type="dxa"/>
        <w:tblInd w:w="380" w:type="dxa"/>
        <w:tblLayout w:type="fixed"/>
        <w:tblLook w:val="0600" w:firstRow="0" w:lastRow="0" w:firstColumn="0" w:lastColumn="0" w:noHBand="1" w:noVBand="1"/>
      </w:tblPr>
      <w:tblGrid>
        <w:gridCol w:w="3570"/>
        <w:gridCol w:w="5460"/>
      </w:tblGrid>
      <w:tr w:rsidR="001A0D93">
        <w:tc>
          <w:tcPr>
            <w:tcW w:w="35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sz w:val="20"/>
                <w:szCs w:val="20"/>
                <w:lang w:val="fr-FR"/>
              </w:rPr>
            </w:pPr>
            <w:r w:rsidRPr="00820DA7">
              <w:rPr>
                <w:sz w:val="20"/>
                <w:szCs w:val="20"/>
                <w:lang w:val="fr-FR"/>
              </w:rPr>
              <w:t xml:space="preserve">Distance entre le gène pour la couleur </w:t>
            </w:r>
            <w:r w:rsidRPr="00820DA7">
              <w:rPr>
                <w:i/>
                <w:sz w:val="20"/>
                <w:szCs w:val="20"/>
                <w:lang w:val="fr-FR"/>
              </w:rPr>
              <w:t>tan</w:t>
            </w:r>
            <w:r w:rsidRPr="00820DA7">
              <w:rPr>
                <w:sz w:val="20"/>
                <w:szCs w:val="20"/>
                <w:lang w:val="fr-FR"/>
              </w:rPr>
              <w:t xml:space="preserve"> et le centromère : </w:t>
            </w:r>
          </w:p>
          <w:p w:rsidR="001A0D93" w:rsidRPr="00820DA7" w:rsidRDefault="001A0D93">
            <w:pPr>
              <w:widowControl w:val="0"/>
              <w:spacing w:line="240" w:lineRule="auto"/>
              <w:rPr>
                <w:sz w:val="20"/>
                <w:szCs w:val="20"/>
                <w:lang w:val="fr-FR"/>
              </w:rPr>
            </w:pPr>
          </w:p>
          <w:p w:rsidR="001A0D93" w:rsidRDefault="00C1092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spores recombinants = 80</w:t>
            </w:r>
          </w:p>
          <w:p w:rsidR="001A0D93" w:rsidRDefault="00C1092F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spores total = 272</w:t>
            </w:r>
          </w:p>
          <w:p w:rsidR="001A0D93" w:rsidRDefault="001A0D93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4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# spores recombinants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# spores total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 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80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272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⋅100</m:t>
                </m:r>
              </m:oMath>
            </m:oMathPara>
          </w:p>
          <w:p w:rsidR="001A0D93" w:rsidRPr="00820DA7" w:rsidRDefault="00C1092F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 xml:space="preserve">Fréquence d'enjambement =29.4 </m:t>
                </m:r>
              </m:oMath>
            </m:oMathPara>
          </w:p>
          <w:p w:rsidR="001A0D93" w:rsidRPr="00820DA7" w:rsidRDefault="00C1092F">
            <w:pPr>
              <w:widowControl w:val="0"/>
              <w:spacing w:line="240" w:lineRule="auto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Distance au centromère = 29.4 cM</m:t>
                </m:r>
              </m:oMath>
            </m:oMathPara>
          </w:p>
          <w:p w:rsidR="001A0D93" w:rsidRDefault="001A0D93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Selon la collecte de donnée effectuée lors du laboratoire 3, il y a eu 80 ascospores associés à un enjambement chromosomique pour la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, dans un total de 272 ascospores observés. </w:t>
      </w:r>
    </w:p>
    <w:p w:rsidR="001A0D93" w:rsidRPr="00820DA7" w:rsidRDefault="00C1092F">
      <w:pPr>
        <w:widowControl w:val="0"/>
        <w:spacing w:line="240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Cela signifie qu’il y a une distance de 29.4 cM entre le gène pour la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 et le centromère du chromosome.</w:t>
      </w: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820DA7" w:rsidRDefault="00820DA7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820DA7" w:rsidRPr="00820DA7" w:rsidRDefault="00820DA7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</w:p>
    <w:p w:rsidR="001A0D93" w:rsidRPr="00820DA7" w:rsidRDefault="00C1092F">
      <w:pPr>
        <w:spacing w:line="254" w:lineRule="auto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lastRenderedPageBreak/>
        <w:t xml:space="preserve">Estimez la distance en paires de bases entre le centromère et le gène de la couleur </w:t>
      </w:r>
      <w:r w:rsidRPr="00820DA7">
        <w:rPr>
          <w:i/>
          <w:sz w:val="24"/>
          <w:szCs w:val="24"/>
          <w:shd w:val="clear" w:color="auto" w:fill="EFEFEF"/>
          <w:lang w:val="fr-FR"/>
        </w:rPr>
        <w:t>tan</w:t>
      </w:r>
      <w:r w:rsidRPr="00820DA7">
        <w:rPr>
          <w:sz w:val="24"/>
          <w:szCs w:val="24"/>
          <w:shd w:val="clear" w:color="auto" w:fill="EFEFEF"/>
          <w:lang w:val="fr-FR"/>
        </w:rPr>
        <w:t xml:space="preserve"> des ascospores chez </w:t>
      </w:r>
      <w:r w:rsidRPr="00820DA7">
        <w:rPr>
          <w:i/>
          <w:sz w:val="24"/>
          <w:szCs w:val="24"/>
          <w:shd w:val="clear" w:color="auto" w:fill="EFEFEF"/>
          <w:lang w:val="fr-FR"/>
        </w:rPr>
        <w:t>S. fimicola</w:t>
      </w:r>
      <w:r w:rsidRPr="00820DA7">
        <w:rPr>
          <w:sz w:val="24"/>
          <w:szCs w:val="24"/>
          <w:shd w:val="clear" w:color="auto" w:fill="EFEFEF"/>
          <w:lang w:val="fr-FR"/>
        </w:rPr>
        <w:t>. Pour cette question, vous pouvez supposer que le rapport des paires de bases par centimorgan chez l'humain (10</w:t>
      </w:r>
      <w:r w:rsidRPr="00820DA7">
        <w:rPr>
          <w:sz w:val="24"/>
          <w:szCs w:val="24"/>
          <w:shd w:val="clear" w:color="auto" w:fill="EFEFEF"/>
          <w:vertAlign w:val="superscript"/>
          <w:lang w:val="fr-FR"/>
        </w:rPr>
        <w:t>5</w:t>
      </w:r>
      <w:r w:rsidRPr="00820DA7">
        <w:rPr>
          <w:sz w:val="24"/>
          <w:szCs w:val="24"/>
          <w:shd w:val="clear" w:color="auto" w:fill="EFEFEF"/>
          <w:lang w:val="fr-FR"/>
        </w:rPr>
        <w:t xml:space="preserve"> paires de base / cM) est représentatif du rapport chez </w:t>
      </w:r>
      <w:r w:rsidRPr="00820DA7">
        <w:rPr>
          <w:i/>
          <w:sz w:val="24"/>
          <w:szCs w:val="24"/>
          <w:shd w:val="clear" w:color="auto" w:fill="EFEFEF"/>
          <w:lang w:val="fr-FR"/>
        </w:rPr>
        <w:t>S. fimicola</w:t>
      </w:r>
      <w:r w:rsidRPr="00820DA7">
        <w:rPr>
          <w:sz w:val="24"/>
          <w:szCs w:val="24"/>
          <w:shd w:val="clear" w:color="auto" w:fill="EFEFEF"/>
          <w:lang w:val="fr-FR"/>
        </w:rPr>
        <w:t>.</w:t>
      </w: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C1092F">
      <w:pPr>
        <w:spacing w:line="254" w:lineRule="auto"/>
        <w:ind w:firstLine="720"/>
        <w:jc w:val="both"/>
        <w:rPr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>Pour estimer la distance gène-centromère en paires de bases, il suffit de prendre en compte le rapport 10</w:t>
      </w:r>
      <w:r w:rsidRPr="00820DA7">
        <w:rPr>
          <w:sz w:val="24"/>
          <w:szCs w:val="24"/>
          <w:vertAlign w:val="superscript"/>
          <w:lang w:val="fr-FR"/>
        </w:rPr>
        <w:t>5</w:t>
      </w:r>
      <w:r w:rsidRPr="00820DA7">
        <w:rPr>
          <w:sz w:val="24"/>
          <w:szCs w:val="24"/>
          <w:lang w:val="fr-FR"/>
        </w:rPr>
        <w:t xml:space="preserve"> pbs/cM et d’y appliquer la règle de trois pour trouver la valeur de pbs inconnu qui congrue avec la valeur de distance en cM connue. La distance gène-centromère pour la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 en unité cartographique a été calculée à la question précédente, et avait une valeur de 29.4 cM. </w:t>
      </w:r>
    </w:p>
    <w:p w:rsidR="001A0D93" w:rsidRPr="00820DA7" w:rsidRDefault="001A0D93">
      <w:pPr>
        <w:spacing w:line="254" w:lineRule="auto"/>
        <w:ind w:firstLine="720"/>
        <w:jc w:val="both"/>
        <w:rPr>
          <w:sz w:val="24"/>
          <w:szCs w:val="24"/>
          <w:lang w:val="fr-FR"/>
        </w:rPr>
      </w:pPr>
    </w:p>
    <w:p w:rsidR="001A0D93" w:rsidRDefault="0005247A">
      <w:pPr>
        <w:widowControl w:val="0"/>
        <w:spacing w:line="240" w:lineRule="auto"/>
        <w:jc w:val="center"/>
        <w:rPr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 xml:space="preserve">29.4 cM 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1 cM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pbs</m:t>
              </m:r>
            </m:den>
          </m:f>
        </m:oMath>
      </m:oMathPara>
    </w:p>
    <w:p w:rsidR="001A0D93" w:rsidRDefault="00C1092F">
      <w:pPr>
        <w:widowControl w:val="0"/>
        <w:spacing w:line="240" w:lineRule="auto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x =</m:t>
          </m:r>
          <m:f>
            <m:fPr>
              <m:ctrlPr>
                <w:rPr>
                  <w:rFonts w:ascii="Cambria Math" w:hAnsi="Cambria Math"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(29.4 cM)⋅(</m:t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pbs)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(1 cM)</m:t>
              </m:r>
            </m:den>
          </m:f>
          <m:r>
            <w:rPr>
              <w:rFonts w:ascii="Cambria Math" w:hAnsi="Cambria Math"/>
              <w:sz w:val="26"/>
              <w:szCs w:val="26"/>
            </w:rPr>
            <m:t xml:space="preserve"> </m:t>
          </m:r>
        </m:oMath>
      </m:oMathPara>
    </w:p>
    <w:p w:rsidR="001A0D93" w:rsidRDefault="00C1092F">
      <w:pPr>
        <w:widowControl w:val="0"/>
        <w:spacing w:line="240" w:lineRule="auto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x = 29.4×</m:t>
          </m:r>
          <m:sSup>
            <m:sSupPr>
              <m:ctrlPr>
                <w:rPr>
                  <w:rFonts w:ascii="Cambria Math" w:hAnsi="Cambria Math"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10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pbs</m:t>
          </m:r>
        </m:oMath>
      </m:oMathPara>
    </w:p>
    <w:p w:rsidR="001A0D93" w:rsidRDefault="001A0D93">
      <w:pPr>
        <w:widowControl w:val="0"/>
        <w:spacing w:line="240" w:lineRule="auto"/>
        <w:jc w:val="center"/>
        <w:rPr>
          <w:sz w:val="26"/>
          <w:szCs w:val="26"/>
        </w:rPr>
      </w:pPr>
    </w:p>
    <w:p w:rsidR="001A0D93" w:rsidRPr="00820DA7" w:rsidRDefault="00C1092F">
      <w:pPr>
        <w:ind w:left="280" w:right="120"/>
        <w:jc w:val="both"/>
        <w:rPr>
          <w:sz w:val="24"/>
          <w:szCs w:val="24"/>
          <w:lang w:val="fr-FR"/>
        </w:rPr>
      </w:pPr>
      <w:r>
        <w:rPr>
          <w:sz w:val="24"/>
          <w:szCs w:val="24"/>
        </w:rPr>
        <w:tab/>
      </w:r>
      <w:r w:rsidRPr="00820DA7">
        <w:rPr>
          <w:sz w:val="24"/>
          <w:szCs w:val="24"/>
          <w:lang w:val="fr-FR"/>
        </w:rPr>
        <w:t>Alors, il est possible d’estimer qu’il y a une distance de 29.4x10</w:t>
      </w:r>
      <w:r w:rsidRPr="00820DA7">
        <w:rPr>
          <w:sz w:val="24"/>
          <w:szCs w:val="24"/>
          <w:vertAlign w:val="superscript"/>
          <w:lang w:val="fr-FR"/>
        </w:rPr>
        <w:t>5</w:t>
      </w:r>
      <w:r w:rsidRPr="00820DA7">
        <w:rPr>
          <w:sz w:val="24"/>
          <w:szCs w:val="24"/>
          <w:lang w:val="fr-FR"/>
        </w:rPr>
        <w:t xml:space="preserve"> paires de bases entre le gène pour la couleur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 et le centromère du chromosome sur lequel se retrouve le gène. </w:t>
      </w:r>
    </w:p>
    <w:p w:rsidR="001A0D93" w:rsidRPr="00820DA7" w:rsidRDefault="001A0D93">
      <w:pPr>
        <w:widowControl w:val="0"/>
        <w:spacing w:line="240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spacing w:line="254" w:lineRule="auto"/>
        <w:jc w:val="both"/>
        <w:rPr>
          <w:sz w:val="24"/>
          <w:szCs w:val="24"/>
          <w:lang w:val="fr-FR"/>
        </w:rPr>
      </w:pPr>
    </w:p>
    <w:p w:rsidR="001A0D93" w:rsidRPr="00820DA7" w:rsidRDefault="001A0D93">
      <w:pPr>
        <w:ind w:left="280" w:right="120"/>
        <w:rPr>
          <w:b/>
          <w:sz w:val="28"/>
          <w:szCs w:val="28"/>
          <w:lang w:val="fr-FR"/>
        </w:rPr>
      </w:pPr>
    </w:p>
    <w:p w:rsidR="001A0D93" w:rsidRPr="00820DA7" w:rsidRDefault="001A0D93">
      <w:pPr>
        <w:ind w:left="280" w:right="120"/>
        <w:rPr>
          <w:b/>
          <w:sz w:val="28"/>
          <w:szCs w:val="28"/>
          <w:lang w:val="fr-FR"/>
        </w:rPr>
      </w:pPr>
    </w:p>
    <w:p w:rsidR="001A0D93" w:rsidRPr="00820DA7" w:rsidRDefault="00C1092F">
      <w:pPr>
        <w:ind w:left="280" w:right="120"/>
        <w:rPr>
          <w:b/>
          <w:sz w:val="28"/>
          <w:szCs w:val="28"/>
          <w:lang w:val="fr-FR"/>
        </w:rPr>
      </w:pPr>
      <w:r w:rsidRPr="00820DA7">
        <w:rPr>
          <w:lang w:val="fr-FR"/>
        </w:rPr>
        <w:br w:type="page"/>
      </w:r>
    </w:p>
    <w:p w:rsidR="001A0D93" w:rsidRPr="00820DA7" w:rsidRDefault="00C1092F">
      <w:pPr>
        <w:ind w:left="280" w:right="120"/>
        <w:rPr>
          <w:b/>
          <w:sz w:val="28"/>
          <w:szCs w:val="28"/>
          <w:lang w:val="fr-FR"/>
        </w:rPr>
      </w:pPr>
      <w:r w:rsidRPr="00820DA7">
        <w:rPr>
          <w:b/>
          <w:sz w:val="28"/>
          <w:szCs w:val="28"/>
          <w:lang w:val="fr-FR"/>
        </w:rPr>
        <w:lastRenderedPageBreak/>
        <w:t>Comparaison avec les données cartographiques publiées</w:t>
      </w:r>
    </w:p>
    <w:p w:rsidR="001A0D93" w:rsidRPr="00820DA7" w:rsidRDefault="00C1092F">
      <w:pPr>
        <w:spacing w:line="256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820DA7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</w:p>
    <w:p w:rsidR="001A0D93" w:rsidRPr="00820DA7" w:rsidRDefault="00C1092F">
      <w:pPr>
        <w:spacing w:line="256" w:lineRule="auto"/>
        <w:ind w:firstLine="280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820DA7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Les valeurs publiées des distances gène-centromère pour les gènes codant pour les couleurs grise et </w:t>
      </w:r>
      <w:r w:rsidRPr="00820DA7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tan </w:t>
      </w:r>
      <w:r w:rsidRPr="00820DA7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des ascospores de </w:t>
      </w:r>
      <w:r w:rsidRPr="00820DA7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 xml:space="preserve">S. fimicola </w:t>
      </w:r>
      <w:r w:rsidRPr="00820DA7">
        <w:rPr>
          <w:rFonts w:ascii="Times New Roman" w:eastAsia="Times New Roman" w:hAnsi="Times New Roman" w:cs="Times New Roman"/>
          <w:sz w:val="24"/>
          <w:szCs w:val="24"/>
          <w:lang w:val="fr-FR"/>
        </w:rPr>
        <w:t>sont respectivement de 27 et 33 unités cartographiques (Olive, 1956).</w:t>
      </w:r>
    </w:p>
    <w:p w:rsidR="001A0D93" w:rsidRPr="00820DA7" w:rsidRDefault="00C1092F">
      <w:pPr>
        <w:spacing w:line="254" w:lineRule="auto"/>
        <w:rPr>
          <w:lang w:val="fr-FR"/>
        </w:rPr>
      </w:pPr>
      <w:r w:rsidRPr="00820DA7">
        <w:rPr>
          <w:lang w:val="fr-FR"/>
        </w:rPr>
        <w:t xml:space="preserve"> </w:t>
      </w:r>
    </w:p>
    <w:p w:rsidR="001A0D93" w:rsidRPr="00820DA7" w:rsidRDefault="00C1092F">
      <w:pPr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D3D3D3"/>
          <w:lang w:val="fr-FR"/>
        </w:rPr>
      </w:pPr>
      <w:r w:rsidRPr="00820DA7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D3D3D3"/>
          <w:lang w:val="fr-FR"/>
        </w:rPr>
        <w:t xml:space="preserve"> </w:t>
      </w:r>
    </w:p>
    <w:p w:rsidR="001A0D93" w:rsidRPr="00820DA7" w:rsidRDefault="00C1092F">
      <w:pPr>
        <w:spacing w:line="254" w:lineRule="auto"/>
        <w:jc w:val="both"/>
        <w:rPr>
          <w:sz w:val="24"/>
          <w:szCs w:val="24"/>
          <w:shd w:val="clear" w:color="auto" w:fill="EFEFEF"/>
          <w:lang w:val="fr-FR"/>
        </w:rPr>
      </w:pPr>
      <w:r w:rsidRPr="00820DA7">
        <w:rPr>
          <w:sz w:val="24"/>
          <w:szCs w:val="24"/>
          <w:shd w:val="clear" w:color="auto" w:fill="EFEFEF"/>
          <w:lang w:val="fr-FR"/>
        </w:rPr>
        <w:t>Dans quelle mesure vos distances gène-centromère mesurées se comparent-elles aux valeurs publiées?</w:t>
      </w:r>
    </w:p>
    <w:p w:rsidR="001A0D93" w:rsidRPr="00820DA7" w:rsidRDefault="001A0D93">
      <w:pPr>
        <w:spacing w:line="254" w:lineRule="auto"/>
        <w:rPr>
          <w:rFonts w:ascii="Times New Roman" w:eastAsia="Times New Roman" w:hAnsi="Times New Roman" w:cs="Times New Roman"/>
          <w:color w:val="0000FF"/>
          <w:sz w:val="24"/>
          <w:szCs w:val="24"/>
          <w:highlight w:val="yellow"/>
          <w:lang w:val="fr-FR"/>
        </w:rPr>
      </w:pPr>
    </w:p>
    <w:p w:rsidR="001A0D93" w:rsidRPr="00820DA7" w:rsidRDefault="00C1092F">
      <w:pPr>
        <w:widowControl w:val="0"/>
        <w:spacing w:line="240" w:lineRule="auto"/>
        <w:ind w:firstLine="720"/>
        <w:jc w:val="both"/>
        <w:rPr>
          <w:i/>
          <w:sz w:val="24"/>
          <w:szCs w:val="24"/>
          <w:lang w:val="fr-FR"/>
        </w:rPr>
      </w:pPr>
      <w:r w:rsidRPr="00820DA7">
        <w:rPr>
          <w:sz w:val="24"/>
          <w:szCs w:val="24"/>
          <w:lang w:val="fr-FR"/>
        </w:rPr>
        <w:t xml:space="preserve">Nous avons déterminé précédemment qu’il y a une distance gène-centromère de 33.8 cM pour le gène codant pour la couleur </w:t>
      </w:r>
      <w:r w:rsidRPr="00820DA7">
        <w:rPr>
          <w:i/>
          <w:sz w:val="24"/>
          <w:szCs w:val="24"/>
          <w:lang w:val="fr-FR"/>
        </w:rPr>
        <w:t>grise</w:t>
      </w:r>
      <w:r w:rsidRPr="00820DA7">
        <w:rPr>
          <w:sz w:val="24"/>
          <w:szCs w:val="24"/>
          <w:lang w:val="fr-FR"/>
        </w:rPr>
        <w:t xml:space="preserve"> et de 29.4 cM pour celui codant pour la couleur </w:t>
      </w:r>
      <w:r w:rsidRPr="00820DA7">
        <w:rPr>
          <w:i/>
          <w:sz w:val="24"/>
          <w:szCs w:val="24"/>
          <w:lang w:val="fr-FR"/>
        </w:rPr>
        <w:t xml:space="preserve">tan </w:t>
      </w:r>
      <w:r w:rsidRPr="00820DA7">
        <w:rPr>
          <w:sz w:val="24"/>
          <w:szCs w:val="24"/>
          <w:lang w:val="fr-FR"/>
        </w:rPr>
        <w:t>chez</w:t>
      </w:r>
      <w:r w:rsidRPr="00820DA7">
        <w:rPr>
          <w:i/>
          <w:sz w:val="24"/>
          <w:szCs w:val="24"/>
          <w:lang w:val="fr-FR"/>
        </w:rPr>
        <w:t xml:space="preserve"> S. fimicola. </w:t>
      </w:r>
      <w:r w:rsidRPr="00820DA7">
        <w:rPr>
          <w:sz w:val="24"/>
          <w:szCs w:val="24"/>
          <w:lang w:val="fr-FR"/>
        </w:rPr>
        <w:t xml:space="preserve">Ceci se traduit par une différence de 25% et 11% entre la valeur attendue et obtenue pour le gène gris et </w:t>
      </w:r>
      <w:r w:rsidRPr="00820DA7">
        <w:rPr>
          <w:i/>
          <w:sz w:val="24"/>
          <w:szCs w:val="24"/>
          <w:lang w:val="fr-FR"/>
        </w:rPr>
        <w:t>tan</w:t>
      </w:r>
      <w:r w:rsidRPr="00820DA7">
        <w:rPr>
          <w:sz w:val="24"/>
          <w:szCs w:val="24"/>
          <w:lang w:val="fr-FR"/>
        </w:rPr>
        <w:t xml:space="preserve"> respectivement. Cette différence quoiqu’elle ne soit pas très grande, peut s’expliquer par le fait que la méthode expérimentale de décompte d’ascospores n’était pas très précise. D’abord, certaines rosettes étaient endommagées </w:t>
      </w:r>
      <w:r w:rsidR="00A2070C" w:rsidRPr="00820DA7">
        <w:rPr>
          <w:sz w:val="24"/>
          <w:szCs w:val="24"/>
          <w:lang w:val="fr-FR"/>
        </w:rPr>
        <w:t>à la suite de</w:t>
      </w:r>
      <w:r w:rsidRPr="00820DA7">
        <w:rPr>
          <w:sz w:val="24"/>
          <w:szCs w:val="24"/>
          <w:lang w:val="fr-FR"/>
        </w:rPr>
        <w:t xml:space="preserve"> l'écrasement donc le nombre d’asques observé n’était pas aussi représentatif de la réalité. D’une autre part, les résultats auraient été plus exactes si l'échantillon était plus </w:t>
      </w:r>
      <w:r w:rsidR="00A2070C" w:rsidRPr="00820DA7">
        <w:rPr>
          <w:sz w:val="24"/>
          <w:szCs w:val="24"/>
          <w:lang w:val="fr-FR"/>
        </w:rPr>
        <w:t>large :</w:t>
      </w:r>
      <w:r w:rsidRPr="00820DA7">
        <w:rPr>
          <w:sz w:val="24"/>
          <w:szCs w:val="24"/>
          <w:lang w:val="fr-FR"/>
        </w:rPr>
        <w:t xml:space="preserve"> un plus grand nombre de rosettes/ asques pris en considération aurait réduit le pourcentage de différence. </w:t>
      </w:r>
    </w:p>
    <w:p w:rsidR="001A0D93" w:rsidRPr="00820DA7" w:rsidRDefault="001A0D93">
      <w:pPr>
        <w:widowControl w:val="0"/>
        <w:spacing w:line="240" w:lineRule="auto"/>
        <w:jc w:val="both"/>
        <w:rPr>
          <w:sz w:val="24"/>
          <w:szCs w:val="24"/>
          <w:lang w:val="fr-FR"/>
        </w:rPr>
      </w:pPr>
    </w:p>
    <w:tbl>
      <w:tblPr>
        <w:tblStyle w:val="a6"/>
        <w:tblW w:w="9360" w:type="dxa"/>
        <w:tblInd w:w="100" w:type="dxa"/>
        <w:tblLayout w:type="fixed"/>
        <w:tblLook w:val="0600" w:firstRow="0" w:lastRow="0" w:firstColumn="0" w:lastColumn="0" w:noHBand="1" w:noVBand="1"/>
      </w:tblPr>
      <w:tblGrid>
        <w:gridCol w:w="3870"/>
        <w:gridCol w:w="5490"/>
      </w:tblGrid>
      <w:tr w:rsidR="001A0D93" w:rsidRPr="00820DA7">
        <w:trPr>
          <w:trHeight w:val="440"/>
        </w:trPr>
        <w:tc>
          <w:tcPr>
            <w:tcW w:w="93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 xml:space="preserve">Rendement de la distance gène-centromère pour la couleur </w:t>
            </w:r>
            <w:r w:rsidRPr="00820DA7">
              <w:rPr>
                <w:i/>
                <w:lang w:val="fr-FR"/>
              </w:rPr>
              <w:t>grise</w:t>
            </w:r>
            <w:r w:rsidRPr="00820DA7">
              <w:rPr>
                <w:lang w:val="fr-FR"/>
              </w:rPr>
              <w:t xml:space="preserve"> :</w:t>
            </w:r>
          </w:p>
        </w:tc>
      </w:tr>
      <w:tr w:rsidR="001A0D93">
        <w:tc>
          <w:tcPr>
            <w:tcW w:w="3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>Valeur théorique = 27 cM</w:t>
            </w:r>
          </w:p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>Valeur expérimentale = 33.8 cM</w:t>
            </w:r>
          </w:p>
        </w:tc>
        <w:tc>
          <w:tcPr>
            <w:tcW w:w="5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A2070C" w:rsidRDefault="00C1092F">
            <w:pPr>
              <w:widowControl w:val="0"/>
              <w:spacing w:line="240" w:lineRule="auto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|valeur théorique- valeur expérimentale|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valeur théorique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X 100 </m:t>
                </m:r>
              </m:oMath>
            </m:oMathPara>
          </w:p>
          <w:p w:rsidR="001A0D93" w:rsidRPr="00A2070C" w:rsidRDefault="00C1092F">
            <w:pPr>
              <w:widowControl w:val="0"/>
              <w:spacing w:line="240" w:lineRule="auto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|27cM - 33.8 cM|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27 cM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X100 </m:t>
                </m:r>
              </m:oMath>
            </m:oMathPara>
          </w:p>
          <w:p w:rsidR="001A0D93" w:rsidRPr="00A2070C" w:rsidRDefault="00C1092F">
            <w:pPr>
              <w:widowControl w:val="0"/>
              <w:spacing w:line="240" w:lineRule="auto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=25%</m:t>
                </m:r>
              </m:oMath>
            </m:oMathPara>
          </w:p>
          <w:p w:rsidR="001A0D93" w:rsidRDefault="001A0D93">
            <w:pPr>
              <w:widowControl w:val="0"/>
              <w:spacing w:line="240" w:lineRule="auto"/>
              <w:jc w:val="both"/>
            </w:pPr>
          </w:p>
        </w:tc>
      </w:tr>
      <w:tr w:rsidR="001A0D93" w:rsidRPr="00820DA7">
        <w:trPr>
          <w:trHeight w:val="440"/>
        </w:trPr>
        <w:tc>
          <w:tcPr>
            <w:tcW w:w="936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 xml:space="preserve">Rendement de la distance gène-centromère pour la couleur </w:t>
            </w:r>
            <w:r w:rsidRPr="00820DA7">
              <w:rPr>
                <w:i/>
                <w:lang w:val="fr-FR"/>
              </w:rPr>
              <w:t>tan</w:t>
            </w:r>
            <w:r w:rsidRPr="00820DA7">
              <w:rPr>
                <w:lang w:val="fr-FR"/>
              </w:rPr>
              <w:t xml:space="preserve"> :</w:t>
            </w:r>
          </w:p>
        </w:tc>
      </w:tr>
      <w:tr w:rsidR="001A0D93">
        <w:tc>
          <w:tcPr>
            <w:tcW w:w="3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>Valeur théorique = 33 cM</w:t>
            </w:r>
          </w:p>
          <w:p w:rsidR="001A0D93" w:rsidRPr="00820DA7" w:rsidRDefault="00C1092F">
            <w:pPr>
              <w:widowControl w:val="0"/>
              <w:spacing w:line="240" w:lineRule="auto"/>
              <w:rPr>
                <w:lang w:val="fr-FR"/>
              </w:rPr>
            </w:pPr>
            <w:r w:rsidRPr="00820DA7">
              <w:rPr>
                <w:lang w:val="fr-FR"/>
              </w:rPr>
              <w:t>Valeur expérimentale = 29.4 cM</w:t>
            </w:r>
          </w:p>
        </w:tc>
        <w:tc>
          <w:tcPr>
            <w:tcW w:w="54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0D93" w:rsidRPr="00A2070C" w:rsidRDefault="00C1092F">
            <w:pPr>
              <w:widowControl w:val="0"/>
              <w:spacing w:line="240" w:lineRule="auto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|valeur théorique- valeur expérimentale|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valeur théorique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X 100 </m:t>
                </m:r>
              </m:oMath>
            </m:oMathPara>
          </w:p>
          <w:p w:rsidR="001A0D93" w:rsidRPr="00A2070C" w:rsidRDefault="00C1092F">
            <w:pPr>
              <w:widowControl w:val="0"/>
              <w:spacing w:line="240" w:lineRule="auto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</m:t>
                </m:r>
                <m:f>
                  <m:fPr>
                    <m:ctrlPr>
                      <w:rPr>
                        <w:rFonts w:ascii="Cambria Math" w:hAnsi="Cambria Math"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|33cM - 29.4 cM|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33 cM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X100 </m:t>
                </m:r>
              </m:oMath>
            </m:oMathPara>
          </w:p>
          <w:p w:rsidR="001A0D93" w:rsidRPr="00A2070C" w:rsidRDefault="00C1092F">
            <w:pPr>
              <w:widowControl w:val="0"/>
              <w:spacing w:line="240" w:lineRule="auto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% diff. grise =11%</m:t>
                </m:r>
              </m:oMath>
            </m:oMathPara>
          </w:p>
        </w:tc>
      </w:tr>
    </w:tbl>
    <w:p w:rsidR="001A0D93" w:rsidRDefault="001A0D93">
      <w:pPr>
        <w:widowControl w:val="0"/>
        <w:spacing w:line="240" w:lineRule="auto"/>
        <w:jc w:val="both"/>
        <w:rPr>
          <w:sz w:val="24"/>
          <w:szCs w:val="24"/>
        </w:rPr>
      </w:pPr>
    </w:p>
    <w:p w:rsidR="001A0D93" w:rsidRDefault="001A0D93">
      <w:pPr>
        <w:widowControl w:val="0"/>
        <w:spacing w:line="240" w:lineRule="auto"/>
        <w:ind w:firstLine="720"/>
        <w:jc w:val="both"/>
        <w:rPr>
          <w:i/>
          <w:sz w:val="24"/>
          <w:szCs w:val="24"/>
        </w:rPr>
      </w:pPr>
    </w:p>
    <w:p w:rsidR="001A0D93" w:rsidRDefault="00C1092F">
      <w:pPr>
        <w:widowControl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A0D93" w:rsidRDefault="001A0D93">
      <w:pPr>
        <w:widowControl w:val="0"/>
        <w:spacing w:line="240" w:lineRule="auto"/>
        <w:jc w:val="both"/>
        <w:rPr>
          <w:sz w:val="24"/>
          <w:szCs w:val="24"/>
        </w:rPr>
      </w:pPr>
    </w:p>
    <w:p w:rsidR="001A0D93" w:rsidRDefault="001A0D93">
      <w:pPr>
        <w:widowControl w:val="0"/>
        <w:spacing w:line="240" w:lineRule="auto"/>
        <w:jc w:val="both"/>
        <w:rPr>
          <w:sz w:val="24"/>
          <w:szCs w:val="24"/>
        </w:rPr>
      </w:pPr>
    </w:p>
    <w:p w:rsidR="001A0D93" w:rsidRDefault="001A0D93">
      <w:pPr>
        <w:widowControl w:val="0"/>
        <w:spacing w:line="240" w:lineRule="auto"/>
        <w:jc w:val="both"/>
        <w:rPr>
          <w:sz w:val="24"/>
          <w:szCs w:val="24"/>
        </w:rPr>
      </w:pPr>
    </w:p>
    <w:p w:rsidR="001A0D93" w:rsidRDefault="001A0D93">
      <w:pPr>
        <w:widowControl w:val="0"/>
        <w:spacing w:line="240" w:lineRule="auto"/>
        <w:jc w:val="both"/>
        <w:rPr>
          <w:sz w:val="24"/>
          <w:szCs w:val="24"/>
        </w:rPr>
      </w:pPr>
    </w:p>
    <w:p w:rsidR="001A0D93" w:rsidRDefault="001A0D93">
      <w:pPr>
        <w:spacing w:line="254" w:lineRule="auto"/>
      </w:pPr>
    </w:p>
    <w:sectPr w:rsidR="001A0D93">
      <w:footerReference w:type="default" r:id="rId8"/>
      <w:footerReference w:type="first" r:id="rId9"/>
      <w:pgSz w:w="12240" w:h="15840"/>
      <w:pgMar w:top="1440" w:right="1440" w:bottom="1440" w:left="1440" w:header="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47A" w:rsidRDefault="0005247A">
      <w:pPr>
        <w:spacing w:line="240" w:lineRule="auto"/>
      </w:pPr>
      <w:r>
        <w:separator/>
      </w:r>
    </w:p>
  </w:endnote>
  <w:endnote w:type="continuationSeparator" w:id="0">
    <w:p w:rsidR="0005247A" w:rsidRDefault="000524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D93" w:rsidRDefault="00C1092F">
    <w:pPr>
      <w:jc w:val="right"/>
    </w:pPr>
    <w:r>
      <w:fldChar w:fldCharType="begin"/>
    </w:r>
    <w:r>
      <w:instrText>PAGE</w:instrText>
    </w:r>
    <w:r>
      <w:fldChar w:fldCharType="separate"/>
    </w:r>
    <w:r w:rsidR="00820DA7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D93" w:rsidRDefault="001A0D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47A" w:rsidRDefault="0005247A">
      <w:pPr>
        <w:spacing w:line="240" w:lineRule="auto"/>
      </w:pPr>
      <w:r>
        <w:separator/>
      </w:r>
    </w:p>
  </w:footnote>
  <w:footnote w:type="continuationSeparator" w:id="0">
    <w:p w:rsidR="0005247A" w:rsidRDefault="0005247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208A9"/>
    <w:multiLevelType w:val="multilevel"/>
    <w:tmpl w:val="BCF8EE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0D93"/>
    <w:rsid w:val="0005247A"/>
    <w:rsid w:val="001A0D93"/>
    <w:rsid w:val="00820DA7"/>
    <w:rsid w:val="00A2070C"/>
    <w:rsid w:val="00C1092F"/>
    <w:rsid w:val="00FF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5C8278"/>
  <w15:docId w15:val="{EB023CC5-8CF2-BB4F-AB7F-FE9C6D845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1578</Words>
  <Characters>8997</Characters>
  <Application>Microsoft Office Word</Application>
  <DocSecurity>0</DocSecurity>
  <Lines>74</Lines>
  <Paragraphs>21</Paragraphs>
  <ScaleCrop>false</ScaleCrop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Léanne Deschênes</cp:lastModifiedBy>
  <cp:revision>5</cp:revision>
  <dcterms:created xsi:type="dcterms:W3CDTF">2018-02-15T05:56:00Z</dcterms:created>
  <dcterms:modified xsi:type="dcterms:W3CDTF">2018-02-15T16:03:00Z</dcterms:modified>
</cp:coreProperties>
</file>