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3CE40A" w14:textId="77777777" w:rsidR="004D0AB6" w:rsidRPr="000B5082" w:rsidRDefault="000B5082">
      <w:pPr>
        <w:jc w:val="both"/>
        <w:rPr>
          <w:rFonts w:ascii="Times New Roman" w:eastAsia="Times New Roman" w:hAnsi="Times New Roman" w:cs="Times New Roman"/>
          <w:b/>
          <w:lang w:val="fr-CA"/>
        </w:rPr>
      </w:pPr>
      <w:r w:rsidRPr="000B5082">
        <w:rPr>
          <w:rFonts w:ascii="Times New Roman" w:eastAsia="Times New Roman" w:hAnsi="Times New Roman" w:cs="Times New Roman"/>
          <w:b/>
          <w:lang w:val="fr-CA"/>
        </w:rPr>
        <w:t xml:space="preserve">Cours 10: La communication cellulaire </w:t>
      </w:r>
    </w:p>
    <w:p w14:paraId="34053963" w14:textId="77777777" w:rsidR="004D0AB6" w:rsidRPr="000B5082" w:rsidRDefault="004D0AB6">
      <w:pPr>
        <w:jc w:val="both"/>
        <w:rPr>
          <w:rFonts w:ascii="Times New Roman" w:eastAsia="Times New Roman" w:hAnsi="Times New Roman" w:cs="Times New Roman"/>
          <w:lang w:val="fr-CA"/>
        </w:rPr>
      </w:pPr>
    </w:p>
    <w:p w14:paraId="47775811" w14:textId="77777777" w:rsidR="004D0AB6" w:rsidRPr="000B5082" w:rsidRDefault="000B5082">
      <w:pPr>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 xml:space="preserve">Les différentes voies de communication: </w:t>
      </w:r>
    </w:p>
    <w:p w14:paraId="487A5A7E" w14:textId="77777777" w:rsidR="004D0AB6" w:rsidRPr="000B5082" w:rsidRDefault="000B5082">
      <w:pPr>
        <w:numPr>
          <w:ilvl w:val="0"/>
          <w:numId w:val="8"/>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Directes :</w:t>
      </w:r>
    </w:p>
    <w:p w14:paraId="18EE7735" w14:textId="77777777" w:rsidR="004D0AB6" w:rsidRPr="000B5082" w:rsidRDefault="000B5082">
      <w:pPr>
        <w:numPr>
          <w:ilvl w:val="0"/>
          <w:numId w:val="3"/>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 xml:space="preserve">Jonctions cellulaires </w:t>
      </w:r>
    </w:p>
    <w:p w14:paraId="0F5FE128" w14:textId="77777777" w:rsidR="004D0AB6" w:rsidRPr="000B5082" w:rsidRDefault="000B5082">
      <w:pPr>
        <w:numPr>
          <w:ilvl w:val="0"/>
          <w:numId w:val="3"/>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 xml:space="preserve">Reconnaissance intercellulaire </w:t>
      </w:r>
    </w:p>
    <w:p w14:paraId="6C4D7825" w14:textId="77777777" w:rsidR="004D0AB6" w:rsidRPr="000B5082" w:rsidRDefault="000B5082">
      <w:pPr>
        <w:numPr>
          <w:ilvl w:val="0"/>
          <w:numId w:val="20"/>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Indirectes :</w:t>
      </w:r>
    </w:p>
    <w:p w14:paraId="7307219E" w14:textId="77777777" w:rsidR="004D0AB6" w:rsidRPr="000B5082" w:rsidRDefault="000B5082">
      <w:pPr>
        <w:numPr>
          <w:ilvl w:val="0"/>
          <w:numId w:val="6"/>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Autocrine: Message est reçu par la même cellule qui l’a sécrétée.</w:t>
      </w:r>
    </w:p>
    <w:p w14:paraId="73A1A61A" w14:textId="77777777" w:rsidR="004D0AB6" w:rsidRPr="000B5082" w:rsidRDefault="000B5082">
      <w:pPr>
        <w:numPr>
          <w:ilvl w:val="0"/>
          <w:numId w:val="6"/>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Paracrine: Message est reçu par une cellule avoisinantes.</w:t>
      </w:r>
    </w:p>
    <w:p w14:paraId="1B6E2F74" w14:textId="77777777" w:rsidR="004D0AB6" w:rsidRPr="000B5082" w:rsidRDefault="000B5082">
      <w:pPr>
        <w:numPr>
          <w:ilvl w:val="0"/>
          <w:numId w:val="6"/>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 xml:space="preserve">Endocrine: Message voyage par la circulation sanguine afin de vaincre un taux de diffusion lent (ex: hormones). </w:t>
      </w:r>
    </w:p>
    <w:p w14:paraId="6D1F404B" w14:textId="77777777" w:rsidR="004D0AB6" w:rsidRPr="000B5082" w:rsidRDefault="000B5082">
      <w:pPr>
        <w:numPr>
          <w:ilvl w:val="0"/>
          <w:numId w:val="6"/>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Exocrine: Cellules sécrètent leur message via un canal à l'extérieur d’une cellule ou</w:t>
      </w:r>
      <w:r w:rsidRPr="000B5082">
        <w:rPr>
          <w:rFonts w:ascii="Times New Roman" w:eastAsia="Times New Roman" w:hAnsi="Times New Roman" w:cs="Times New Roman"/>
          <w:lang w:val="fr-CA"/>
        </w:rPr>
        <w:t xml:space="preserve"> d’un tissu (ex: phéromones). </w:t>
      </w:r>
    </w:p>
    <w:p w14:paraId="62F25E34" w14:textId="77777777" w:rsidR="004D0AB6" w:rsidRPr="000B5082" w:rsidRDefault="000B5082">
      <w:pPr>
        <w:numPr>
          <w:ilvl w:val="0"/>
          <w:numId w:val="6"/>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 xml:space="preserve">Neuronale: Message voyage par les voies neuronales plutôt que sanguine (plus rapide). </w:t>
      </w:r>
    </w:p>
    <w:p w14:paraId="0714CC88" w14:textId="77777777" w:rsidR="004D0AB6" w:rsidRPr="000B5082" w:rsidRDefault="004D0AB6">
      <w:pPr>
        <w:jc w:val="both"/>
        <w:rPr>
          <w:rFonts w:ascii="Times New Roman" w:eastAsia="Times New Roman" w:hAnsi="Times New Roman" w:cs="Times New Roman"/>
          <w:lang w:val="fr-CA"/>
        </w:rPr>
      </w:pPr>
    </w:p>
    <w:p w14:paraId="43F73680" w14:textId="77777777" w:rsidR="004D0AB6" w:rsidRPr="000B5082" w:rsidRDefault="000B5082">
      <w:pPr>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 xml:space="preserve">Les types de messagers chimiques: </w:t>
      </w:r>
    </w:p>
    <w:p w14:paraId="7DF2B612" w14:textId="77777777" w:rsidR="004D0AB6" w:rsidRPr="000B5082" w:rsidRDefault="000B5082">
      <w:pPr>
        <w:numPr>
          <w:ilvl w:val="0"/>
          <w:numId w:val="2"/>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 xml:space="preserve">Peptides: </w:t>
      </w:r>
    </w:p>
    <w:p w14:paraId="633FCE1E" w14:textId="77777777" w:rsidR="004D0AB6" w:rsidRPr="000B5082" w:rsidRDefault="000B5082">
      <w:pPr>
        <w:numPr>
          <w:ilvl w:val="0"/>
          <w:numId w:val="13"/>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 xml:space="preserve">Hydrophiles. </w:t>
      </w:r>
    </w:p>
    <w:p w14:paraId="21D33F39" w14:textId="77777777" w:rsidR="004D0AB6" w:rsidRPr="000B5082" w:rsidRDefault="000B5082">
      <w:pPr>
        <w:numPr>
          <w:ilvl w:val="0"/>
          <w:numId w:val="13"/>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 xml:space="preserve">2-200 acides aminés. </w:t>
      </w:r>
    </w:p>
    <w:p w14:paraId="402D3DE1" w14:textId="77777777" w:rsidR="004D0AB6" w:rsidRPr="000B5082" w:rsidRDefault="000B5082">
      <w:pPr>
        <w:numPr>
          <w:ilvl w:val="0"/>
          <w:numId w:val="13"/>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 xml:space="preserve">Souvent emmagasinés dans des vésicules. </w:t>
      </w:r>
    </w:p>
    <w:p w14:paraId="22ABC837" w14:textId="77777777" w:rsidR="004D0AB6" w:rsidRPr="000B5082" w:rsidRDefault="000B5082">
      <w:pPr>
        <w:numPr>
          <w:ilvl w:val="0"/>
          <w:numId w:val="13"/>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Ne peuvent pas</w:t>
      </w:r>
      <w:r w:rsidRPr="000B5082">
        <w:rPr>
          <w:rFonts w:ascii="Times New Roman" w:eastAsia="Times New Roman" w:hAnsi="Times New Roman" w:cs="Times New Roman"/>
          <w:lang w:val="fr-CA"/>
        </w:rPr>
        <w:t xml:space="preserve">ser la bicouche. </w:t>
      </w:r>
    </w:p>
    <w:p w14:paraId="332CB9E7" w14:textId="77777777" w:rsidR="004D0AB6" w:rsidRPr="000B5082" w:rsidRDefault="000B5082">
      <w:pPr>
        <w:numPr>
          <w:ilvl w:val="0"/>
          <w:numId w:val="13"/>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 xml:space="preserve">Libérés par exocytose. </w:t>
      </w:r>
    </w:p>
    <w:p w14:paraId="55E4972D" w14:textId="77777777" w:rsidR="004D0AB6" w:rsidRPr="000B5082" w:rsidRDefault="000B5082">
      <w:pPr>
        <w:numPr>
          <w:ilvl w:val="0"/>
          <w:numId w:val="13"/>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Ex: insuline, glucagon, cytokines.</w:t>
      </w:r>
    </w:p>
    <w:p w14:paraId="3D888565" w14:textId="77777777" w:rsidR="004D0AB6" w:rsidRPr="000B5082" w:rsidRDefault="000B5082">
      <w:pPr>
        <w:numPr>
          <w:ilvl w:val="0"/>
          <w:numId w:val="2"/>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Stéroides:</w:t>
      </w:r>
    </w:p>
    <w:p w14:paraId="39724AAF" w14:textId="77777777" w:rsidR="004D0AB6" w:rsidRPr="000B5082" w:rsidRDefault="000B5082">
      <w:pPr>
        <w:numPr>
          <w:ilvl w:val="0"/>
          <w:numId w:val="9"/>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Dérivés de cholestérol.</w:t>
      </w:r>
    </w:p>
    <w:p w14:paraId="70A7F0FD" w14:textId="77777777" w:rsidR="004D0AB6" w:rsidRPr="000B5082" w:rsidRDefault="000B5082">
      <w:pPr>
        <w:numPr>
          <w:ilvl w:val="0"/>
          <w:numId w:val="9"/>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3 classes : Minéralocorticoïdes, glucocorticoïdes, hormones sexuelles.</w:t>
      </w:r>
    </w:p>
    <w:p w14:paraId="75D51CCF" w14:textId="77777777" w:rsidR="004D0AB6" w:rsidRPr="000B5082" w:rsidRDefault="000B5082">
      <w:pPr>
        <w:numPr>
          <w:ilvl w:val="0"/>
          <w:numId w:val="9"/>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 xml:space="preserve">Hydrophobes, donc ne peuvent pas êtres emmagasinés dans les vésicules. </w:t>
      </w:r>
    </w:p>
    <w:p w14:paraId="0BBF17A1" w14:textId="77777777" w:rsidR="004D0AB6" w:rsidRPr="000B5082" w:rsidRDefault="000B5082">
      <w:pPr>
        <w:numPr>
          <w:ilvl w:val="0"/>
          <w:numId w:val="9"/>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Diffusion ou protéines de transport (globulines-endocrine).</w:t>
      </w:r>
    </w:p>
    <w:p w14:paraId="3CFA3AA7" w14:textId="77777777" w:rsidR="004D0AB6" w:rsidRPr="000B5082" w:rsidRDefault="000B5082">
      <w:pPr>
        <w:numPr>
          <w:ilvl w:val="0"/>
          <w:numId w:val="2"/>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Purines:</w:t>
      </w:r>
    </w:p>
    <w:p w14:paraId="66A8F73A" w14:textId="77777777" w:rsidR="004D0AB6" w:rsidRPr="000B5082" w:rsidRDefault="000B5082">
      <w:pPr>
        <w:numPr>
          <w:ilvl w:val="0"/>
          <w:numId w:val="21"/>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Dérivés des nucléotides adénine et guanine.</w:t>
      </w:r>
    </w:p>
    <w:p w14:paraId="7B214EBF" w14:textId="77777777" w:rsidR="004D0AB6" w:rsidRPr="000B5082" w:rsidRDefault="000B5082">
      <w:pPr>
        <w:numPr>
          <w:ilvl w:val="0"/>
          <w:numId w:val="21"/>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Libérés par transporteur membranaire ou exocytose.</w:t>
      </w:r>
    </w:p>
    <w:p w14:paraId="47D6FE0E" w14:textId="77777777" w:rsidR="004D0AB6" w:rsidRPr="000B5082" w:rsidRDefault="000B5082">
      <w:pPr>
        <w:numPr>
          <w:ilvl w:val="0"/>
          <w:numId w:val="21"/>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Paracrine ou neuronale.</w:t>
      </w:r>
    </w:p>
    <w:p w14:paraId="1DDD44EA" w14:textId="77777777" w:rsidR="004D0AB6" w:rsidRPr="000B5082" w:rsidRDefault="000B5082">
      <w:pPr>
        <w:numPr>
          <w:ilvl w:val="0"/>
          <w:numId w:val="21"/>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 xml:space="preserve">Mécanismes d’action: </w:t>
      </w:r>
    </w:p>
    <w:p w14:paraId="4CA99914" w14:textId="77777777" w:rsidR="004D0AB6" w:rsidRPr="000B5082" w:rsidRDefault="000B5082">
      <w:pPr>
        <w:numPr>
          <w:ilvl w:val="1"/>
          <w:numId w:val="21"/>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Antagoniste des récepteurs de l’adénosine = em</w:t>
      </w:r>
      <w:r w:rsidRPr="000B5082">
        <w:rPr>
          <w:rFonts w:ascii="Times New Roman" w:eastAsia="Times New Roman" w:hAnsi="Times New Roman" w:cs="Times New Roman"/>
          <w:lang w:val="fr-CA"/>
        </w:rPr>
        <w:t xml:space="preserve">pêche l’adénosine de se lier à son récepteur et de supprimer l’activité cérébrale. </w:t>
      </w:r>
    </w:p>
    <w:p w14:paraId="21626677" w14:textId="77777777" w:rsidR="004D0AB6" w:rsidRPr="000B5082" w:rsidRDefault="000B5082">
      <w:pPr>
        <w:numPr>
          <w:ilvl w:val="1"/>
          <w:numId w:val="21"/>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 xml:space="preserve">Permet à l’adrénaline de continuer son message d’alerte. </w:t>
      </w:r>
    </w:p>
    <w:p w14:paraId="5701A0AC" w14:textId="77777777" w:rsidR="004D0AB6" w:rsidRPr="000B5082" w:rsidRDefault="000B5082">
      <w:pPr>
        <w:numPr>
          <w:ilvl w:val="1"/>
          <w:numId w:val="21"/>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Permet l’augmentation de la sécrétion.</w:t>
      </w:r>
    </w:p>
    <w:p w14:paraId="747DBE39" w14:textId="77777777" w:rsidR="004D0AB6" w:rsidRPr="000B5082" w:rsidRDefault="000B5082">
      <w:pPr>
        <w:numPr>
          <w:ilvl w:val="1"/>
          <w:numId w:val="21"/>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 xml:space="preserve">La caféine est une purine savoureuse, toxique et délicieuse. </w:t>
      </w:r>
    </w:p>
    <w:p w14:paraId="16F78573" w14:textId="77777777" w:rsidR="004D0AB6" w:rsidRPr="000B5082" w:rsidRDefault="000B5082">
      <w:pPr>
        <w:numPr>
          <w:ilvl w:val="0"/>
          <w:numId w:val="2"/>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Amines:</w:t>
      </w:r>
    </w:p>
    <w:p w14:paraId="30C74041" w14:textId="77777777" w:rsidR="004D0AB6" w:rsidRPr="000B5082" w:rsidRDefault="000B5082">
      <w:pPr>
        <w:numPr>
          <w:ilvl w:val="0"/>
          <w:numId w:val="23"/>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Possè</w:t>
      </w:r>
      <w:r w:rsidRPr="000B5082">
        <w:rPr>
          <w:rFonts w:ascii="Times New Roman" w:eastAsia="Times New Roman" w:hAnsi="Times New Roman" w:cs="Times New Roman"/>
          <w:lang w:val="fr-CA"/>
        </w:rPr>
        <w:t>dent groupes amines NH</w:t>
      </w:r>
      <w:r w:rsidRPr="000B5082">
        <w:rPr>
          <w:rFonts w:ascii="Times New Roman" w:eastAsia="Times New Roman" w:hAnsi="Times New Roman" w:cs="Times New Roman"/>
          <w:vertAlign w:val="subscript"/>
          <w:lang w:val="fr-CA"/>
        </w:rPr>
        <w:t>2</w:t>
      </w:r>
      <w:r w:rsidRPr="000B5082">
        <w:rPr>
          <w:rFonts w:ascii="Times New Roman" w:eastAsia="Times New Roman" w:hAnsi="Times New Roman" w:cs="Times New Roman"/>
          <w:lang w:val="fr-CA"/>
        </w:rPr>
        <w:t>.</w:t>
      </w:r>
    </w:p>
    <w:p w14:paraId="66F8CF48" w14:textId="77777777" w:rsidR="004D0AB6" w:rsidRPr="000B5082" w:rsidRDefault="000B5082">
      <w:pPr>
        <w:numPr>
          <w:ilvl w:val="0"/>
          <w:numId w:val="23"/>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Généralement synthétisés par des acides aminés.</w:t>
      </w:r>
    </w:p>
    <w:p w14:paraId="7234FCE8" w14:textId="77777777" w:rsidR="004D0AB6" w:rsidRPr="000B5082" w:rsidRDefault="000B5082">
      <w:pPr>
        <w:numPr>
          <w:ilvl w:val="0"/>
          <w:numId w:val="23"/>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Majorité sont hydrophiles (vésicules/exocytose).</w:t>
      </w:r>
    </w:p>
    <w:p w14:paraId="75D744DE" w14:textId="77777777" w:rsidR="004D0AB6" w:rsidRPr="000B5082" w:rsidRDefault="000B5082">
      <w:pPr>
        <w:numPr>
          <w:ilvl w:val="0"/>
          <w:numId w:val="23"/>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 xml:space="preserve">Réserve ou à la demande. </w:t>
      </w:r>
    </w:p>
    <w:p w14:paraId="5E79EAC3" w14:textId="77777777" w:rsidR="004D0AB6" w:rsidRPr="000B5082" w:rsidRDefault="000B5082">
      <w:pPr>
        <w:numPr>
          <w:ilvl w:val="0"/>
          <w:numId w:val="23"/>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Plusieurs neurotransmetteurs.</w:t>
      </w:r>
    </w:p>
    <w:p w14:paraId="06302D42" w14:textId="77777777" w:rsidR="004D0AB6" w:rsidRPr="000B5082" w:rsidRDefault="000B5082">
      <w:pPr>
        <w:numPr>
          <w:ilvl w:val="0"/>
          <w:numId w:val="23"/>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lastRenderedPageBreak/>
        <w:t>Exemples: histamines, sérotonines, hormones thyroïdiennes.</w:t>
      </w:r>
    </w:p>
    <w:p w14:paraId="0144FE78" w14:textId="77777777" w:rsidR="004D0AB6" w:rsidRPr="000B5082" w:rsidRDefault="000B5082">
      <w:pPr>
        <w:numPr>
          <w:ilvl w:val="0"/>
          <w:numId w:val="2"/>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Lipides:</w:t>
      </w:r>
    </w:p>
    <w:p w14:paraId="4EE2EBA1" w14:textId="77777777" w:rsidR="004D0AB6" w:rsidRPr="000B5082" w:rsidRDefault="000B5082">
      <w:pPr>
        <w:numPr>
          <w:ilvl w:val="0"/>
          <w:numId w:val="14"/>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 xml:space="preserve">Majorité dérivée de l’acide arachidonique. </w:t>
      </w:r>
    </w:p>
    <w:p w14:paraId="72765581" w14:textId="77777777" w:rsidR="004D0AB6" w:rsidRPr="000B5082" w:rsidRDefault="000B5082">
      <w:pPr>
        <w:numPr>
          <w:ilvl w:val="0"/>
          <w:numId w:val="14"/>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Hydrophobes.</w:t>
      </w:r>
    </w:p>
    <w:p w14:paraId="40BB2F3F" w14:textId="77777777" w:rsidR="004D0AB6" w:rsidRPr="000B5082" w:rsidRDefault="000B5082">
      <w:pPr>
        <w:numPr>
          <w:ilvl w:val="0"/>
          <w:numId w:val="14"/>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Paracrines.</w:t>
      </w:r>
    </w:p>
    <w:p w14:paraId="6810679D" w14:textId="77777777" w:rsidR="004D0AB6" w:rsidRPr="000B5082" w:rsidRDefault="000B5082">
      <w:pPr>
        <w:numPr>
          <w:ilvl w:val="0"/>
          <w:numId w:val="14"/>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Hormones locales.</w:t>
      </w:r>
    </w:p>
    <w:p w14:paraId="5863E92C" w14:textId="77777777" w:rsidR="004D0AB6" w:rsidRPr="000B5082" w:rsidRDefault="000B5082">
      <w:pPr>
        <w:numPr>
          <w:ilvl w:val="0"/>
          <w:numId w:val="14"/>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 xml:space="preserve">Exemples: prostaglandines, leucotriènes. </w:t>
      </w:r>
    </w:p>
    <w:p w14:paraId="0BF50F7C" w14:textId="77777777" w:rsidR="004D0AB6" w:rsidRPr="000B5082" w:rsidRDefault="000B5082">
      <w:pPr>
        <w:numPr>
          <w:ilvl w:val="0"/>
          <w:numId w:val="2"/>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 xml:space="preserve">Gaz: </w:t>
      </w:r>
    </w:p>
    <w:p w14:paraId="535FBAFF" w14:textId="77777777" w:rsidR="004D0AB6" w:rsidRPr="000B5082" w:rsidRDefault="000B5082">
      <w:pPr>
        <w:numPr>
          <w:ilvl w:val="0"/>
          <w:numId w:val="11"/>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Petites molécules, courte demi vie.</w:t>
      </w:r>
    </w:p>
    <w:p w14:paraId="1A95B642" w14:textId="77777777" w:rsidR="004D0AB6" w:rsidRPr="000B5082" w:rsidRDefault="000B5082">
      <w:pPr>
        <w:numPr>
          <w:ilvl w:val="0"/>
          <w:numId w:val="11"/>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Diffusion libre.</w:t>
      </w:r>
    </w:p>
    <w:p w14:paraId="7C7DD1D9" w14:textId="77777777" w:rsidR="004D0AB6" w:rsidRPr="000B5082" w:rsidRDefault="000B5082">
      <w:pPr>
        <w:numPr>
          <w:ilvl w:val="0"/>
          <w:numId w:val="11"/>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Paracrine ou neuronale.</w:t>
      </w:r>
    </w:p>
    <w:p w14:paraId="01E863CD" w14:textId="77777777" w:rsidR="004D0AB6" w:rsidRPr="000B5082" w:rsidRDefault="000B5082">
      <w:pPr>
        <w:numPr>
          <w:ilvl w:val="0"/>
          <w:numId w:val="11"/>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Ex: Oxyde nitrique (NO), monoxyde de carbone</w:t>
      </w:r>
      <w:r w:rsidRPr="000B5082">
        <w:rPr>
          <w:rFonts w:ascii="Times New Roman" w:eastAsia="Times New Roman" w:hAnsi="Times New Roman" w:cs="Times New Roman"/>
          <w:lang w:val="fr-CA"/>
        </w:rPr>
        <w:t xml:space="preserve"> (CO).</w:t>
      </w:r>
    </w:p>
    <w:p w14:paraId="4B496D96" w14:textId="77777777" w:rsidR="004D0AB6" w:rsidRPr="000B5082" w:rsidRDefault="000B5082">
      <w:pPr>
        <w:rPr>
          <w:lang w:val="fr-CA"/>
        </w:rPr>
      </w:pPr>
      <w:r w:rsidRPr="000B5082">
        <w:rPr>
          <w:lang w:val="fr-CA"/>
        </w:rPr>
        <w:br w:type="page"/>
      </w:r>
    </w:p>
    <w:p w14:paraId="5AFE0396" w14:textId="77777777" w:rsidR="004D0AB6" w:rsidRPr="000B5082" w:rsidRDefault="004D0AB6">
      <w:pPr>
        <w:numPr>
          <w:ilvl w:val="0"/>
          <w:numId w:val="11"/>
        </w:numPr>
        <w:ind w:hanging="360"/>
        <w:contextualSpacing/>
        <w:jc w:val="both"/>
        <w:rPr>
          <w:rFonts w:ascii="Times New Roman" w:eastAsia="Times New Roman" w:hAnsi="Times New Roman" w:cs="Times New Roman"/>
          <w:lang w:val="fr-CA"/>
        </w:rPr>
      </w:pPr>
    </w:p>
    <w:p w14:paraId="5DDC7824" w14:textId="77777777" w:rsidR="004D0AB6" w:rsidRPr="000B5082" w:rsidRDefault="000B5082">
      <w:pPr>
        <w:jc w:val="both"/>
        <w:rPr>
          <w:rFonts w:ascii="Times New Roman" w:eastAsia="Times New Roman" w:hAnsi="Times New Roman" w:cs="Times New Roman"/>
          <w:b/>
          <w:lang w:val="fr-CA"/>
        </w:rPr>
      </w:pPr>
      <w:r w:rsidRPr="000B5082">
        <w:rPr>
          <w:rFonts w:ascii="Times New Roman" w:eastAsia="Times New Roman" w:hAnsi="Times New Roman" w:cs="Times New Roman"/>
          <w:b/>
          <w:lang w:val="fr-CA"/>
        </w:rPr>
        <w:t>Cours 11, 12 et 13: La signalisation cellulaire</w:t>
      </w:r>
    </w:p>
    <w:p w14:paraId="6DF9F76F" w14:textId="77777777" w:rsidR="004D0AB6" w:rsidRPr="000B5082" w:rsidRDefault="004D0AB6">
      <w:pPr>
        <w:jc w:val="both"/>
        <w:rPr>
          <w:rFonts w:ascii="Times New Roman" w:eastAsia="Times New Roman" w:hAnsi="Times New Roman" w:cs="Times New Roman"/>
          <w:b/>
          <w:lang w:val="fr-CA"/>
        </w:rPr>
      </w:pPr>
    </w:p>
    <w:p w14:paraId="29964EEB" w14:textId="77777777" w:rsidR="004D0AB6" w:rsidRPr="000B5082" w:rsidRDefault="000B5082">
      <w:pPr>
        <w:jc w:val="both"/>
        <w:rPr>
          <w:rFonts w:ascii="Times New Roman" w:eastAsia="Times New Roman" w:hAnsi="Times New Roman" w:cs="Times New Roman"/>
          <w:u w:val="single"/>
          <w:lang w:val="fr-CA"/>
        </w:rPr>
      </w:pPr>
      <w:r w:rsidRPr="000B5082">
        <w:rPr>
          <w:rFonts w:ascii="Times New Roman" w:eastAsia="Times New Roman" w:hAnsi="Times New Roman" w:cs="Times New Roman"/>
          <w:u w:val="single"/>
          <w:lang w:val="fr-CA"/>
        </w:rPr>
        <w:t xml:space="preserve">Affinité et spécificité: </w:t>
      </w:r>
    </w:p>
    <w:p w14:paraId="065E4EF0" w14:textId="77777777" w:rsidR="004D0AB6" w:rsidRPr="000B5082" w:rsidRDefault="000B5082">
      <w:pPr>
        <w:numPr>
          <w:ilvl w:val="0"/>
          <w:numId w:val="22"/>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Liaison non-covalente faible qui permet une liaison transitoire entre le ligand et le récepteur.</w:t>
      </w:r>
    </w:p>
    <w:p w14:paraId="6B06FE30" w14:textId="77777777" w:rsidR="004D0AB6" w:rsidRPr="000B5082" w:rsidRDefault="000B5082">
      <w:pPr>
        <w:numPr>
          <w:ilvl w:val="0"/>
          <w:numId w:val="22"/>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La disposition des acides aminés est importante pour l’affinité avec le ligand.</w:t>
      </w:r>
    </w:p>
    <w:p w14:paraId="06526FB4" w14:textId="77777777" w:rsidR="004D0AB6" w:rsidRPr="000B5082" w:rsidRDefault="000B5082">
      <w:pPr>
        <w:numPr>
          <w:ilvl w:val="0"/>
          <w:numId w:val="22"/>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 xml:space="preserve">La constante de dissociation (kd) représente la concentration de ligand à laquelle 50% du récepteur est lié. Le plus que le kd est petit, le plus que l’affinité sera grande et </w:t>
      </w:r>
      <w:r w:rsidRPr="000B5082">
        <w:rPr>
          <w:rFonts w:ascii="Times New Roman" w:eastAsia="Times New Roman" w:hAnsi="Times New Roman" w:cs="Times New Roman"/>
          <w:lang w:val="fr-CA"/>
        </w:rPr>
        <w:t xml:space="preserve">vice versa. </w:t>
      </w:r>
    </w:p>
    <w:p w14:paraId="2393EE09" w14:textId="77777777" w:rsidR="004D0AB6" w:rsidRPr="000B5082" w:rsidRDefault="000B5082">
      <w:pPr>
        <w:numPr>
          <w:ilvl w:val="0"/>
          <w:numId w:val="22"/>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Site actif et spécificité des substrats:</w:t>
      </w:r>
    </w:p>
    <w:p w14:paraId="7D1F9819" w14:textId="77777777" w:rsidR="004D0AB6" w:rsidRPr="000B5082" w:rsidRDefault="000B5082">
      <w:pPr>
        <w:numPr>
          <w:ilvl w:val="1"/>
          <w:numId w:val="22"/>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color w:val="212121"/>
          <w:lang w:val="fr-CA"/>
        </w:rPr>
        <w:t>Pour catalyser une réaction, une enzyme s’accroche à une ou plusieurs molécules réactives. Ces molécules sont les substrats de l'enzyme.Dans certaines réactions, un substrat est divisé en plusieurs prod</w:t>
      </w:r>
      <w:r w:rsidRPr="000B5082">
        <w:rPr>
          <w:rFonts w:ascii="Times New Roman" w:eastAsia="Times New Roman" w:hAnsi="Times New Roman" w:cs="Times New Roman"/>
          <w:color w:val="212121"/>
          <w:lang w:val="fr-CA"/>
        </w:rPr>
        <w:t>uits. Dans d'autres, deux substrats se réunissent pour créer une molécule plus grande ou pour échanger des pièces. La partie de l'enzyme où le substrat se lie est appelée le site actif (puisque c'est là que se produit l'action catalytique).</w:t>
      </w:r>
    </w:p>
    <w:p w14:paraId="401AE633" w14:textId="77777777" w:rsidR="004D0AB6" w:rsidRPr="000B5082" w:rsidRDefault="000B5082">
      <w:pPr>
        <w:numPr>
          <w:ilvl w:val="1"/>
          <w:numId w:val="22"/>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color w:val="212121"/>
          <w:lang w:val="fr-CA"/>
        </w:rPr>
        <w:t>Les protéines s</w:t>
      </w:r>
      <w:r w:rsidRPr="000B5082">
        <w:rPr>
          <w:rFonts w:ascii="Times New Roman" w:eastAsia="Times New Roman" w:hAnsi="Times New Roman" w:cs="Times New Roman"/>
          <w:color w:val="212121"/>
          <w:lang w:val="fr-CA"/>
        </w:rPr>
        <w:t>ont constituées d'unités appelées acides aminés, et dans les enzymes qui sont des protéines, le site actif tire ses propriétés des acides aminés dont il est issu. Ces acides aminés peuvent avoir des chaînes latérales grandes ou petites, acides ou basiques,</w:t>
      </w:r>
      <w:r w:rsidRPr="000B5082">
        <w:rPr>
          <w:rFonts w:ascii="Times New Roman" w:eastAsia="Times New Roman" w:hAnsi="Times New Roman" w:cs="Times New Roman"/>
          <w:color w:val="212121"/>
          <w:lang w:val="fr-CA"/>
        </w:rPr>
        <w:t xml:space="preserve"> hydrophiles ou hydrophobes.</w:t>
      </w:r>
      <w:r w:rsidRPr="000B5082">
        <w:rPr>
          <w:rFonts w:ascii="Times New Roman" w:eastAsia="Times New Roman" w:hAnsi="Times New Roman" w:cs="Times New Roman"/>
          <w:color w:val="212121"/>
          <w:lang w:val="fr-CA"/>
        </w:rPr>
        <w:br/>
      </w:r>
    </w:p>
    <w:p w14:paraId="62FE1AC0" w14:textId="77777777" w:rsidR="004D0AB6" w:rsidRPr="000B5082" w:rsidRDefault="000B5082">
      <w:pPr>
        <w:jc w:val="both"/>
        <w:rPr>
          <w:color w:val="212121"/>
          <w:sz w:val="24"/>
          <w:szCs w:val="24"/>
          <w:highlight w:val="white"/>
          <w:lang w:val="fr-CA"/>
        </w:rPr>
      </w:pPr>
      <w:r w:rsidRPr="000B5082">
        <w:rPr>
          <w:noProof/>
          <w:lang w:val="fr-CA"/>
        </w:rPr>
        <w:drawing>
          <wp:inline distT="114300" distB="114300" distL="114300" distR="114300" wp14:anchorId="6175D75C" wp14:editId="00D3DAF6">
            <wp:extent cx="1262063" cy="1270101"/>
            <wp:effectExtent l="0" t="0" r="0" b="0"/>
            <wp:docPr id="12"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5"/>
                    <a:srcRect/>
                    <a:stretch>
                      <a:fillRect/>
                    </a:stretch>
                  </pic:blipFill>
                  <pic:spPr>
                    <a:xfrm>
                      <a:off x="0" y="0"/>
                      <a:ext cx="1262063" cy="1270101"/>
                    </a:xfrm>
                    <a:prstGeom prst="rect">
                      <a:avLst/>
                    </a:prstGeom>
                    <a:ln/>
                  </pic:spPr>
                </pic:pic>
              </a:graphicData>
            </a:graphic>
          </wp:inline>
        </w:drawing>
      </w:r>
      <w:r w:rsidRPr="000B5082">
        <w:rPr>
          <w:noProof/>
          <w:lang w:val="fr-CA"/>
        </w:rPr>
        <w:drawing>
          <wp:inline distT="114300" distB="114300" distL="114300" distR="114300" wp14:anchorId="5A83D07B" wp14:editId="0DE1D29C">
            <wp:extent cx="261938" cy="249464"/>
            <wp:effectExtent l="-6236" t="6237" r="-6236" b="6237"/>
            <wp:docPr id="8"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6"/>
                    <a:srcRect l="15135" t="13333" r="22162" b="12000"/>
                    <a:stretch>
                      <a:fillRect/>
                    </a:stretch>
                  </pic:blipFill>
                  <pic:spPr>
                    <a:xfrm rot="16200000">
                      <a:off x="0" y="0"/>
                      <a:ext cx="261938" cy="249464"/>
                    </a:xfrm>
                    <a:prstGeom prst="rect">
                      <a:avLst/>
                    </a:prstGeom>
                    <a:ln/>
                  </pic:spPr>
                </pic:pic>
              </a:graphicData>
            </a:graphic>
          </wp:inline>
        </w:drawing>
      </w:r>
      <w:r w:rsidRPr="000B5082">
        <w:rPr>
          <w:noProof/>
          <w:lang w:val="fr-CA"/>
        </w:rPr>
        <w:drawing>
          <wp:inline distT="114300" distB="114300" distL="114300" distR="114300" wp14:anchorId="2B595409" wp14:editId="1CF99AF0">
            <wp:extent cx="1137936" cy="1233488"/>
            <wp:effectExtent l="0" t="0" r="0" b="0"/>
            <wp:docPr id="22" name="image42.png"/>
            <wp:cNvGraphicFramePr/>
            <a:graphic xmlns:a="http://schemas.openxmlformats.org/drawingml/2006/main">
              <a:graphicData uri="http://schemas.openxmlformats.org/drawingml/2006/picture">
                <pic:pic xmlns:pic="http://schemas.openxmlformats.org/drawingml/2006/picture">
                  <pic:nvPicPr>
                    <pic:cNvPr id="0" name="image42.png"/>
                    <pic:cNvPicPr preferRelativeResize="0"/>
                  </pic:nvPicPr>
                  <pic:blipFill>
                    <a:blip r:embed="rId7"/>
                    <a:srcRect t="4054"/>
                    <a:stretch>
                      <a:fillRect/>
                    </a:stretch>
                  </pic:blipFill>
                  <pic:spPr>
                    <a:xfrm>
                      <a:off x="0" y="0"/>
                      <a:ext cx="1137936" cy="1233488"/>
                    </a:xfrm>
                    <a:prstGeom prst="rect">
                      <a:avLst/>
                    </a:prstGeom>
                    <a:ln/>
                  </pic:spPr>
                </pic:pic>
              </a:graphicData>
            </a:graphic>
          </wp:inline>
        </w:drawing>
      </w:r>
      <w:r w:rsidRPr="000B5082">
        <w:rPr>
          <w:noProof/>
          <w:lang w:val="fr-CA"/>
        </w:rPr>
        <w:drawing>
          <wp:inline distT="114300" distB="114300" distL="114300" distR="114300" wp14:anchorId="2EB9AF79" wp14:editId="248D76F9">
            <wp:extent cx="261938" cy="249464"/>
            <wp:effectExtent l="-6236" t="6237" r="-6236" b="6237"/>
            <wp:docPr id="5"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6"/>
                    <a:srcRect l="15135" t="13333" r="22162" b="12000"/>
                    <a:stretch>
                      <a:fillRect/>
                    </a:stretch>
                  </pic:blipFill>
                  <pic:spPr>
                    <a:xfrm rot="16200000">
                      <a:off x="0" y="0"/>
                      <a:ext cx="261938" cy="249464"/>
                    </a:xfrm>
                    <a:prstGeom prst="rect">
                      <a:avLst/>
                    </a:prstGeom>
                    <a:ln/>
                  </pic:spPr>
                </pic:pic>
              </a:graphicData>
            </a:graphic>
          </wp:inline>
        </w:drawing>
      </w:r>
      <w:r w:rsidRPr="000B5082">
        <w:rPr>
          <w:noProof/>
          <w:lang w:val="fr-CA"/>
        </w:rPr>
        <w:drawing>
          <wp:inline distT="114300" distB="114300" distL="114300" distR="114300" wp14:anchorId="6219E2E8" wp14:editId="1622BDD1">
            <wp:extent cx="1014412" cy="1199524"/>
            <wp:effectExtent l="0" t="0" r="0" b="0"/>
            <wp:docPr id="2"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8"/>
                    <a:srcRect/>
                    <a:stretch>
                      <a:fillRect/>
                    </a:stretch>
                  </pic:blipFill>
                  <pic:spPr>
                    <a:xfrm>
                      <a:off x="0" y="0"/>
                      <a:ext cx="1014412" cy="1199524"/>
                    </a:xfrm>
                    <a:prstGeom prst="rect">
                      <a:avLst/>
                    </a:prstGeom>
                    <a:ln/>
                  </pic:spPr>
                </pic:pic>
              </a:graphicData>
            </a:graphic>
          </wp:inline>
        </w:drawing>
      </w:r>
      <w:r w:rsidRPr="000B5082">
        <w:rPr>
          <w:noProof/>
          <w:lang w:val="fr-CA"/>
        </w:rPr>
        <w:drawing>
          <wp:inline distT="114300" distB="114300" distL="114300" distR="114300" wp14:anchorId="4DD8C51B" wp14:editId="100E6FE8">
            <wp:extent cx="261938" cy="249464"/>
            <wp:effectExtent l="-6236" t="6237" r="-6236" b="6237"/>
            <wp:docPr id="16"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6"/>
                    <a:srcRect l="15135" t="13333" r="22162" b="12000"/>
                    <a:stretch>
                      <a:fillRect/>
                    </a:stretch>
                  </pic:blipFill>
                  <pic:spPr>
                    <a:xfrm rot="16200000">
                      <a:off x="0" y="0"/>
                      <a:ext cx="261938" cy="249464"/>
                    </a:xfrm>
                    <a:prstGeom prst="rect">
                      <a:avLst/>
                    </a:prstGeom>
                    <a:ln/>
                  </pic:spPr>
                </pic:pic>
              </a:graphicData>
            </a:graphic>
          </wp:inline>
        </w:drawing>
      </w:r>
      <w:r w:rsidRPr="000B5082">
        <w:rPr>
          <w:noProof/>
          <w:lang w:val="fr-CA"/>
        </w:rPr>
        <w:drawing>
          <wp:inline distT="114300" distB="114300" distL="114300" distR="114300" wp14:anchorId="14E7DB9E" wp14:editId="1DE1090D">
            <wp:extent cx="1042987" cy="1284420"/>
            <wp:effectExtent l="0" t="0" r="0" b="0"/>
            <wp:docPr id="11"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9"/>
                    <a:srcRect/>
                    <a:stretch>
                      <a:fillRect/>
                    </a:stretch>
                  </pic:blipFill>
                  <pic:spPr>
                    <a:xfrm>
                      <a:off x="0" y="0"/>
                      <a:ext cx="1042987" cy="1284420"/>
                    </a:xfrm>
                    <a:prstGeom prst="rect">
                      <a:avLst/>
                    </a:prstGeom>
                    <a:ln/>
                  </pic:spPr>
                </pic:pic>
              </a:graphicData>
            </a:graphic>
          </wp:inline>
        </w:drawing>
      </w:r>
    </w:p>
    <w:p w14:paraId="49552AFD" w14:textId="77777777" w:rsidR="004D0AB6" w:rsidRPr="000B5082" w:rsidRDefault="004D0AB6">
      <w:pPr>
        <w:jc w:val="both"/>
        <w:rPr>
          <w:color w:val="212121"/>
          <w:sz w:val="24"/>
          <w:szCs w:val="24"/>
          <w:highlight w:val="white"/>
          <w:lang w:val="fr-CA"/>
        </w:rPr>
      </w:pPr>
    </w:p>
    <w:p w14:paraId="635F13AF" w14:textId="77777777" w:rsidR="004D0AB6" w:rsidRPr="000B5082" w:rsidRDefault="000B5082">
      <w:pPr>
        <w:jc w:val="both"/>
        <w:rPr>
          <w:rFonts w:ascii="Times New Roman" w:eastAsia="Times New Roman" w:hAnsi="Times New Roman" w:cs="Times New Roman"/>
          <w:color w:val="212121"/>
          <w:u w:val="single"/>
          <w:lang w:val="fr-CA"/>
        </w:rPr>
      </w:pPr>
      <w:r w:rsidRPr="000B5082">
        <w:rPr>
          <w:rFonts w:ascii="Times New Roman" w:eastAsia="Times New Roman" w:hAnsi="Times New Roman" w:cs="Times New Roman"/>
          <w:color w:val="212121"/>
          <w:u w:val="single"/>
          <w:lang w:val="fr-CA"/>
        </w:rPr>
        <w:t xml:space="preserve">Agoniste vs. Antagoniste: </w:t>
      </w:r>
    </w:p>
    <w:p w14:paraId="5183105E" w14:textId="77777777" w:rsidR="004D0AB6" w:rsidRPr="000B5082" w:rsidRDefault="000B5082">
      <w:pPr>
        <w:numPr>
          <w:ilvl w:val="0"/>
          <w:numId w:val="4"/>
        </w:numPr>
        <w:ind w:hanging="360"/>
        <w:contextualSpacing/>
        <w:jc w:val="both"/>
        <w:rPr>
          <w:rFonts w:ascii="Times New Roman" w:eastAsia="Times New Roman" w:hAnsi="Times New Roman" w:cs="Times New Roman"/>
          <w:color w:val="212121"/>
          <w:lang w:val="fr-CA"/>
        </w:rPr>
      </w:pPr>
      <w:r w:rsidRPr="000B5082">
        <w:rPr>
          <w:rFonts w:ascii="Times New Roman" w:eastAsia="Times New Roman" w:hAnsi="Times New Roman" w:cs="Times New Roman"/>
          <w:color w:val="212121"/>
          <w:lang w:val="fr-CA"/>
        </w:rPr>
        <w:t xml:space="preserve">Certaines substances chimiques imitent le ligand d’un récepteur </w:t>
      </w:r>
    </w:p>
    <w:p w14:paraId="2C17C04A" w14:textId="77777777" w:rsidR="004D0AB6" w:rsidRPr="000B5082" w:rsidRDefault="000B5082">
      <w:pPr>
        <w:numPr>
          <w:ilvl w:val="0"/>
          <w:numId w:val="4"/>
        </w:numPr>
        <w:ind w:hanging="360"/>
        <w:contextualSpacing/>
        <w:jc w:val="both"/>
        <w:rPr>
          <w:rFonts w:ascii="Times New Roman" w:eastAsia="Times New Roman" w:hAnsi="Times New Roman" w:cs="Times New Roman"/>
          <w:color w:val="212121"/>
          <w:lang w:val="fr-CA"/>
        </w:rPr>
      </w:pPr>
      <w:r w:rsidRPr="000B5082">
        <w:rPr>
          <w:rFonts w:ascii="Times New Roman" w:eastAsia="Times New Roman" w:hAnsi="Times New Roman" w:cs="Times New Roman"/>
          <w:color w:val="212121"/>
          <w:lang w:val="fr-CA"/>
        </w:rPr>
        <w:t xml:space="preserve">Ces substances sont dites agonistes lorsqu’elles stimulent l'activité du récepteur et antagonistes lorsqu’elles l’inhibent. </w:t>
      </w:r>
      <w:r w:rsidRPr="000B5082">
        <w:rPr>
          <w:rFonts w:ascii="Times New Roman" w:eastAsia="Times New Roman" w:hAnsi="Times New Roman" w:cs="Times New Roman"/>
          <w:color w:val="212121"/>
          <w:lang w:val="fr-CA"/>
        </w:rPr>
        <w:br/>
      </w:r>
    </w:p>
    <w:p w14:paraId="26389E11" w14:textId="77777777" w:rsidR="004D0AB6" w:rsidRPr="000B5082" w:rsidRDefault="000B5082">
      <w:pPr>
        <w:jc w:val="both"/>
        <w:rPr>
          <w:rFonts w:ascii="Times New Roman" w:eastAsia="Times New Roman" w:hAnsi="Times New Roman" w:cs="Times New Roman"/>
          <w:color w:val="212121"/>
          <w:lang w:val="fr-CA"/>
        </w:rPr>
      </w:pPr>
      <w:r w:rsidRPr="000B5082">
        <w:rPr>
          <w:noProof/>
          <w:lang w:val="fr-CA"/>
        </w:rPr>
        <w:drawing>
          <wp:inline distT="114300" distB="114300" distL="114300" distR="114300" wp14:anchorId="5D250A98" wp14:editId="71143F02">
            <wp:extent cx="3248025" cy="1562100"/>
            <wp:effectExtent l="0" t="0" r="0" b="0"/>
            <wp:docPr id="23" name="image43.png"/>
            <wp:cNvGraphicFramePr/>
            <a:graphic xmlns:a="http://schemas.openxmlformats.org/drawingml/2006/main">
              <a:graphicData uri="http://schemas.openxmlformats.org/drawingml/2006/picture">
                <pic:pic xmlns:pic="http://schemas.openxmlformats.org/drawingml/2006/picture">
                  <pic:nvPicPr>
                    <pic:cNvPr id="0" name="image43.png"/>
                    <pic:cNvPicPr preferRelativeResize="0"/>
                  </pic:nvPicPr>
                  <pic:blipFill>
                    <a:blip r:embed="rId10"/>
                    <a:srcRect l="1322" t="6060" r="2942" b="16661"/>
                    <a:stretch>
                      <a:fillRect/>
                    </a:stretch>
                  </pic:blipFill>
                  <pic:spPr>
                    <a:xfrm>
                      <a:off x="0" y="0"/>
                      <a:ext cx="3248025" cy="1562100"/>
                    </a:xfrm>
                    <a:prstGeom prst="rect">
                      <a:avLst/>
                    </a:prstGeom>
                    <a:ln/>
                  </pic:spPr>
                </pic:pic>
              </a:graphicData>
            </a:graphic>
          </wp:inline>
        </w:drawing>
      </w:r>
      <w:r w:rsidRPr="000B5082">
        <w:rPr>
          <w:rFonts w:ascii="Times New Roman" w:eastAsia="Times New Roman" w:hAnsi="Times New Roman" w:cs="Times New Roman"/>
          <w:color w:val="212121"/>
          <w:lang w:val="fr-CA"/>
        </w:rPr>
        <w:t xml:space="preserve">            </w:t>
      </w:r>
      <w:r w:rsidRPr="000B5082">
        <w:rPr>
          <w:noProof/>
          <w:lang w:val="fr-CA"/>
        </w:rPr>
        <w:drawing>
          <wp:inline distT="114300" distB="114300" distL="114300" distR="114300" wp14:anchorId="30C22F1B" wp14:editId="2495F08F">
            <wp:extent cx="2168727" cy="1443038"/>
            <wp:effectExtent l="0" t="0" r="0" b="0"/>
            <wp:docPr id="10"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11"/>
                    <a:srcRect/>
                    <a:stretch>
                      <a:fillRect/>
                    </a:stretch>
                  </pic:blipFill>
                  <pic:spPr>
                    <a:xfrm>
                      <a:off x="0" y="0"/>
                      <a:ext cx="2168727" cy="1443038"/>
                    </a:xfrm>
                    <a:prstGeom prst="rect">
                      <a:avLst/>
                    </a:prstGeom>
                    <a:ln/>
                  </pic:spPr>
                </pic:pic>
              </a:graphicData>
            </a:graphic>
          </wp:inline>
        </w:drawing>
      </w:r>
    </w:p>
    <w:p w14:paraId="6514BB14" w14:textId="77777777" w:rsidR="004D0AB6" w:rsidRPr="000B5082" w:rsidRDefault="004D0AB6">
      <w:pPr>
        <w:jc w:val="both"/>
        <w:rPr>
          <w:rFonts w:ascii="Times New Roman" w:eastAsia="Times New Roman" w:hAnsi="Times New Roman" w:cs="Times New Roman"/>
          <w:color w:val="212121"/>
          <w:lang w:val="fr-CA"/>
        </w:rPr>
      </w:pPr>
    </w:p>
    <w:p w14:paraId="6759E45A" w14:textId="77777777" w:rsidR="004D0AB6" w:rsidRPr="000B5082" w:rsidRDefault="004D0AB6">
      <w:pPr>
        <w:jc w:val="both"/>
        <w:rPr>
          <w:rFonts w:ascii="Times New Roman" w:eastAsia="Times New Roman" w:hAnsi="Times New Roman" w:cs="Times New Roman"/>
          <w:color w:val="212121"/>
          <w:lang w:val="fr-CA"/>
        </w:rPr>
      </w:pPr>
    </w:p>
    <w:p w14:paraId="7E9A34B9" w14:textId="77777777" w:rsidR="004D0AB6" w:rsidRPr="000B5082" w:rsidRDefault="004D0AB6">
      <w:pPr>
        <w:jc w:val="both"/>
        <w:rPr>
          <w:rFonts w:ascii="Times New Roman" w:eastAsia="Times New Roman" w:hAnsi="Times New Roman" w:cs="Times New Roman"/>
          <w:color w:val="212121"/>
          <w:lang w:val="fr-CA"/>
        </w:rPr>
      </w:pPr>
    </w:p>
    <w:p w14:paraId="7CE589DA" w14:textId="77777777" w:rsidR="004D0AB6" w:rsidRPr="000B5082" w:rsidRDefault="000B5082">
      <w:pPr>
        <w:jc w:val="both"/>
        <w:rPr>
          <w:rFonts w:ascii="Times New Roman" w:eastAsia="Times New Roman" w:hAnsi="Times New Roman" w:cs="Times New Roman"/>
          <w:color w:val="212121"/>
          <w:u w:val="single"/>
          <w:lang w:val="fr-CA"/>
        </w:rPr>
      </w:pPr>
      <w:r w:rsidRPr="000B5082">
        <w:rPr>
          <w:rFonts w:ascii="Times New Roman" w:eastAsia="Times New Roman" w:hAnsi="Times New Roman" w:cs="Times New Roman"/>
          <w:color w:val="212121"/>
          <w:u w:val="single"/>
          <w:lang w:val="fr-CA"/>
        </w:rPr>
        <w:lastRenderedPageBreak/>
        <w:t xml:space="preserve">Les 4 types de récepteurs: </w:t>
      </w:r>
    </w:p>
    <w:p w14:paraId="0CE658B9" w14:textId="77777777" w:rsidR="004D0AB6" w:rsidRPr="000B5082" w:rsidRDefault="004D0AB6">
      <w:pPr>
        <w:jc w:val="both"/>
        <w:rPr>
          <w:rFonts w:ascii="Times New Roman" w:eastAsia="Times New Roman" w:hAnsi="Times New Roman" w:cs="Times New Roman"/>
          <w:color w:val="212121"/>
          <w:lang w:val="fr-CA"/>
        </w:rPr>
      </w:pPr>
    </w:p>
    <w:p w14:paraId="7BE673AA" w14:textId="77777777" w:rsidR="004D0AB6" w:rsidRPr="000B5082" w:rsidRDefault="000B5082">
      <w:pPr>
        <w:numPr>
          <w:ilvl w:val="0"/>
          <w:numId w:val="15"/>
        </w:numPr>
        <w:ind w:hanging="360"/>
        <w:contextualSpacing/>
        <w:jc w:val="both"/>
        <w:rPr>
          <w:rFonts w:ascii="Times New Roman" w:eastAsia="Times New Roman" w:hAnsi="Times New Roman" w:cs="Times New Roman"/>
          <w:color w:val="212121"/>
          <w:lang w:val="fr-CA"/>
        </w:rPr>
      </w:pPr>
      <w:r w:rsidRPr="000B5082">
        <w:rPr>
          <w:rFonts w:ascii="Times New Roman" w:eastAsia="Times New Roman" w:hAnsi="Times New Roman" w:cs="Times New Roman"/>
          <w:color w:val="212121"/>
          <w:lang w:val="fr-CA"/>
        </w:rPr>
        <w:t xml:space="preserve">Intracellulaire: </w:t>
      </w:r>
    </w:p>
    <w:p w14:paraId="52F04561" w14:textId="77777777" w:rsidR="004D0AB6" w:rsidRPr="000B5082" w:rsidRDefault="000B5082">
      <w:pPr>
        <w:ind w:right="40"/>
        <w:jc w:val="both"/>
        <w:rPr>
          <w:rFonts w:ascii="Times New Roman" w:eastAsia="Times New Roman" w:hAnsi="Times New Roman" w:cs="Times New Roman"/>
          <w:color w:val="212121"/>
          <w:highlight w:val="white"/>
          <w:lang w:val="fr-CA"/>
        </w:rPr>
      </w:pPr>
      <w:r w:rsidRPr="000B5082">
        <w:rPr>
          <w:rFonts w:ascii="Times New Roman" w:eastAsia="Times New Roman" w:hAnsi="Times New Roman" w:cs="Times New Roman"/>
          <w:color w:val="212121"/>
          <w:highlight w:val="white"/>
          <w:lang w:val="fr-CA"/>
        </w:rPr>
        <w:t>Les récepteurs intracellulaires sont des protéines réceptrices trouvées à l'intérieur de la cellule, généralement dans le cytoplasme ou le noyau. Dans la plupart des cas, les ligands des réc</w:t>
      </w:r>
      <w:r w:rsidRPr="000B5082">
        <w:rPr>
          <w:rFonts w:ascii="Times New Roman" w:eastAsia="Times New Roman" w:hAnsi="Times New Roman" w:cs="Times New Roman"/>
          <w:color w:val="212121"/>
          <w:highlight w:val="white"/>
          <w:lang w:val="fr-CA"/>
        </w:rPr>
        <w:t>epteurs intracellulaires sont de petites molécules et hydrophobes. Lorsqu'une hormone entre dans une cellule et se lie à son récepteur, elle provoque une modification de la forme, ce qui permet au complexe récepteur-hormone d'entrer dans le noyau et de rég</w:t>
      </w:r>
      <w:r w:rsidRPr="000B5082">
        <w:rPr>
          <w:rFonts w:ascii="Times New Roman" w:eastAsia="Times New Roman" w:hAnsi="Times New Roman" w:cs="Times New Roman"/>
          <w:color w:val="212121"/>
          <w:highlight w:val="white"/>
          <w:lang w:val="fr-CA"/>
        </w:rPr>
        <w:t>uler l'activité des gènes. La liaison hormonale expose les régions du récepteur qui ont une activité de liaison à l'ADN, ce qui signifie qu'elles peuvent s'attacher à des séquences spécifiques d'ADN. Ces séquences se retrouvent à côté de certains gènes dan</w:t>
      </w:r>
      <w:r w:rsidRPr="000B5082">
        <w:rPr>
          <w:rFonts w:ascii="Times New Roman" w:eastAsia="Times New Roman" w:hAnsi="Times New Roman" w:cs="Times New Roman"/>
          <w:color w:val="212121"/>
          <w:highlight w:val="white"/>
          <w:lang w:val="fr-CA"/>
        </w:rPr>
        <w:t>s l'ADN de la cellule, et lorsque le récepteur se lie à côté de ces gènes, il modifie leur niveau de transcription.</w:t>
      </w:r>
    </w:p>
    <w:p w14:paraId="66A2878E" w14:textId="77777777" w:rsidR="004D0AB6" w:rsidRPr="000B5082" w:rsidRDefault="004D0AB6">
      <w:pPr>
        <w:ind w:right="40"/>
        <w:jc w:val="both"/>
        <w:rPr>
          <w:rFonts w:ascii="Times New Roman" w:eastAsia="Times New Roman" w:hAnsi="Times New Roman" w:cs="Times New Roman"/>
          <w:color w:val="212121"/>
          <w:highlight w:val="white"/>
          <w:lang w:val="fr-CA"/>
        </w:rPr>
      </w:pPr>
    </w:p>
    <w:p w14:paraId="04375351" w14:textId="77777777" w:rsidR="004D0AB6" w:rsidRPr="000B5082" w:rsidRDefault="000B5082">
      <w:pPr>
        <w:ind w:right="40"/>
        <w:jc w:val="center"/>
        <w:rPr>
          <w:rFonts w:ascii="Times New Roman" w:eastAsia="Times New Roman" w:hAnsi="Times New Roman" w:cs="Times New Roman"/>
          <w:color w:val="212121"/>
          <w:lang w:val="fr-CA"/>
        </w:rPr>
      </w:pPr>
      <w:r w:rsidRPr="000B5082">
        <w:rPr>
          <w:noProof/>
          <w:lang w:val="fr-CA"/>
        </w:rPr>
        <w:drawing>
          <wp:inline distT="114300" distB="114300" distL="114300" distR="114300" wp14:anchorId="273A57F2" wp14:editId="044CA906">
            <wp:extent cx="1993885" cy="1881188"/>
            <wp:effectExtent l="0" t="0" r="0" b="0"/>
            <wp:docPr id="1"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2"/>
                    <a:srcRect/>
                    <a:stretch>
                      <a:fillRect/>
                    </a:stretch>
                  </pic:blipFill>
                  <pic:spPr>
                    <a:xfrm>
                      <a:off x="0" y="0"/>
                      <a:ext cx="1993885" cy="1881188"/>
                    </a:xfrm>
                    <a:prstGeom prst="rect">
                      <a:avLst/>
                    </a:prstGeom>
                    <a:ln/>
                  </pic:spPr>
                </pic:pic>
              </a:graphicData>
            </a:graphic>
          </wp:inline>
        </w:drawing>
      </w:r>
    </w:p>
    <w:p w14:paraId="59840026" w14:textId="77777777" w:rsidR="004D0AB6" w:rsidRPr="000B5082" w:rsidRDefault="000B5082">
      <w:pPr>
        <w:jc w:val="both"/>
        <w:rPr>
          <w:rFonts w:ascii="Times New Roman" w:eastAsia="Times New Roman" w:hAnsi="Times New Roman" w:cs="Times New Roman"/>
          <w:color w:val="212121"/>
          <w:highlight w:val="white"/>
          <w:lang w:val="fr-CA"/>
        </w:rPr>
      </w:pPr>
      <w:r w:rsidRPr="000B5082">
        <w:rPr>
          <w:rFonts w:ascii="Times New Roman" w:eastAsia="Times New Roman" w:hAnsi="Times New Roman" w:cs="Times New Roman"/>
          <w:color w:val="212121"/>
          <w:lang w:val="fr-CA"/>
        </w:rPr>
        <w:t>De nombreuses voies de signalisation, impliquant des récepteurs intracellulaires et de la surface cellulaire, provoquent des changements dans la transcription des gènes. Cependant, les récepteurs intracellulaires sont uniques parce qu'ils provoquent ces ch</w:t>
      </w:r>
      <w:r w:rsidRPr="000B5082">
        <w:rPr>
          <w:rFonts w:ascii="Times New Roman" w:eastAsia="Times New Roman" w:hAnsi="Times New Roman" w:cs="Times New Roman"/>
          <w:color w:val="212121"/>
          <w:lang w:val="fr-CA"/>
        </w:rPr>
        <w:t>angements très directement, se liant à l'ADN et modifiant eux-mêmes la transcription.</w:t>
      </w:r>
    </w:p>
    <w:p w14:paraId="380694B6" w14:textId="77777777" w:rsidR="004D0AB6" w:rsidRPr="000B5082" w:rsidRDefault="004D0AB6">
      <w:pPr>
        <w:jc w:val="both"/>
        <w:rPr>
          <w:rFonts w:ascii="Times New Roman" w:eastAsia="Times New Roman" w:hAnsi="Times New Roman" w:cs="Times New Roman"/>
          <w:color w:val="212121"/>
          <w:lang w:val="fr-CA"/>
        </w:rPr>
      </w:pPr>
    </w:p>
    <w:p w14:paraId="6F83DAF6" w14:textId="77777777" w:rsidR="004D0AB6" w:rsidRPr="000B5082" w:rsidRDefault="000B5082">
      <w:pPr>
        <w:numPr>
          <w:ilvl w:val="0"/>
          <w:numId w:val="15"/>
        </w:numPr>
        <w:ind w:hanging="360"/>
        <w:contextualSpacing/>
        <w:jc w:val="both"/>
        <w:rPr>
          <w:rFonts w:ascii="Times New Roman" w:eastAsia="Times New Roman" w:hAnsi="Times New Roman" w:cs="Times New Roman"/>
          <w:color w:val="212121"/>
          <w:lang w:val="fr-CA"/>
        </w:rPr>
      </w:pPr>
      <w:r w:rsidRPr="000B5082">
        <w:rPr>
          <w:rFonts w:ascii="Times New Roman" w:eastAsia="Times New Roman" w:hAnsi="Times New Roman" w:cs="Times New Roman"/>
          <w:color w:val="212121"/>
          <w:lang w:val="fr-CA"/>
        </w:rPr>
        <w:t>Couplé canal ionique :</w:t>
      </w:r>
    </w:p>
    <w:p w14:paraId="30740F32" w14:textId="77777777" w:rsidR="004D0AB6" w:rsidRPr="000B5082" w:rsidRDefault="000B5082">
      <w:pPr>
        <w:jc w:val="both"/>
        <w:rPr>
          <w:rFonts w:ascii="Times New Roman" w:eastAsia="Times New Roman" w:hAnsi="Times New Roman" w:cs="Times New Roman"/>
          <w:color w:val="212121"/>
          <w:lang w:val="fr-CA"/>
        </w:rPr>
      </w:pPr>
      <w:r w:rsidRPr="000B5082">
        <w:rPr>
          <w:rFonts w:ascii="Times New Roman" w:eastAsia="Times New Roman" w:hAnsi="Times New Roman" w:cs="Times New Roman"/>
          <w:color w:val="212121"/>
          <w:lang w:val="fr-CA"/>
        </w:rPr>
        <w:t>Des canaux ioniques qui peuvent s'ouvrir en réponse à la liaison d'un ligand. Pour former un canal, ce type de récepteur de surface cellulaire con</w:t>
      </w:r>
      <w:r w:rsidRPr="000B5082">
        <w:rPr>
          <w:rFonts w:ascii="Times New Roman" w:eastAsia="Times New Roman" w:hAnsi="Times New Roman" w:cs="Times New Roman"/>
          <w:color w:val="212121"/>
          <w:lang w:val="fr-CA"/>
        </w:rPr>
        <w:t>tient une région avec un canal hydrophile. Le canal permet aux ions de traverser la membrane sans avoir à toucher le noyau hydrophobe de la bicouche des phospholipides.</w:t>
      </w:r>
      <w:r w:rsidRPr="000B5082">
        <w:rPr>
          <w:rFonts w:ascii="Times New Roman" w:eastAsia="Times New Roman" w:hAnsi="Times New Roman" w:cs="Times New Roman"/>
          <w:color w:val="212121"/>
          <w:lang w:val="fr-CA"/>
        </w:rPr>
        <w:br/>
        <w:t>Lorsqu'un ligand se lie à la région extracellulaire du canal, la structure de la protéi</w:t>
      </w:r>
      <w:r w:rsidRPr="000B5082">
        <w:rPr>
          <w:rFonts w:ascii="Times New Roman" w:eastAsia="Times New Roman" w:hAnsi="Times New Roman" w:cs="Times New Roman"/>
          <w:color w:val="212121"/>
          <w:lang w:val="fr-CA"/>
        </w:rPr>
        <w:t>ne change de telle sorte que les ions d'un type particulier, tels que le Ca</w:t>
      </w:r>
      <w:r w:rsidRPr="000B5082">
        <w:rPr>
          <w:rFonts w:ascii="Times New Roman" w:eastAsia="Times New Roman" w:hAnsi="Times New Roman" w:cs="Times New Roman"/>
          <w:color w:val="212121"/>
          <w:vertAlign w:val="superscript"/>
          <w:lang w:val="fr-CA"/>
        </w:rPr>
        <w:t xml:space="preserve">2+ </w:t>
      </w:r>
      <w:r w:rsidRPr="000B5082">
        <w:rPr>
          <w:rFonts w:ascii="Times New Roman" w:eastAsia="Times New Roman" w:hAnsi="Times New Roman" w:cs="Times New Roman"/>
          <w:color w:val="212121"/>
          <w:lang w:val="fr-CA"/>
        </w:rPr>
        <w:t xml:space="preserve">ou le Cl </w:t>
      </w:r>
      <w:r w:rsidRPr="000B5082">
        <w:rPr>
          <w:rFonts w:ascii="Times New Roman" w:eastAsia="Times New Roman" w:hAnsi="Times New Roman" w:cs="Times New Roman"/>
          <w:color w:val="212121"/>
          <w:vertAlign w:val="superscript"/>
          <w:lang w:val="fr-CA"/>
        </w:rPr>
        <w:t>-</w:t>
      </w:r>
      <w:r w:rsidRPr="000B5082">
        <w:rPr>
          <w:rFonts w:ascii="Times New Roman" w:eastAsia="Times New Roman" w:hAnsi="Times New Roman" w:cs="Times New Roman"/>
          <w:color w:val="212121"/>
          <w:lang w:val="fr-CA"/>
        </w:rPr>
        <w:t xml:space="preserve"> puissent passer a travers. Dans certains cas, l'inverse est vrai: le canal est habituellement ouvert, et la liaison du ligand l'oblige à se fermer. Les changements dan</w:t>
      </w:r>
      <w:r w:rsidRPr="000B5082">
        <w:rPr>
          <w:rFonts w:ascii="Times New Roman" w:eastAsia="Times New Roman" w:hAnsi="Times New Roman" w:cs="Times New Roman"/>
          <w:color w:val="212121"/>
          <w:lang w:val="fr-CA"/>
        </w:rPr>
        <w:t>s les niveaux d'ions à l'intérieur de la cellule peuvent changer l'activité d'autres molécules, telles que les enzymes liant les ions et les canaux sensibles à la tension, pour produire une réponse. Les neurones, ou les cellules nerveuses, ont des canaux d</w:t>
      </w:r>
      <w:r w:rsidRPr="000B5082">
        <w:rPr>
          <w:rFonts w:ascii="Times New Roman" w:eastAsia="Times New Roman" w:hAnsi="Times New Roman" w:cs="Times New Roman"/>
          <w:color w:val="212121"/>
          <w:lang w:val="fr-CA"/>
        </w:rPr>
        <w:t>e ligands qui sont liés par des neurotransmetteurs.</w:t>
      </w:r>
    </w:p>
    <w:p w14:paraId="6F77C681" w14:textId="77777777" w:rsidR="004D0AB6" w:rsidRPr="000B5082" w:rsidRDefault="004D0AB6">
      <w:pPr>
        <w:jc w:val="both"/>
        <w:rPr>
          <w:rFonts w:ascii="Times New Roman" w:eastAsia="Times New Roman" w:hAnsi="Times New Roman" w:cs="Times New Roman"/>
          <w:color w:val="212121"/>
          <w:lang w:val="fr-CA"/>
        </w:rPr>
      </w:pPr>
    </w:p>
    <w:p w14:paraId="61073ECB" w14:textId="77777777" w:rsidR="004D0AB6" w:rsidRPr="000B5082" w:rsidRDefault="004D0AB6">
      <w:pPr>
        <w:jc w:val="both"/>
        <w:rPr>
          <w:rFonts w:ascii="Times New Roman" w:eastAsia="Times New Roman" w:hAnsi="Times New Roman" w:cs="Times New Roman"/>
          <w:color w:val="212121"/>
          <w:lang w:val="fr-CA"/>
        </w:rPr>
      </w:pPr>
    </w:p>
    <w:p w14:paraId="6E00DC5E" w14:textId="77777777" w:rsidR="004D0AB6" w:rsidRPr="000B5082" w:rsidRDefault="000B5082">
      <w:pPr>
        <w:jc w:val="center"/>
        <w:rPr>
          <w:rFonts w:ascii="Times New Roman" w:eastAsia="Times New Roman" w:hAnsi="Times New Roman" w:cs="Times New Roman"/>
          <w:color w:val="212121"/>
          <w:highlight w:val="white"/>
          <w:lang w:val="fr-CA"/>
        </w:rPr>
      </w:pPr>
      <w:r w:rsidRPr="000B5082">
        <w:rPr>
          <w:noProof/>
          <w:lang w:val="fr-CA"/>
        </w:rPr>
        <w:lastRenderedPageBreak/>
        <w:drawing>
          <wp:inline distT="114300" distB="114300" distL="114300" distR="114300" wp14:anchorId="0BFCF0F2" wp14:editId="01B43C60">
            <wp:extent cx="3202667" cy="1776413"/>
            <wp:effectExtent l="0" t="0" r="0" b="0"/>
            <wp:docPr id="7"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13"/>
                    <a:srcRect/>
                    <a:stretch>
                      <a:fillRect/>
                    </a:stretch>
                  </pic:blipFill>
                  <pic:spPr>
                    <a:xfrm>
                      <a:off x="0" y="0"/>
                      <a:ext cx="3202667" cy="1776413"/>
                    </a:xfrm>
                    <a:prstGeom prst="rect">
                      <a:avLst/>
                    </a:prstGeom>
                    <a:ln/>
                  </pic:spPr>
                </pic:pic>
              </a:graphicData>
            </a:graphic>
          </wp:inline>
        </w:drawing>
      </w:r>
    </w:p>
    <w:p w14:paraId="3212EE32" w14:textId="77777777" w:rsidR="004D0AB6" w:rsidRPr="000B5082" w:rsidRDefault="004D0AB6">
      <w:pPr>
        <w:jc w:val="both"/>
        <w:rPr>
          <w:rFonts w:ascii="Times New Roman" w:eastAsia="Times New Roman" w:hAnsi="Times New Roman" w:cs="Times New Roman"/>
          <w:color w:val="212121"/>
          <w:highlight w:val="white"/>
          <w:lang w:val="fr-CA"/>
        </w:rPr>
      </w:pPr>
    </w:p>
    <w:p w14:paraId="1B48CB4F" w14:textId="77777777" w:rsidR="004D0AB6" w:rsidRPr="000B5082" w:rsidRDefault="004D0AB6">
      <w:pPr>
        <w:jc w:val="both"/>
        <w:rPr>
          <w:rFonts w:ascii="Times New Roman" w:eastAsia="Times New Roman" w:hAnsi="Times New Roman" w:cs="Times New Roman"/>
          <w:color w:val="212121"/>
          <w:highlight w:val="white"/>
          <w:lang w:val="fr-CA"/>
        </w:rPr>
      </w:pPr>
    </w:p>
    <w:p w14:paraId="52AC52B1" w14:textId="77777777" w:rsidR="004D0AB6" w:rsidRPr="000B5082" w:rsidRDefault="000B5082">
      <w:pPr>
        <w:numPr>
          <w:ilvl w:val="0"/>
          <w:numId w:val="15"/>
        </w:numPr>
        <w:ind w:hanging="360"/>
        <w:contextualSpacing/>
        <w:jc w:val="both"/>
        <w:rPr>
          <w:rFonts w:ascii="Times New Roman" w:eastAsia="Times New Roman" w:hAnsi="Times New Roman" w:cs="Times New Roman"/>
          <w:color w:val="212121"/>
          <w:lang w:val="fr-CA"/>
        </w:rPr>
      </w:pPr>
      <w:r w:rsidRPr="000B5082">
        <w:rPr>
          <w:rFonts w:ascii="Times New Roman" w:eastAsia="Times New Roman" w:hAnsi="Times New Roman" w:cs="Times New Roman"/>
          <w:color w:val="212121"/>
          <w:lang w:val="fr-CA"/>
        </w:rPr>
        <w:t xml:space="preserve">Récepteur tyrosines kinases (RTK): </w:t>
      </w:r>
    </w:p>
    <w:p w14:paraId="37ED2499" w14:textId="77777777" w:rsidR="004D0AB6" w:rsidRPr="000B5082" w:rsidRDefault="000B5082">
      <w:pPr>
        <w:ind w:right="40"/>
        <w:jc w:val="both"/>
        <w:rPr>
          <w:rFonts w:ascii="Times New Roman" w:eastAsia="Times New Roman" w:hAnsi="Times New Roman" w:cs="Times New Roman"/>
          <w:color w:val="212121"/>
          <w:highlight w:val="white"/>
          <w:lang w:val="fr-CA"/>
        </w:rPr>
      </w:pPr>
      <w:r w:rsidRPr="000B5082">
        <w:rPr>
          <w:rFonts w:ascii="Times New Roman" w:eastAsia="Times New Roman" w:hAnsi="Times New Roman" w:cs="Times New Roman"/>
          <w:color w:val="212121"/>
          <w:highlight w:val="white"/>
          <w:lang w:val="fr-CA"/>
        </w:rPr>
        <w:t xml:space="preserve">Les récepteurs liés aux enzymes sont des récepteurs de surface cellulaire avec des domaines intracellulaires associés à une enzyme. Dans certains cas, le domaine </w:t>
      </w:r>
      <w:r w:rsidRPr="000B5082">
        <w:rPr>
          <w:rFonts w:ascii="Times New Roman" w:eastAsia="Times New Roman" w:hAnsi="Times New Roman" w:cs="Times New Roman"/>
          <w:color w:val="212121"/>
          <w:highlight w:val="white"/>
          <w:lang w:val="fr-CA"/>
        </w:rPr>
        <w:t>intracellulaire du récepteur est réellement une enzyme qui peut catalyser une réaction. D'autres récepteurs liés aux enzymes ont un domaine intracellulaire qui interagit avec une enzyme. Les récepteurs tyrosine kinases (RTK) sont une classe de récepteurs l</w:t>
      </w:r>
      <w:r w:rsidRPr="000B5082">
        <w:rPr>
          <w:rFonts w:ascii="Times New Roman" w:eastAsia="Times New Roman" w:hAnsi="Times New Roman" w:cs="Times New Roman"/>
          <w:color w:val="212121"/>
          <w:highlight w:val="white"/>
          <w:lang w:val="fr-CA"/>
        </w:rPr>
        <w:t>iés à l'enzyme trouvés chez les humains et de nombreuses autres espèces. Une kinase est juste un nom pour une enzyme qui transfère les groupes phosphate à une protéine ou autre cible, et un récepteur tyrosine kinase transfère des groupes phosphate spécifiq</w:t>
      </w:r>
      <w:r w:rsidRPr="000B5082">
        <w:rPr>
          <w:rFonts w:ascii="Times New Roman" w:eastAsia="Times New Roman" w:hAnsi="Times New Roman" w:cs="Times New Roman"/>
          <w:color w:val="212121"/>
          <w:highlight w:val="white"/>
          <w:lang w:val="fr-CA"/>
        </w:rPr>
        <w:t>uement à l'acide aminé tyrosine. Comment fonctionne la signalisation RTK? Les molécules de signalisation se lient d'abord aux domaines extracellulaires de deux tyrosine kinases réceptrices. Les deux récepteurs voisins se rassemblent ou se réduisent. Les ré</w:t>
      </w:r>
      <w:r w:rsidRPr="000B5082">
        <w:rPr>
          <w:rFonts w:ascii="Times New Roman" w:eastAsia="Times New Roman" w:hAnsi="Times New Roman" w:cs="Times New Roman"/>
          <w:color w:val="212121"/>
          <w:highlight w:val="white"/>
          <w:lang w:val="fr-CA"/>
        </w:rPr>
        <w:t>cepteurs attachent ensuite des phosphates à des tyrosines dans les domaines intracellulaires de l'autre. La tyrosine phosphorylée peut transmettre le signal à d'autres molécules dans la cellule.</w:t>
      </w:r>
    </w:p>
    <w:p w14:paraId="1FA1C253" w14:textId="77777777" w:rsidR="004D0AB6" w:rsidRPr="000B5082" w:rsidRDefault="004D0AB6">
      <w:pPr>
        <w:ind w:right="40"/>
        <w:jc w:val="both"/>
        <w:rPr>
          <w:rFonts w:ascii="Times New Roman" w:eastAsia="Times New Roman" w:hAnsi="Times New Roman" w:cs="Times New Roman"/>
          <w:color w:val="212121"/>
          <w:highlight w:val="white"/>
          <w:lang w:val="fr-CA"/>
        </w:rPr>
      </w:pPr>
    </w:p>
    <w:p w14:paraId="1BA89B3C" w14:textId="77777777" w:rsidR="004D0AB6" w:rsidRPr="000B5082" w:rsidRDefault="000B5082">
      <w:pPr>
        <w:ind w:right="40"/>
        <w:jc w:val="center"/>
        <w:rPr>
          <w:rFonts w:ascii="Times New Roman" w:eastAsia="Times New Roman" w:hAnsi="Times New Roman" w:cs="Times New Roman"/>
          <w:color w:val="212121"/>
          <w:highlight w:val="white"/>
          <w:lang w:val="fr-CA"/>
        </w:rPr>
      </w:pPr>
      <w:r w:rsidRPr="000B5082">
        <w:rPr>
          <w:noProof/>
          <w:lang w:val="fr-CA"/>
        </w:rPr>
        <w:drawing>
          <wp:inline distT="114300" distB="114300" distL="114300" distR="114300" wp14:anchorId="7A7CD4C9" wp14:editId="21FC1FC8">
            <wp:extent cx="2130425" cy="3195638"/>
            <wp:effectExtent l="0" t="0" r="0" b="0"/>
            <wp:docPr id="13"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14"/>
                    <a:srcRect/>
                    <a:stretch>
                      <a:fillRect/>
                    </a:stretch>
                  </pic:blipFill>
                  <pic:spPr>
                    <a:xfrm>
                      <a:off x="0" y="0"/>
                      <a:ext cx="2130425" cy="3195638"/>
                    </a:xfrm>
                    <a:prstGeom prst="rect">
                      <a:avLst/>
                    </a:prstGeom>
                    <a:ln/>
                  </pic:spPr>
                </pic:pic>
              </a:graphicData>
            </a:graphic>
          </wp:inline>
        </w:drawing>
      </w:r>
    </w:p>
    <w:p w14:paraId="2E57FF4D" w14:textId="77777777" w:rsidR="004D0AB6" w:rsidRPr="000B5082" w:rsidRDefault="000B5082">
      <w:pPr>
        <w:ind w:right="40"/>
        <w:jc w:val="both"/>
        <w:rPr>
          <w:rFonts w:ascii="Times New Roman" w:eastAsia="Times New Roman" w:hAnsi="Times New Roman" w:cs="Times New Roman"/>
          <w:color w:val="212121"/>
          <w:lang w:val="fr-CA"/>
        </w:rPr>
      </w:pPr>
      <w:r w:rsidRPr="000B5082">
        <w:rPr>
          <w:rFonts w:ascii="Times New Roman" w:eastAsia="Times New Roman" w:hAnsi="Times New Roman" w:cs="Times New Roman"/>
          <w:color w:val="212121"/>
          <w:lang w:val="fr-CA"/>
        </w:rPr>
        <w:lastRenderedPageBreak/>
        <w:t>Les récepteurs tyrosine kinases sont essentiels à de nombr</w:t>
      </w:r>
      <w:r w:rsidRPr="000B5082">
        <w:rPr>
          <w:rFonts w:ascii="Times New Roman" w:eastAsia="Times New Roman" w:hAnsi="Times New Roman" w:cs="Times New Roman"/>
          <w:color w:val="212121"/>
          <w:lang w:val="fr-CA"/>
        </w:rPr>
        <w:t>eux processus de signalisation chez les humains. Par exemple, ils se lient à des facteurs de croissance, des molécules de signalisation qui favorisent la division cellulaire et la survie.</w:t>
      </w:r>
    </w:p>
    <w:p w14:paraId="00E9F0C9" w14:textId="77777777" w:rsidR="004D0AB6" w:rsidRPr="000B5082" w:rsidRDefault="004D0AB6">
      <w:pPr>
        <w:ind w:right="40"/>
        <w:jc w:val="both"/>
        <w:rPr>
          <w:rFonts w:ascii="Times New Roman" w:eastAsia="Times New Roman" w:hAnsi="Times New Roman" w:cs="Times New Roman"/>
          <w:color w:val="212121"/>
          <w:lang w:val="fr-CA"/>
        </w:rPr>
      </w:pPr>
    </w:p>
    <w:p w14:paraId="29C71142" w14:textId="77777777" w:rsidR="004D0AB6" w:rsidRPr="000B5082" w:rsidRDefault="000B5082">
      <w:pPr>
        <w:numPr>
          <w:ilvl w:val="0"/>
          <w:numId w:val="15"/>
        </w:numPr>
        <w:ind w:hanging="360"/>
        <w:contextualSpacing/>
        <w:jc w:val="both"/>
        <w:rPr>
          <w:rFonts w:ascii="Times New Roman" w:eastAsia="Times New Roman" w:hAnsi="Times New Roman" w:cs="Times New Roman"/>
          <w:color w:val="212121"/>
          <w:lang w:val="fr-CA"/>
        </w:rPr>
      </w:pPr>
      <w:r w:rsidRPr="000B5082">
        <w:rPr>
          <w:rFonts w:ascii="Times New Roman" w:eastAsia="Times New Roman" w:hAnsi="Times New Roman" w:cs="Times New Roman"/>
          <w:color w:val="212121"/>
          <w:lang w:val="fr-CA"/>
        </w:rPr>
        <w:t xml:space="preserve">Couplé à protéine G (RCPG): </w:t>
      </w:r>
    </w:p>
    <w:p w14:paraId="54EDDA55" w14:textId="77777777" w:rsidR="004D0AB6" w:rsidRPr="000B5082" w:rsidRDefault="000B5082">
      <w:pPr>
        <w:ind w:right="40"/>
        <w:jc w:val="both"/>
        <w:rPr>
          <w:rFonts w:ascii="Times New Roman" w:eastAsia="Times New Roman" w:hAnsi="Times New Roman" w:cs="Times New Roman"/>
          <w:color w:val="212121"/>
          <w:highlight w:val="white"/>
          <w:lang w:val="fr-CA"/>
        </w:rPr>
      </w:pPr>
      <w:r w:rsidRPr="000B5082">
        <w:rPr>
          <w:rFonts w:ascii="Times New Roman" w:eastAsia="Times New Roman" w:hAnsi="Times New Roman" w:cs="Times New Roman"/>
          <w:color w:val="212121"/>
          <w:highlight w:val="white"/>
          <w:lang w:val="fr-CA"/>
        </w:rPr>
        <w:t>Les récepteurs couplés à la protéine G</w:t>
      </w:r>
      <w:r w:rsidRPr="000B5082">
        <w:rPr>
          <w:rFonts w:ascii="Times New Roman" w:eastAsia="Times New Roman" w:hAnsi="Times New Roman" w:cs="Times New Roman"/>
          <w:color w:val="212121"/>
          <w:highlight w:val="white"/>
          <w:lang w:val="fr-CA"/>
        </w:rPr>
        <w:t xml:space="preserve"> (RCPG) sont une grande famille de récepteurs de surface cellulaire qui partagent une structure commune et une méthode de signalisation. Les membres de la famille RCPG ont tous sept segments de protéines différents qui traversent la membrane, et ils transm</w:t>
      </w:r>
      <w:r w:rsidRPr="000B5082">
        <w:rPr>
          <w:rFonts w:ascii="Times New Roman" w:eastAsia="Times New Roman" w:hAnsi="Times New Roman" w:cs="Times New Roman"/>
          <w:color w:val="212121"/>
          <w:highlight w:val="white"/>
          <w:lang w:val="fr-CA"/>
        </w:rPr>
        <w:t>ettent des signaux à l'intérieur de la cellule à travers un type de protéine appelée une protéine G. Il y a plusieurs type de protéines G. mais elles se lient tous a un GTP, qu'ils peuvent décomposer (hydrolyser) pour former le GDP. Les protéines G qui ass</w:t>
      </w:r>
      <w:r w:rsidRPr="000B5082">
        <w:rPr>
          <w:rFonts w:ascii="Times New Roman" w:eastAsia="Times New Roman" w:hAnsi="Times New Roman" w:cs="Times New Roman"/>
          <w:color w:val="212121"/>
          <w:highlight w:val="white"/>
          <w:lang w:val="fr-CA"/>
        </w:rPr>
        <w:t>ocient aux RCPG sont un type composé de trois sous-unités, connues sous le nom de protéines G hétérotrimériques. Lorsqu'ils sont attachés à un récepteur inactif, ils sont sous la forme "off" (GDP).</w:t>
      </w:r>
    </w:p>
    <w:p w14:paraId="43DDCD8D" w14:textId="77777777" w:rsidR="004D0AB6" w:rsidRPr="000B5082" w:rsidRDefault="004D0AB6">
      <w:pPr>
        <w:ind w:right="40"/>
        <w:jc w:val="both"/>
        <w:rPr>
          <w:rFonts w:ascii="Times New Roman" w:eastAsia="Times New Roman" w:hAnsi="Times New Roman" w:cs="Times New Roman"/>
          <w:color w:val="212121"/>
          <w:highlight w:val="white"/>
          <w:lang w:val="fr-CA"/>
        </w:rPr>
      </w:pPr>
    </w:p>
    <w:p w14:paraId="2F237423" w14:textId="77777777" w:rsidR="004D0AB6" w:rsidRPr="000B5082" w:rsidRDefault="000B5082">
      <w:pPr>
        <w:jc w:val="center"/>
        <w:rPr>
          <w:rFonts w:ascii="Times New Roman" w:eastAsia="Times New Roman" w:hAnsi="Times New Roman" w:cs="Times New Roman"/>
          <w:color w:val="212121"/>
          <w:lang w:val="fr-CA"/>
        </w:rPr>
      </w:pPr>
      <w:r w:rsidRPr="000B5082">
        <w:rPr>
          <w:noProof/>
          <w:lang w:val="fr-CA"/>
        </w:rPr>
        <w:drawing>
          <wp:inline distT="114300" distB="114300" distL="114300" distR="114300" wp14:anchorId="605BF054" wp14:editId="421FBAF4">
            <wp:extent cx="3478205" cy="3729038"/>
            <wp:effectExtent l="0" t="0" r="0" b="0"/>
            <wp:docPr id="18" name="image38.png"/>
            <wp:cNvGraphicFramePr/>
            <a:graphic xmlns:a="http://schemas.openxmlformats.org/drawingml/2006/main">
              <a:graphicData uri="http://schemas.openxmlformats.org/drawingml/2006/picture">
                <pic:pic xmlns:pic="http://schemas.openxmlformats.org/drawingml/2006/picture">
                  <pic:nvPicPr>
                    <pic:cNvPr id="0" name="image38.png"/>
                    <pic:cNvPicPr preferRelativeResize="0"/>
                  </pic:nvPicPr>
                  <pic:blipFill>
                    <a:blip r:embed="rId15"/>
                    <a:srcRect/>
                    <a:stretch>
                      <a:fillRect/>
                    </a:stretch>
                  </pic:blipFill>
                  <pic:spPr>
                    <a:xfrm>
                      <a:off x="0" y="0"/>
                      <a:ext cx="3478205" cy="3729038"/>
                    </a:xfrm>
                    <a:prstGeom prst="rect">
                      <a:avLst/>
                    </a:prstGeom>
                    <a:ln/>
                  </pic:spPr>
                </pic:pic>
              </a:graphicData>
            </a:graphic>
          </wp:inline>
        </w:drawing>
      </w:r>
    </w:p>
    <w:p w14:paraId="7E2B3B5A" w14:textId="77777777" w:rsidR="004D0AB6" w:rsidRPr="000B5082" w:rsidRDefault="004D0AB6">
      <w:pPr>
        <w:jc w:val="center"/>
        <w:rPr>
          <w:rFonts w:ascii="Times New Roman" w:eastAsia="Times New Roman" w:hAnsi="Times New Roman" w:cs="Times New Roman"/>
          <w:color w:val="212121"/>
          <w:lang w:val="fr-CA"/>
        </w:rPr>
      </w:pPr>
    </w:p>
    <w:p w14:paraId="5B90E753" w14:textId="77777777" w:rsidR="004D0AB6" w:rsidRPr="000B5082" w:rsidRDefault="000B5082">
      <w:pPr>
        <w:jc w:val="both"/>
        <w:rPr>
          <w:rFonts w:ascii="Times New Roman" w:eastAsia="Times New Roman" w:hAnsi="Times New Roman" w:cs="Times New Roman"/>
          <w:color w:val="212121"/>
          <w:lang w:val="fr-CA"/>
        </w:rPr>
      </w:pPr>
      <w:r w:rsidRPr="000B5082">
        <w:rPr>
          <w:rFonts w:ascii="Times New Roman" w:eastAsia="Times New Roman" w:hAnsi="Times New Roman" w:cs="Times New Roman"/>
          <w:color w:val="212121"/>
          <w:lang w:val="fr-CA"/>
        </w:rPr>
        <w:t>La liaison du ligand, cependant, active le RCPG. La pr</w:t>
      </w:r>
      <w:r w:rsidRPr="000B5082">
        <w:rPr>
          <w:rFonts w:ascii="Times New Roman" w:eastAsia="Times New Roman" w:hAnsi="Times New Roman" w:cs="Times New Roman"/>
          <w:color w:val="212121"/>
          <w:lang w:val="fr-CA"/>
        </w:rPr>
        <w:t>otéine G maintenant active se sépare en deux parties (une appelée sous-unité α, l'autre composée des sous-unités β et γ), qui sont libérées du RCPG. Les sous-unités peuvent interagir avec d'autres protéines, déclenchant une voie de signalisation qui mène à</w:t>
      </w:r>
      <w:r w:rsidRPr="000B5082">
        <w:rPr>
          <w:rFonts w:ascii="Times New Roman" w:eastAsia="Times New Roman" w:hAnsi="Times New Roman" w:cs="Times New Roman"/>
          <w:color w:val="212121"/>
          <w:lang w:val="fr-CA"/>
        </w:rPr>
        <w:t xml:space="preserve"> une réponse.</w:t>
      </w:r>
    </w:p>
    <w:p w14:paraId="61075043" w14:textId="77777777" w:rsidR="004D0AB6" w:rsidRPr="000B5082" w:rsidRDefault="004D0AB6">
      <w:pPr>
        <w:rPr>
          <w:rFonts w:ascii="Times New Roman" w:eastAsia="Times New Roman" w:hAnsi="Times New Roman" w:cs="Times New Roman"/>
          <w:color w:val="212121"/>
          <w:lang w:val="fr-CA"/>
        </w:rPr>
      </w:pPr>
    </w:p>
    <w:p w14:paraId="709F16DE" w14:textId="77777777" w:rsidR="004D0AB6" w:rsidRPr="000B5082" w:rsidRDefault="004D0AB6">
      <w:pPr>
        <w:rPr>
          <w:rFonts w:ascii="Times New Roman" w:eastAsia="Times New Roman" w:hAnsi="Times New Roman" w:cs="Times New Roman"/>
          <w:color w:val="212121"/>
          <w:u w:val="single"/>
          <w:lang w:val="fr-CA"/>
        </w:rPr>
      </w:pPr>
    </w:p>
    <w:p w14:paraId="223D3E82" w14:textId="77777777" w:rsidR="004D0AB6" w:rsidRPr="000B5082" w:rsidRDefault="004D0AB6">
      <w:pPr>
        <w:rPr>
          <w:rFonts w:ascii="Times New Roman" w:eastAsia="Times New Roman" w:hAnsi="Times New Roman" w:cs="Times New Roman"/>
          <w:color w:val="212121"/>
          <w:u w:val="single"/>
          <w:lang w:val="fr-CA"/>
        </w:rPr>
      </w:pPr>
    </w:p>
    <w:p w14:paraId="2293BE72" w14:textId="77777777" w:rsidR="004D0AB6" w:rsidRPr="000B5082" w:rsidRDefault="004D0AB6">
      <w:pPr>
        <w:rPr>
          <w:rFonts w:ascii="Times New Roman" w:eastAsia="Times New Roman" w:hAnsi="Times New Roman" w:cs="Times New Roman"/>
          <w:color w:val="212121"/>
          <w:u w:val="single"/>
          <w:lang w:val="fr-CA"/>
        </w:rPr>
      </w:pPr>
    </w:p>
    <w:p w14:paraId="18FDDE41" w14:textId="77777777" w:rsidR="004D0AB6" w:rsidRPr="000B5082" w:rsidRDefault="004D0AB6">
      <w:pPr>
        <w:rPr>
          <w:rFonts w:ascii="Times New Roman" w:eastAsia="Times New Roman" w:hAnsi="Times New Roman" w:cs="Times New Roman"/>
          <w:color w:val="212121"/>
          <w:u w:val="single"/>
          <w:lang w:val="fr-CA"/>
        </w:rPr>
      </w:pPr>
    </w:p>
    <w:p w14:paraId="5E4417FD" w14:textId="77777777" w:rsidR="004D0AB6" w:rsidRPr="000B5082" w:rsidRDefault="004D0AB6">
      <w:pPr>
        <w:rPr>
          <w:rFonts w:ascii="Times New Roman" w:eastAsia="Times New Roman" w:hAnsi="Times New Roman" w:cs="Times New Roman"/>
          <w:color w:val="212121"/>
          <w:u w:val="single"/>
          <w:lang w:val="fr-CA"/>
        </w:rPr>
      </w:pPr>
    </w:p>
    <w:p w14:paraId="75591D79" w14:textId="77777777" w:rsidR="004D0AB6" w:rsidRPr="000B5082" w:rsidRDefault="004D0AB6">
      <w:pPr>
        <w:rPr>
          <w:rFonts w:ascii="Times New Roman" w:eastAsia="Times New Roman" w:hAnsi="Times New Roman" w:cs="Times New Roman"/>
          <w:color w:val="212121"/>
          <w:u w:val="single"/>
          <w:lang w:val="fr-CA"/>
        </w:rPr>
      </w:pPr>
    </w:p>
    <w:p w14:paraId="76CC9F9E" w14:textId="77777777" w:rsidR="004D0AB6" w:rsidRPr="000B5082" w:rsidRDefault="004D0AB6">
      <w:pPr>
        <w:rPr>
          <w:rFonts w:ascii="Times New Roman" w:eastAsia="Times New Roman" w:hAnsi="Times New Roman" w:cs="Times New Roman"/>
          <w:color w:val="212121"/>
          <w:u w:val="single"/>
          <w:lang w:val="fr-CA"/>
        </w:rPr>
      </w:pPr>
    </w:p>
    <w:p w14:paraId="2314698F" w14:textId="77777777" w:rsidR="004D0AB6" w:rsidRPr="000B5082" w:rsidRDefault="000B5082">
      <w:pPr>
        <w:jc w:val="both"/>
        <w:rPr>
          <w:rFonts w:ascii="Times New Roman" w:eastAsia="Times New Roman" w:hAnsi="Times New Roman" w:cs="Times New Roman"/>
          <w:color w:val="212121"/>
          <w:u w:val="single"/>
          <w:lang w:val="fr-CA"/>
        </w:rPr>
      </w:pPr>
      <w:r w:rsidRPr="000B5082">
        <w:rPr>
          <w:rFonts w:ascii="Times New Roman" w:eastAsia="Times New Roman" w:hAnsi="Times New Roman" w:cs="Times New Roman"/>
          <w:color w:val="212121"/>
          <w:u w:val="single"/>
          <w:lang w:val="fr-CA"/>
        </w:rPr>
        <w:t xml:space="preserve">Mécanisme d’activation/désactivation de la protéine G: </w:t>
      </w:r>
    </w:p>
    <w:p w14:paraId="612261D9" w14:textId="77777777" w:rsidR="004D0AB6" w:rsidRPr="000B5082" w:rsidRDefault="000B5082">
      <w:pPr>
        <w:ind w:right="40"/>
        <w:jc w:val="both"/>
        <w:rPr>
          <w:rFonts w:ascii="Times New Roman" w:eastAsia="Times New Roman" w:hAnsi="Times New Roman" w:cs="Times New Roman"/>
          <w:color w:val="212121"/>
          <w:lang w:val="fr-CA"/>
        </w:rPr>
      </w:pPr>
      <w:r w:rsidRPr="000B5082">
        <w:rPr>
          <w:rFonts w:ascii="Times New Roman" w:eastAsia="Times New Roman" w:hAnsi="Times New Roman" w:cs="Times New Roman"/>
          <w:color w:val="212121"/>
          <w:lang w:val="fr-CA"/>
        </w:rPr>
        <w:t>La "protéine G"</w:t>
      </w:r>
      <w:r w:rsidRPr="000B5082">
        <w:rPr>
          <w:rFonts w:ascii="Times New Roman" w:eastAsia="Times New Roman" w:hAnsi="Times New Roman" w:cs="Times New Roman"/>
          <w:color w:val="212121"/>
          <w:lang w:val="fr-CA"/>
        </w:rPr>
        <w:t xml:space="preserve"> est connu sous forme de protéines G hétérotrimériques associées à la membrane. Ces protéines sont activées par des récepteurs couplés à la protéine G et sont constituées de sous-unités alpha (α), bêta (β) et gamma (γ). Lorsqu’ils sont attache sur le récep</w:t>
      </w:r>
      <w:r w:rsidRPr="000B5082">
        <w:rPr>
          <w:rFonts w:ascii="Times New Roman" w:eastAsia="Times New Roman" w:hAnsi="Times New Roman" w:cs="Times New Roman"/>
          <w:color w:val="212121"/>
          <w:lang w:val="fr-CA"/>
        </w:rPr>
        <w:t xml:space="preserve">teur inactif, ils sont donc sous forme “off” (liées au GDP). </w:t>
      </w:r>
    </w:p>
    <w:p w14:paraId="7F10A5EF" w14:textId="77777777" w:rsidR="004D0AB6" w:rsidRPr="000B5082" w:rsidRDefault="000B5082">
      <w:pPr>
        <w:ind w:right="40" w:firstLine="720"/>
        <w:jc w:val="both"/>
        <w:rPr>
          <w:rFonts w:ascii="Times New Roman" w:eastAsia="Times New Roman" w:hAnsi="Times New Roman" w:cs="Times New Roman"/>
          <w:color w:val="212121"/>
          <w:lang w:val="fr-CA"/>
        </w:rPr>
      </w:pPr>
      <w:r w:rsidRPr="000B5082">
        <w:rPr>
          <w:rFonts w:ascii="Times New Roman" w:eastAsia="Times New Roman" w:hAnsi="Times New Roman" w:cs="Times New Roman"/>
          <w:color w:val="212121"/>
          <w:lang w:val="fr-CA"/>
        </w:rPr>
        <w:t xml:space="preserve">Activation: Lorsqu’un ligand active le récepteur couplé a la protéine G, il induit un changement de conformation dans le récepteur qui lui permet de fonctionner comme un GEF en changeant le GDP </w:t>
      </w:r>
      <w:r w:rsidRPr="000B5082">
        <w:rPr>
          <w:rFonts w:ascii="Times New Roman" w:eastAsia="Times New Roman" w:hAnsi="Times New Roman" w:cs="Times New Roman"/>
          <w:color w:val="212121"/>
          <w:lang w:val="fr-CA"/>
        </w:rPr>
        <w:t>en GTP. Le GTP est lié à la sous-unité G</w:t>
      </w:r>
      <w:r w:rsidRPr="000B5082">
        <w:rPr>
          <w:rFonts w:ascii="Times New Roman" w:eastAsia="Times New Roman" w:hAnsi="Times New Roman" w:cs="Times New Roman"/>
          <w:color w:val="212121"/>
          <w:vertAlign w:val="subscript"/>
          <w:lang w:val="fr-CA"/>
        </w:rPr>
        <w:t>α</w:t>
      </w:r>
      <w:r w:rsidRPr="000B5082">
        <w:rPr>
          <w:rFonts w:ascii="Times New Roman" w:eastAsia="Times New Roman" w:hAnsi="Times New Roman" w:cs="Times New Roman"/>
          <w:color w:val="212121"/>
          <w:lang w:val="fr-CA"/>
        </w:rPr>
        <w:t>, donc le changement du GDP en GTP déclenche la dissociation de la sous unité G</w:t>
      </w:r>
      <w:r w:rsidRPr="000B5082">
        <w:rPr>
          <w:rFonts w:ascii="Times New Roman" w:eastAsia="Times New Roman" w:hAnsi="Times New Roman" w:cs="Times New Roman"/>
          <w:color w:val="212121"/>
          <w:vertAlign w:val="subscript"/>
          <w:lang w:val="fr-CA"/>
        </w:rPr>
        <w:t>α</w:t>
      </w:r>
      <w:r w:rsidRPr="000B5082">
        <w:rPr>
          <w:rFonts w:ascii="Times New Roman" w:eastAsia="Times New Roman" w:hAnsi="Times New Roman" w:cs="Times New Roman"/>
          <w:color w:val="212121"/>
          <w:lang w:val="fr-CA"/>
        </w:rPr>
        <w:t xml:space="preserve"> a partir du dimère G</w:t>
      </w:r>
      <w:r w:rsidRPr="000B5082">
        <w:rPr>
          <w:rFonts w:ascii="Times New Roman" w:eastAsia="Times New Roman" w:hAnsi="Times New Roman" w:cs="Times New Roman"/>
          <w:color w:val="212121"/>
          <w:vertAlign w:val="subscript"/>
          <w:lang w:val="fr-CA"/>
        </w:rPr>
        <w:t>βγ</w:t>
      </w:r>
      <w:r w:rsidRPr="000B5082">
        <w:rPr>
          <w:rFonts w:ascii="Times New Roman" w:eastAsia="Times New Roman" w:hAnsi="Times New Roman" w:cs="Times New Roman"/>
          <w:color w:val="212121"/>
          <w:lang w:val="fr-CA"/>
        </w:rPr>
        <w:t xml:space="preserve"> et du récepteur dans son ensemble. Le G</w:t>
      </w:r>
      <w:r w:rsidRPr="000B5082">
        <w:rPr>
          <w:rFonts w:ascii="Times New Roman" w:eastAsia="Times New Roman" w:hAnsi="Times New Roman" w:cs="Times New Roman"/>
          <w:color w:val="212121"/>
          <w:vertAlign w:val="subscript"/>
          <w:lang w:val="fr-CA"/>
        </w:rPr>
        <w:t>α</w:t>
      </w:r>
      <w:r w:rsidRPr="000B5082">
        <w:rPr>
          <w:rFonts w:ascii="Times New Roman" w:eastAsia="Times New Roman" w:hAnsi="Times New Roman" w:cs="Times New Roman"/>
          <w:color w:val="212121"/>
          <w:lang w:val="fr-CA"/>
        </w:rPr>
        <w:t>-GTP ainsi que le  G</w:t>
      </w:r>
      <w:r w:rsidRPr="000B5082">
        <w:rPr>
          <w:rFonts w:ascii="Times New Roman" w:eastAsia="Times New Roman" w:hAnsi="Times New Roman" w:cs="Times New Roman"/>
          <w:color w:val="212121"/>
          <w:vertAlign w:val="subscript"/>
          <w:lang w:val="fr-CA"/>
        </w:rPr>
        <w:t xml:space="preserve">βγ </w:t>
      </w:r>
      <w:r w:rsidRPr="000B5082">
        <w:rPr>
          <w:rFonts w:ascii="Times New Roman" w:eastAsia="Times New Roman" w:hAnsi="Times New Roman" w:cs="Times New Roman"/>
          <w:color w:val="212121"/>
          <w:lang w:val="fr-CA"/>
        </w:rPr>
        <w:t>peuvent maintenant activer les cascades de signa</w:t>
      </w:r>
      <w:r w:rsidRPr="000B5082">
        <w:rPr>
          <w:rFonts w:ascii="Times New Roman" w:eastAsia="Times New Roman" w:hAnsi="Times New Roman" w:cs="Times New Roman"/>
          <w:color w:val="212121"/>
          <w:lang w:val="fr-CA"/>
        </w:rPr>
        <w:t xml:space="preserve">lisation et les protéines effectrices, tandis que le récepteur peut activer la protéine G suivante. </w:t>
      </w:r>
    </w:p>
    <w:p w14:paraId="3CBAB570" w14:textId="77777777" w:rsidR="004D0AB6" w:rsidRPr="000B5082" w:rsidRDefault="000B5082">
      <w:pPr>
        <w:ind w:right="40" w:firstLine="720"/>
        <w:jc w:val="both"/>
        <w:rPr>
          <w:rFonts w:ascii="Times New Roman" w:eastAsia="Times New Roman" w:hAnsi="Times New Roman" w:cs="Times New Roman"/>
          <w:color w:val="212121"/>
          <w:lang w:val="fr-CA"/>
        </w:rPr>
      </w:pPr>
      <w:r w:rsidRPr="000B5082">
        <w:rPr>
          <w:rFonts w:ascii="Times New Roman" w:eastAsia="Times New Roman" w:hAnsi="Times New Roman" w:cs="Times New Roman"/>
          <w:color w:val="212121"/>
          <w:lang w:val="fr-CA"/>
        </w:rPr>
        <w:t>Désactivation: La sous-unité G</w:t>
      </w:r>
      <w:r w:rsidRPr="000B5082">
        <w:rPr>
          <w:rFonts w:ascii="Times New Roman" w:eastAsia="Times New Roman" w:hAnsi="Times New Roman" w:cs="Times New Roman"/>
          <w:color w:val="212121"/>
          <w:vertAlign w:val="subscript"/>
          <w:lang w:val="fr-CA"/>
        </w:rPr>
        <w:t>α</w:t>
      </w:r>
      <w:r w:rsidRPr="000B5082">
        <w:rPr>
          <w:rFonts w:ascii="Times New Roman" w:eastAsia="Times New Roman" w:hAnsi="Times New Roman" w:cs="Times New Roman"/>
          <w:color w:val="212121"/>
          <w:lang w:val="fr-CA"/>
        </w:rPr>
        <w:t xml:space="preserve"> finira par hydrolyser le GTP attaché au GTP par son activité enzymatique, ce qui lui permettra de se réassocier à G</w:t>
      </w:r>
      <w:r w:rsidRPr="000B5082">
        <w:rPr>
          <w:rFonts w:ascii="Times New Roman" w:eastAsia="Times New Roman" w:hAnsi="Times New Roman" w:cs="Times New Roman"/>
          <w:color w:val="212121"/>
          <w:vertAlign w:val="subscript"/>
          <w:lang w:val="fr-CA"/>
        </w:rPr>
        <w:t>βγ</w:t>
      </w:r>
      <w:r w:rsidRPr="000B5082">
        <w:rPr>
          <w:rFonts w:ascii="Times New Roman" w:eastAsia="Times New Roman" w:hAnsi="Times New Roman" w:cs="Times New Roman"/>
          <w:color w:val="212121"/>
          <w:lang w:val="fr-CA"/>
        </w:rPr>
        <w:t xml:space="preserve"> et de</w:t>
      </w:r>
      <w:r w:rsidRPr="000B5082">
        <w:rPr>
          <w:rFonts w:ascii="Times New Roman" w:eastAsia="Times New Roman" w:hAnsi="Times New Roman" w:cs="Times New Roman"/>
          <w:color w:val="212121"/>
          <w:lang w:val="fr-CA"/>
        </w:rPr>
        <w:t xml:space="preserve"> démarrer un nouveau cycle. Un groupe de protéines appelé Régulateur de la signalisation des protéines G (RGS), agissent comme des protéines activant la GTPase (GAP), vont accélérer l'hydrolyse du GTP en GDP, ce qui met fin au signal transduit. Dans certai</w:t>
      </w:r>
      <w:r w:rsidRPr="000B5082">
        <w:rPr>
          <w:rFonts w:ascii="Times New Roman" w:eastAsia="Times New Roman" w:hAnsi="Times New Roman" w:cs="Times New Roman"/>
          <w:color w:val="212121"/>
          <w:lang w:val="fr-CA"/>
        </w:rPr>
        <w:t xml:space="preserve">ns cas, l'effecteur lui-même peut posséder une activité intrinsèque GAP, qui peut ensuite aider à désactiver la voie. Ceci est vrai dans le cas de la phospholipase C-beta, qui possède une activité GAP dans sa région C-terminale. </w:t>
      </w:r>
    </w:p>
    <w:p w14:paraId="61CF6E04" w14:textId="77777777" w:rsidR="004D0AB6" w:rsidRPr="000B5082" w:rsidRDefault="004D0AB6">
      <w:pPr>
        <w:ind w:right="40" w:firstLine="720"/>
        <w:jc w:val="both"/>
        <w:rPr>
          <w:color w:val="212121"/>
          <w:sz w:val="2"/>
          <w:szCs w:val="2"/>
          <w:highlight w:val="white"/>
          <w:lang w:val="fr-CA"/>
        </w:rPr>
      </w:pPr>
    </w:p>
    <w:p w14:paraId="6DBC719B" w14:textId="77777777" w:rsidR="004D0AB6" w:rsidRPr="000B5082" w:rsidRDefault="004D0AB6">
      <w:pPr>
        <w:jc w:val="both"/>
        <w:rPr>
          <w:rFonts w:ascii="Times New Roman" w:eastAsia="Times New Roman" w:hAnsi="Times New Roman" w:cs="Times New Roman"/>
          <w:color w:val="212121"/>
          <w:lang w:val="fr-CA"/>
        </w:rPr>
      </w:pPr>
    </w:p>
    <w:p w14:paraId="715F458F" w14:textId="77777777" w:rsidR="004D0AB6" w:rsidRPr="000B5082" w:rsidRDefault="000B5082">
      <w:pPr>
        <w:jc w:val="both"/>
        <w:rPr>
          <w:rFonts w:ascii="Times New Roman" w:eastAsia="Times New Roman" w:hAnsi="Times New Roman" w:cs="Times New Roman"/>
          <w:color w:val="212121"/>
          <w:u w:val="single"/>
          <w:lang w:val="fr-CA"/>
        </w:rPr>
      </w:pPr>
      <w:r w:rsidRPr="000B5082">
        <w:rPr>
          <w:rFonts w:ascii="Times New Roman" w:eastAsia="Times New Roman" w:hAnsi="Times New Roman" w:cs="Times New Roman"/>
          <w:color w:val="212121"/>
          <w:u w:val="single"/>
          <w:lang w:val="fr-CA"/>
        </w:rPr>
        <w:t>Interrupteurs (ATP et GT</w:t>
      </w:r>
      <w:r w:rsidRPr="000B5082">
        <w:rPr>
          <w:rFonts w:ascii="Times New Roman" w:eastAsia="Times New Roman" w:hAnsi="Times New Roman" w:cs="Times New Roman"/>
          <w:color w:val="212121"/>
          <w:u w:val="single"/>
          <w:lang w:val="fr-CA"/>
        </w:rPr>
        <w:t>P) vs minuteries moléculaires (protéines G):</w:t>
      </w:r>
    </w:p>
    <w:p w14:paraId="6EFC81B2" w14:textId="77777777" w:rsidR="004D0AB6" w:rsidRPr="000B5082" w:rsidRDefault="000B5082">
      <w:pPr>
        <w:numPr>
          <w:ilvl w:val="0"/>
          <w:numId w:val="17"/>
        </w:numPr>
        <w:ind w:hanging="360"/>
        <w:contextualSpacing/>
        <w:jc w:val="both"/>
        <w:rPr>
          <w:color w:val="21242C"/>
          <w:lang w:val="fr-CA"/>
        </w:rPr>
      </w:pPr>
      <w:r w:rsidRPr="000B5082">
        <w:rPr>
          <w:rFonts w:ascii="Times New Roman" w:eastAsia="Times New Roman" w:hAnsi="Times New Roman" w:cs="Times New Roman"/>
          <w:color w:val="21242C"/>
          <w:lang w:val="fr-CA"/>
        </w:rPr>
        <w:t>ATP: Nucleoside triphosphate contenant de l'adénine. Libère de l'énergie au cours de l’hydrolyse de ses liaisons phosphate. Cette énergie libre alimente les réactions endergonique qui ont lieu dans les cellules.</w:t>
      </w:r>
    </w:p>
    <w:p w14:paraId="68088884" w14:textId="77777777" w:rsidR="004D0AB6" w:rsidRPr="000B5082" w:rsidRDefault="000B5082">
      <w:pPr>
        <w:numPr>
          <w:ilvl w:val="0"/>
          <w:numId w:val="17"/>
        </w:numPr>
        <w:ind w:hanging="360"/>
        <w:contextualSpacing/>
        <w:jc w:val="both"/>
        <w:rPr>
          <w:rFonts w:ascii="Times New Roman" w:eastAsia="Times New Roman" w:hAnsi="Times New Roman" w:cs="Times New Roman"/>
          <w:color w:val="21242C"/>
          <w:lang w:val="fr-CA"/>
        </w:rPr>
      </w:pPr>
      <w:r w:rsidRPr="000B5082">
        <w:rPr>
          <w:rFonts w:ascii="Times New Roman" w:eastAsia="Times New Roman" w:hAnsi="Times New Roman" w:cs="Times New Roman"/>
          <w:color w:val="21242C"/>
          <w:lang w:val="fr-CA"/>
        </w:rPr>
        <w:t xml:space="preserve">GTP: Nucleotide riche en énergie qui contient un ribose, de la guanine, ainsi que trois groupements phosphates. </w:t>
      </w:r>
      <w:r w:rsidRPr="000B5082">
        <w:rPr>
          <w:rFonts w:ascii="Times New Roman" w:eastAsia="Times New Roman" w:hAnsi="Times New Roman" w:cs="Times New Roman"/>
          <w:color w:val="212121"/>
          <w:highlight w:val="white"/>
          <w:lang w:val="fr-CA"/>
        </w:rPr>
        <w:t>Il est utilisé comme source d'énergie pour la synthèse des protéines. Le GTP est essentiel pour transduire le signal, en particulier avec les p</w:t>
      </w:r>
      <w:r w:rsidRPr="000B5082">
        <w:rPr>
          <w:rFonts w:ascii="Times New Roman" w:eastAsia="Times New Roman" w:hAnsi="Times New Roman" w:cs="Times New Roman"/>
          <w:color w:val="212121"/>
          <w:highlight w:val="white"/>
          <w:lang w:val="fr-CA"/>
        </w:rPr>
        <w:t>rotéines G, dans les mécanismes du second messager où il est converti en diphosphate de guanosine (GDP) par l'action des GTPases.</w:t>
      </w:r>
    </w:p>
    <w:p w14:paraId="2A6A1DBA" w14:textId="77777777" w:rsidR="004D0AB6" w:rsidRPr="000B5082" w:rsidRDefault="000B5082">
      <w:pPr>
        <w:numPr>
          <w:ilvl w:val="0"/>
          <w:numId w:val="17"/>
        </w:numPr>
        <w:ind w:hanging="360"/>
        <w:contextualSpacing/>
        <w:jc w:val="both"/>
        <w:rPr>
          <w:rFonts w:ascii="Times New Roman" w:eastAsia="Times New Roman" w:hAnsi="Times New Roman" w:cs="Times New Roman"/>
          <w:color w:val="21242C"/>
          <w:lang w:val="fr-CA"/>
        </w:rPr>
      </w:pPr>
      <w:r w:rsidRPr="000B5082">
        <w:rPr>
          <w:rFonts w:ascii="Times New Roman" w:eastAsia="Times New Roman" w:hAnsi="Times New Roman" w:cs="Times New Roman"/>
          <w:color w:val="21242C"/>
          <w:lang w:val="fr-CA"/>
        </w:rPr>
        <w:t xml:space="preserve">Protéine G: Protéine qui est liée à une molécule de GTP et qui sert d'intermédiaire entre les récepteurs membranaires (RCPG), </w:t>
      </w:r>
      <w:r w:rsidRPr="000B5082">
        <w:rPr>
          <w:rFonts w:ascii="Times New Roman" w:eastAsia="Times New Roman" w:hAnsi="Times New Roman" w:cs="Times New Roman"/>
          <w:color w:val="21242C"/>
          <w:lang w:val="fr-CA"/>
        </w:rPr>
        <w:t>et d’autres protéines de transduction situées a l'intérieur de la cellule.</w:t>
      </w:r>
    </w:p>
    <w:p w14:paraId="44032004" w14:textId="77777777" w:rsidR="004D0AB6" w:rsidRPr="000B5082" w:rsidRDefault="004D0AB6">
      <w:pPr>
        <w:jc w:val="both"/>
        <w:rPr>
          <w:rFonts w:ascii="Times New Roman" w:eastAsia="Times New Roman" w:hAnsi="Times New Roman" w:cs="Times New Roman"/>
          <w:b/>
          <w:color w:val="21242C"/>
          <w:lang w:val="fr-CA"/>
        </w:rPr>
      </w:pPr>
    </w:p>
    <w:p w14:paraId="46F0232D" w14:textId="77777777" w:rsidR="004D0AB6" w:rsidRPr="000B5082" w:rsidRDefault="000B5082">
      <w:pPr>
        <w:jc w:val="both"/>
        <w:rPr>
          <w:rFonts w:ascii="Times New Roman" w:eastAsia="Times New Roman" w:hAnsi="Times New Roman" w:cs="Times New Roman"/>
          <w:color w:val="21242C"/>
          <w:u w:val="single"/>
          <w:lang w:val="fr-CA"/>
        </w:rPr>
      </w:pPr>
      <w:r w:rsidRPr="000B5082">
        <w:rPr>
          <w:rFonts w:ascii="Times New Roman" w:eastAsia="Times New Roman" w:hAnsi="Times New Roman" w:cs="Times New Roman"/>
          <w:color w:val="21242C"/>
          <w:u w:val="single"/>
          <w:lang w:val="fr-CA"/>
        </w:rPr>
        <w:t>Le rôle et l’influence que les GEF, GDI et les GAP auront sur le réglage de la minuterie moléculaire:</w:t>
      </w:r>
    </w:p>
    <w:p w14:paraId="05825A81" w14:textId="77777777" w:rsidR="004D0AB6" w:rsidRPr="000B5082" w:rsidRDefault="000B5082">
      <w:pPr>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 xml:space="preserve">La régulation de la minuterie moléculaire qu’est la protéine G peut se faire par des protéines régulatrices de la signalisation de la protéine G. </w:t>
      </w:r>
    </w:p>
    <w:p w14:paraId="74D6C294" w14:textId="77777777" w:rsidR="004D0AB6" w:rsidRPr="000B5082" w:rsidRDefault="000B5082">
      <w:pPr>
        <w:numPr>
          <w:ilvl w:val="0"/>
          <w:numId w:val="25"/>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GDI (inhibiteur de la dissociation des nucléotides de guanine): empêche la relâche du GDP par la GTPase (prot</w:t>
      </w:r>
      <w:r w:rsidRPr="000B5082">
        <w:rPr>
          <w:rFonts w:ascii="Times New Roman" w:eastAsia="Times New Roman" w:hAnsi="Times New Roman" w:cs="Times New Roman"/>
          <w:lang w:val="fr-CA"/>
        </w:rPr>
        <w:t xml:space="preserve">éine G), la retenant ainsi dans un état inactif plus longtemps. </w:t>
      </w:r>
    </w:p>
    <w:p w14:paraId="6DF39F0D" w14:textId="77777777" w:rsidR="004D0AB6" w:rsidRPr="000B5082" w:rsidRDefault="000B5082">
      <w:pPr>
        <w:numPr>
          <w:ilvl w:val="0"/>
          <w:numId w:val="25"/>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GEF (facteur d’échange de la guanine): Stimule l’échange d’un GDP pour un GTP et favorise donc l’activité de la GTPase (protéine G).</w:t>
      </w:r>
    </w:p>
    <w:p w14:paraId="36299628" w14:textId="77777777" w:rsidR="004D0AB6" w:rsidRPr="000B5082" w:rsidRDefault="000B5082">
      <w:pPr>
        <w:numPr>
          <w:ilvl w:val="0"/>
          <w:numId w:val="25"/>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GAP (Protéine d’activation de la GTPase): Augmente la capa</w:t>
      </w:r>
      <w:r w:rsidRPr="000B5082">
        <w:rPr>
          <w:rFonts w:ascii="Times New Roman" w:eastAsia="Times New Roman" w:hAnsi="Times New Roman" w:cs="Times New Roman"/>
          <w:lang w:val="fr-CA"/>
        </w:rPr>
        <w:t>cité d’hydrolysation du GTP en GDP par la GTPase (protéine G), favorisant ainsi un retour rapide au stade inactif.</w:t>
      </w:r>
    </w:p>
    <w:p w14:paraId="74724DAD" w14:textId="77777777" w:rsidR="004D0AB6" w:rsidRPr="000B5082" w:rsidRDefault="004D0AB6">
      <w:pPr>
        <w:jc w:val="both"/>
        <w:rPr>
          <w:rFonts w:ascii="Times New Roman" w:eastAsia="Times New Roman" w:hAnsi="Times New Roman" w:cs="Times New Roman"/>
          <w:lang w:val="fr-CA"/>
        </w:rPr>
      </w:pPr>
    </w:p>
    <w:p w14:paraId="601ADB2F" w14:textId="77777777" w:rsidR="004D0AB6" w:rsidRPr="000B5082" w:rsidRDefault="000B5082">
      <w:pPr>
        <w:jc w:val="both"/>
        <w:rPr>
          <w:rFonts w:ascii="Times New Roman" w:eastAsia="Times New Roman" w:hAnsi="Times New Roman" w:cs="Times New Roman"/>
          <w:u w:val="single"/>
          <w:lang w:val="fr-CA"/>
        </w:rPr>
      </w:pPr>
      <w:r w:rsidRPr="000B5082">
        <w:rPr>
          <w:rFonts w:ascii="Times New Roman" w:eastAsia="Times New Roman" w:hAnsi="Times New Roman" w:cs="Times New Roman"/>
          <w:u w:val="single"/>
          <w:lang w:val="fr-CA"/>
        </w:rPr>
        <w:t>Les étapes de la transduction:</w:t>
      </w:r>
    </w:p>
    <w:p w14:paraId="0157854D" w14:textId="77777777" w:rsidR="004D0AB6" w:rsidRPr="000B5082" w:rsidRDefault="000B5082">
      <w:pPr>
        <w:numPr>
          <w:ilvl w:val="0"/>
          <w:numId w:val="10"/>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 xml:space="preserve">Phosphorylation: </w:t>
      </w:r>
      <w:r w:rsidRPr="000B5082">
        <w:rPr>
          <w:rFonts w:ascii="Times New Roman" w:eastAsia="Times New Roman" w:hAnsi="Times New Roman" w:cs="Times New Roman"/>
          <w:color w:val="212121"/>
          <w:highlight w:val="white"/>
          <w:lang w:val="fr-CA"/>
        </w:rPr>
        <w:t>La phosphorylation agit souvent comme uns “switch”, mais ses effets varient selon les protéines. Parfois, la phosphorylation rendra une protéine plus active (par exemple, augmentant la catalyse). Dans d'autres cas, la phosphorylation peut inactiver la prot</w:t>
      </w:r>
      <w:r w:rsidRPr="000B5082">
        <w:rPr>
          <w:rFonts w:ascii="Times New Roman" w:eastAsia="Times New Roman" w:hAnsi="Times New Roman" w:cs="Times New Roman"/>
          <w:color w:val="212121"/>
          <w:highlight w:val="white"/>
          <w:lang w:val="fr-CA"/>
        </w:rPr>
        <w:t xml:space="preserve">éine ou la décomposer. </w:t>
      </w:r>
      <w:r w:rsidRPr="000B5082">
        <w:rPr>
          <w:rFonts w:ascii="Times New Roman" w:eastAsia="Times New Roman" w:hAnsi="Times New Roman" w:cs="Times New Roman"/>
          <w:color w:val="212121"/>
          <w:lang w:val="fr-CA"/>
        </w:rPr>
        <w:t>En général, la phosphorylation n'est pas permanente. Pour retourner les protéines dans leur état non phosphorylé, les cellules ont des enzymes appelées phosphatases, qui éliminent un groupe phosphate de leurs cibles.</w:t>
      </w:r>
    </w:p>
    <w:p w14:paraId="15A18BAE" w14:textId="77777777" w:rsidR="004D0AB6" w:rsidRPr="000B5082" w:rsidRDefault="000B5082">
      <w:pPr>
        <w:ind w:left="720"/>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La phosphorylati</w:t>
      </w:r>
      <w:r w:rsidRPr="000B5082">
        <w:rPr>
          <w:rFonts w:ascii="Times New Roman" w:eastAsia="Times New Roman" w:hAnsi="Times New Roman" w:cs="Times New Roman"/>
          <w:lang w:val="fr-CA"/>
        </w:rPr>
        <w:t xml:space="preserve">on du domaine cytoplasmique peut alors entraîner le recrutement de la molécule </w:t>
      </w:r>
      <w:r w:rsidRPr="000B5082">
        <w:rPr>
          <w:rFonts w:ascii="Times New Roman" w:eastAsia="Times New Roman" w:hAnsi="Times New Roman" w:cs="Times New Roman"/>
          <w:b/>
          <w:lang w:val="fr-CA"/>
        </w:rPr>
        <w:t>β-arrestine</w:t>
      </w:r>
      <w:r w:rsidRPr="000B5082">
        <w:rPr>
          <w:rFonts w:ascii="Times New Roman" w:eastAsia="Times New Roman" w:hAnsi="Times New Roman" w:cs="Times New Roman"/>
          <w:lang w:val="fr-CA"/>
        </w:rPr>
        <w:t>, qui empêchera le récepteur de s’associer avec la protéine G.</w:t>
      </w:r>
    </w:p>
    <w:p w14:paraId="7178483C" w14:textId="77777777" w:rsidR="004D0AB6" w:rsidRPr="000B5082" w:rsidRDefault="004D0AB6">
      <w:pPr>
        <w:jc w:val="both"/>
        <w:rPr>
          <w:rFonts w:ascii="Times New Roman" w:eastAsia="Times New Roman" w:hAnsi="Times New Roman" w:cs="Times New Roman"/>
          <w:lang w:val="fr-CA"/>
        </w:rPr>
      </w:pPr>
    </w:p>
    <w:p w14:paraId="2E7809B7" w14:textId="77777777" w:rsidR="004D0AB6" w:rsidRPr="000B5082" w:rsidRDefault="000B5082">
      <w:pPr>
        <w:jc w:val="center"/>
        <w:rPr>
          <w:rFonts w:ascii="Times New Roman" w:eastAsia="Times New Roman" w:hAnsi="Times New Roman" w:cs="Times New Roman"/>
          <w:lang w:val="fr-CA"/>
        </w:rPr>
      </w:pPr>
      <w:r w:rsidRPr="000B5082">
        <w:rPr>
          <w:noProof/>
          <w:lang w:val="fr-CA"/>
        </w:rPr>
        <w:drawing>
          <wp:inline distT="114300" distB="114300" distL="114300" distR="114300" wp14:anchorId="565406D2" wp14:editId="70967A81">
            <wp:extent cx="2961284" cy="1462088"/>
            <wp:effectExtent l="0" t="0" r="0" b="0"/>
            <wp:docPr id="21" name="image41.png"/>
            <wp:cNvGraphicFramePr/>
            <a:graphic xmlns:a="http://schemas.openxmlformats.org/drawingml/2006/main">
              <a:graphicData uri="http://schemas.openxmlformats.org/drawingml/2006/picture">
                <pic:pic xmlns:pic="http://schemas.openxmlformats.org/drawingml/2006/picture">
                  <pic:nvPicPr>
                    <pic:cNvPr id="0" name="image41.png"/>
                    <pic:cNvPicPr preferRelativeResize="0"/>
                  </pic:nvPicPr>
                  <pic:blipFill>
                    <a:blip r:embed="rId16"/>
                    <a:srcRect/>
                    <a:stretch>
                      <a:fillRect/>
                    </a:stretch>
                  </pic:blipFill>
                  <pic:spPr>
                    <a:xfrm>
                      <a:off x="0" y="0"/>
                      <a:ext cx="2961284" cy="1462088"/>
                    </a:xfrm>
                    <a:prstGeom prst="rect">
                      <a:avLst/>
                    </a:prstGeom>
                    <a:ln/>
                  </pic:spPr>
                </pic:pic>
              </a:graphicData>
            </a:graphic>
          </wp:inline>
        </w:drawing>
      </w:r>
    </w:p>
    <w:p w14:paraId="4E198087" w14:textId="77777777" w:rsidR="004D0AB6" w:rsidRPr="000B5082" w:rsidRDefault="000B5082">
      <w:pPr>
        <w:ind w:firstLine="720"/>
        <w:jc w:val="both"/>
        <w:rPr>
          <w:rFonts w:ascii="Times New Roman" w:eastAsia="Times New Roman" w:hAnsi="Times New Roman" w:cs="Times New Roman"/>
          <w:color w:val="212121"/>
          <w:lang w:val="fr-CA"/>
        </w:rPr>
      </w:pPr>
      <w:r w:rsidRPr="000B5082">
        <w:rPr>
          <w:rFonts w:ascii="Times New Roman" w:eastAsia="Times New Roman" w:hAnsi="Times New Roman" w:cs="Times New Roman"/>
          <w:color w:val="212121"/>
          <w:lang w:val="fr-CA"/>
        </w:rPr>
        <w:t>Exemple: Cascade de signalisation des MAPK</w:t>
      </w:r>
    </w:p>
    <w:p w14:paraId="4364AD15" w14:textId="77777777" w:rsidR="004D0AB6" w:rsidRPr="000B5082" w:rsidRDefault="000B5082">
      <w:pPr>
        <w:numPr>
          <w:ilvl w:val="0"/>
          <w:numId w:val="7"/>
        </w:numPr>
        <w:ind w:right="40" w:hanging="360"/>
        <w:contextualSpacing/>
        <w:jc w:val="both"/>
        <w:rPr>
          <w:rFonts w:ascii="Times New Roman" w:eastAsia="Times New Roman" w:hAnsi="Times New Roman" w:cs="Times New Roman"/>
          <w:color w:val="212121"/>
          <w:lang w:val="fr-CA"/>
        </w:rPr>
      </w:pPr>
      <w:r w:rsidRPr="000B5082">
        <w:rPr>
          <w:rFonts w:ascii="Times New Roman" w:eastAsia="Times New Roman" w:hAnsi="Times New Roman" w:cs="Times New Roman"/>
          <w:color w:val="212121"/>
          <w:highlight w:val="white"/>
          <w:lang w:val="fr-CA"/>
        </w:rPr>
        <w:t>Lorsque les ligands du facteur de croissance se lient à l</w:t>
      </w:r>
      <w:r w:rsidRPr="000B5082">
        <w:rPr>
          <w:rFonts w:ascii="Times New Roman" w:eastAsia="Times New Roman" w:hAnsi="Times New Roman" w:cs="Times New Roman"/>
          <w:color w:val="212121"/>
          <w:highlight w:val="white"/>
          <w:lang w:val="fr-CA"/>
        </w:rPr>
        <w:t xml:space="preserve">eurs récepteurs, les récepteurs s'accouplent et agissent comme des kinases, en attachant des groupes phosphate à leurs queue intracellulaires. </w:t>
      </w:r>
    </w:p>
    <w:p w14:paraId="0850EA01" w14:textId="77777777" w:rsidR="004D0AB6" w:rsidRPr="000B5082" w:rsidRDefault="000B5082">
      <w:pPr>
        <w:numPr>
          <w:ilvl w:val="0"/>
          <w:numId w:val="7"/>
        </w:numPr>
        <w:ind w:right="40" w:hanging="360"/>
        <w:contextualSpacing/>
        <w:jc w:val="both"/>
        <w:rPr>
          <w:rFonts w:ascii="Times New Roman" w:eastAsia="Times New Roman" w:hAnsi="Times New Roman" w:cs="Times New Roman"/>
          <w:color w:val="212121"/>
          <w:lang w:val="fr-CA"/>
        </w:rPr>
      </w:pPr>
      <w:r w:rsidRPr="000B5082">
        <w:rPr>
          <w:rFonts w:ascii="Times New Roman" w:eastAsia="Times New Roman" w:hAnsi="Times New Roman" w:cs="Times New Roman"/>
          <w:color w:val="212121"/>
          <w:highlight w:val="white"/>
          <w:lang w:val="fr-CA"/>
        </w:rPr>
        <w:t>Les récepteurs activés déclenchent une série d'événements qui mène à l’activation la kinase Raf.</w:t>
      </w:r>
    </w:p>
    <w:p w14:paraId="232DE701" w14:textId="77777777" w:rsidR="004D0AB6" w:rsidRPr="000B5082" w:rsidRDefault="000B5082">
      <w:pPr>
        <w:numPr>
          <w:ilvl w:val="0"/>
          <w:numId w:val="7"/>
        </w:numPr>
        <w:ind w:right="40" w:hanging="360"/>
        <w:contextualSpacing/>
        <w:jc w:val="both"/>
        <w:rPr>
          <w:rFonts w:ascii="Times New Roman" w:eastAsia="Times New Roman" w:hAnsi="Times New Roman" w:cs="Times New Roman"/>
          <w:color w:val="212121"/>
          <w:lang w:val="fr-CA"/>
        </w:rPr>
      </w:pPr>
      <w:r w:rsidRPr="000B5082">
        <w:rPr>
          <w:rFonts w:ascii="Times New Roman" w:eastAsia="Times New Roman" w:hAnsi="Times New Roman" w:cs="Times New Roman"/>
          <w:color w:val="212121"/>
          <w:highlight w:val="white"/>
          <w:lang w:val="fr-CA"/>
        </w:rPr>
        <w:t>Raf actif phosp</w:t>
      </w:r>
      <w:r w:rsidRPr="000B5082">
        <w:rPr>
          <w:rFonts w:ascii="Times New Roman" w:eastAsia="Times New Roman" w:hAnsi="Times New Roman" w:cs="Times New Roman"/>
          <w:color w:val="212121"/>
          <w:highlight w:val="white"/>
          <w:lang w:val="fr-CA"/>
        </w:rPr>
        <w:t>horyle et active le MEK, qui phosphoryle et active les ERK.</w:t>
      </w:r>
    </w:p>
    <w:p w14:paraId="3303E582" w14:textId="77777777" w:rsidR="004D0AB6" w:rsidRPr="000B5082" w:rsidRDefault="000B5082">
      <w:pPr>
        <w:numPr>
          <w:ilvl w:val="0"/>
          <w:numId w:val="7"/>
        </w:numPr>
        <w:ind w:right="40" w:hanging="360"/>
        <w:contextualSpacing/>
        <w:jc w:val="both"/>
        <w:rPr>
          <w:rFonts w:ascii="Times New Roman" w:eastAsia="Times New Roman" w:hAnsi="Times New Roman" w:cs="Times New Roman"/>
          <w:color w:val="212121"/>
          <w:lang w:val="fr-CA"/>
        </w:rPr>
      </w:pPr>
      <w:r w:rsidRPr="000B5082">
        <w:rPr>
          <w:rFonts w:ascii="Times New Roman" w:eastAsia="Times New Roman" w:hAnsi="Times New Roman" w:cs="Times New Roman"/>
          <w:color w:val="212121"/>
          <w:highlight w:val="white"/>
          <w:lang w:val="fr-CA"/>
        </w:rPr>
        <w:t>Les ERK phosphorylent et activent une variété de molécules cibles. Ceux-ci comprennent des facteurs de transcription, ainsi que des cibles cytoplasmiques. Les cibles activées favorisent la croissa</w:t>
      </w:r>
      <w:r w:rsidRPr="000B5082">
        <w:rPr>
          <w:rFonts w:ascii="Times New Roman" w:eastAsia="Times New Roman" w:hAnsi="Times New Roman" w:cs="Times New Roman"/>
          <w:color w:val="212121"/>
          <w:highlight w:val="white"/>
          <w:lang w:val="fr-CA"/>
        </w:rPr>
        <w:t>nce et la division des cellules.</w:t>
      </w:r>
    </w:p>
    <w:p w14:paraId="37888564" w14:textId="77777777" w:rsidR="004D0AB6" w:rsidRPr="000B5082" w:rsidRDefault="000B5082">
      <w:pPr>
        <w:ind w:right="40"/>
        <w:jc w:val="center"/>
        <w:rPr>
          <w:rFonts w:ascii="Times New Roman" w:eastAsia="Times New Roman" w:hAnsi="Times New Roman" w:cs="Times New Roman"/>
          <w:color w:val="212121"/>
          <w:lang w:val="fr-CA"/>
        </w:rPr>
      </w:pPr>
      <w:r w:rsidRPr="000B5082">
        <w:rPr>
          <w:noProof/>
          <w:lang w:val="fr-CA"/>
        </w:rPr>
        <w:drawing>
          <wp:inline distT="114300" distB="114300" distL="114300" distR="114300" wp14:anchorId="57E6AD5C" wp14:editId="47957E0F">
            <wp:extent cx="2348340" cy="2062163"/>
            <wp:effectExtent l="0" t="0" r="0" b="0"/>
            <wp:docPr id="4"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17"/>
                    <a:srcRect/>
                    <a:stretch>
                      <a:fillRect/>
                    </a:stretch>
                  </pic:blipFill>
                  <pic:spPr>
                    <a:xfrm>
                      <a:off x="0" y="0"/>
                      <a:ext cx="2348340" cy="2062163"/>
                    </a:xfrm>
                    <a:prstGeom prst="rect">
                      <a:avLst/>
                    </a:prstGeom>
                    <a:ln/>
                  </pic:spPr>
                </pic:pic>
              </a:graphicData>
            </a:graphic>
          </wp:inline>
        </w:drawing>
      </w:r>
    </w:p>
    <w:p w14:paraId="0B722D04" w14:textId="77777777" w:rsidR="004D0AB6" w:rsidRPr="000B5082" w:rsidRDefault="000B5082">
      <w:pPr>
        <w:numPr>
          <w:ilvl w:val="0"/>
          <w:numId w:val="10"/>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 xml:space="preserve">AMP cyclique (AMPc): </w:t>
      </w:r>
      <w:r w:rsidRPr="000B5082">
        <w:rPr>
          <w:rFonts w:ascii="Times New Roman" w:eastAsia="Times New Roman" w:hAnsi="Times New Roman" w:cs="Times New Roman"/>
          <w:color w:val="212121"/>
          <w:highlight w:val="white"/>
          <w:lang w:val="fr-CA"/>
        </w:rPr>
        <w:t>Un second messager utilisé est l'adénosine monophosphate cyclique , une petite molécule fabriquée à partir d'ATP. En réponse aux signaux, une enzyme appelée adenylyl cyclase convertit l'ATP en AMPc, en éliminant deux phosphates et en reliant le phosphate r</w:t>
      </w:r>
      <w:r w:rsidRPr="000B5082">
        <w:rPr>
          <w:rFonts w:ascii="Times New Roman" w:eastAsia="Times New Roman" w:hAnsi="Times New Roman" w:cs="Times New Roman"/>
          <w:color w:val="212121"/>
          <w:highlight w:val="white"/>
          <w:lang w:val="fr-CA"/>
        </w:rPr>
        <w:t xml:space="preserve">estant au sucre en forme d'anneau. Une fois généré, l'AMPc peut activer une enzyme appelée protéine </w:t>
      </w:r>
      <w:r w:rsidRPr="000B5082">
        <w:rPr>
          <w:rFonts w:ascii="Times New Roman" w:eastAsia="Times New Roman" w:hAnsi="Times New Roman" w:cs="Times New Roman"/>
          <w:color w:val="212121"/>
          <w:highlight w:val="white"/>
          <w:lang w:val="fr-CA"/>
        </w:rPr>
        <w:lastRenderedPageBreak/>
        <w:t>kinase A (PKA), lui permettant de phosphoryler ses cibles et de passer le long du signal. La protéine kinase A se trouve dans une variété de types de cellul</w:t>
      </w:r>
      <w:r w:rsidRPr="000B5082">
        <w:rPr>
          <w:rFonts w:ascii="Times New Roman" w:eastAsia="Times New Roman" w:hAnsi="Times New Roman" w:cs="Times New Roman"/>
          <w:color w:val="212121"/>
          <w:highlight w:val="white"/>
          <w:lang w:val="fr-CA"/>
        </w:rPr>
        <w:t>es, et elle a différentes protéines cibles dans chacune d'elles. Cela permet au même second messagerie d'AMPc de produire des réponses différentes dans différents contextes.</w:t>
      </w:r>
    </w:p>
    <w:p w14:paraId="3635A435" w14:textId="77777777" w:rsidR="004D0AB6" w:rsidRPr="000B5082" w:rsidRDefault="000B5082">
      <w:pPr>
        <w:jc w:val="center"/>
        <w:rPr>
          <w:rFonts w:ascii="Times New Roman" w:eastAsia="Times New Roman" w:hAnsi="Times New Roman" w:cs="Times New Roman"/>
          <w:color w:val="212121"/>
          <w:highlight w:val="white"/>
          <w:lang w:val="fr-CA"/>
        </w:rPr>
      </w:pPr>
      <w:r w:rsidRPr="000B5082">
        <w:rPr>
          <w:rFonts w:ascii="Times New Roman" w:eastAsia="Times New Roman" w:hAnsi="Times New Roman" w:cs="Times New Roman"/>
          <w:color w:val="212121"/>
          <w:highlight w:val="white"/>
          <w:lang w:val="fr-CA"/>
        </w:rPr>
        <w:br/>
      </w:r>
      <w:r w:rsidRPr="000B5082">
        <w:rPr>
          <w:noProof/>
          <w:lang w:val="fr-CA"/>
        </w:rPr>
        <w:drawing>
          <wp:inline distT="114300" distB="114300" distL="114300" distR="114300" wp14:anchorId="4D11E4E8" wp14:editId="428781DB">
            <wp:extent cx="2246608" cy="2366963"/>
            <wp:effectExtent l="0" t="0" r="0" b="0"/>
            <wp:docPr id="19" name="image39.png"/>
            <wp:cNvGraphicFramePr/>
            <a:graphic xmlns:a="http://schemas.openxmlformats.org/drawingml/2006/main">
              <a:graphicData uri="http://schemas.openxmlformats.org/drawingml/2006/picture">
                <pic:pic xmlns:pic="http://schemas.openxmlformats.org/drawingml/2006/picture">
                  <pic:nvPicPr>
                    <pic:cNvPr id="0" name="image39.png"/>
                    <pic:cNvPicPr preferRelativeResize="0"/>
                  </pic:nvPicPr>
                  <pic:blipFill>
                    <a:blip r:embed="rId18"/>
                    <a:srcRect/>
                    <a:stretch>
                      <a:fillRect/>
                    </a:stretch>
                  </pic:blipFill>
                  <pic:spPr>
                    <a:xfrm>
                      <a:off x="0" y="0"/>
                      <a:ext cx="2246608" cy="2366963"/>
                    </a:xfrm>
                    <a:prstGeom prst="rect">
                      <a:avLst/>
                    </a:prstGeom>
                    <a:ln/>
                  </pic:spPr>
                </pic:pic>
              </a:graphicData>
            </a:graphic>
          </wp:inline>
        </w:drawing>
      </w:r>
    </w:p>
    <w:p w14:paraId="42E9501B" w14:textId="77777777" w:rsidR="004D0AB6" w:rsidRPr="000B5082" w:rsidRDefault="000B5082">
      <w:pPr>
        <w:ind w:left="720" w:right="40"/>
        <w:jc w:val="both"/>
        <w:rPr>
          <w:rFonts w:ascii="Times New Roman" w:eastAsia="Times New Roman" w:hAnsi="Times New Roman" w:cs="Times New Roman"/>
          <w:color w:val="212121"/>
          <w:lang w:val="fr-CA"/>
        </w:rPr>
      </w:pPr>
      <w:r w:rsidRPr="000B5082">
        <w:rPr>
          <w:rFonts w:ascii="Times New Roman" w:eastAsia="Times New Roman" w:hAnsi="Times New Roman" w:cs="Times New Roman"/>
          <w:color w:val="212121"/>
          <w:lang w:val="fr-CA"/>
        </w:rPr>
        <w:t xml:space="preserve">La signalisation d'AMPc est désactivée par des enzymes appelées </w:t>
      </w:r>
      <w:r w:rsidRPr="000B5082">
        <w:rPr>
          <w:rFonts w:ascii="Times New Roman" w:eastAsia="Times New Roman" w:hAnsi="Times New Roman" w:cs="Times New Roman"/>
          <w:b/>
          <w:color w:val="212121"/>
          <w:lang w:val="fr-CA"/>
        </w:rPr>
        <w:t>phosphodiestéra</w:t>
      </w:r>
      <w:r w:rsidRPr="000B5082">
        <w:rPr>
          <w:rFonts w:ascii="Times New Roman" w:eastAsia="Times New Roman" w:hAnsi="Times New Roman" w:cs="Times New Roman"/>
          <w:b/>
          <w:color w:val="212121"/>
          <w:lang w:val="fr-CA"/>
        </w:rPr>
        <w:t>ses</w:t>
      </w:r>
      <w:r w:rsidRPr="000B5082">
        <w:rPr>
          <w:rFonts w:ascii="Times New Roman" w:eastAsia="Times New Roman" w:hAnsi="Times New Roman" w:cs="Times New Roman"/>
          <w:color w:val="212121"/>
          <w:lang w:val="fr-CA"/>
        </w:rPr>
        <w:t>, qui cassent l'anneau d'AMPc et le transforment en adénosine monophosphate (AMP).</w:t>
      </w:r>
    </w:p>
    <w:p w14:paraId="0BB30742" w14:textId="77777777" w:rsidR="004D0AB6" w:rsidRPr="000B5082" w:rsidRDefault="004D0AB6">
      <w:pPr>
        <w:jc w:val="both"/>
        <w:rPr>
          <w:rFonts w:ascii="Times New Roman" w:eastAsia="Times New Roman" w:hAnsi="Times New Roman" w:cs="Times New Roman"/>
          <w:color w:val="212121"/>
          <w:highlight w:val="white"/>
          <w:lang w:val="fr-CA"/>
        </w:rPr>
      </w:pPr>
    </w:p>
    <w:p w14:paraId="6E2A3495" w14:textId="77777777" w:rsidR="004D0AB6" w:rsidRPr="000B5082" w:rsidRDefault="000B5082">
      <w:pPr>
        <w:numPr>
          <w:ilvl w:val="0"/>
          <w:numId w:val="10"/>
        </w:numPr>
        <w:ind w:hanging="360"/>
        <w:contextualSpacing/>
        <w:jc w:val="both"/>
        <w:rPr>
          <w:rFonts w:ascii="Times New Roman" w:eastAsia="Times New Roman" w:hAnsi="Times New Roman" w:cs="Times New Roman"/>
          <w:color w:val="212121"/>
          <w:lang w:val="fr-CA"/>
        </w:rPr>
      </w:pPr>
      <w:r w:rsidRPr="000B5082">
        <w:rPr>
          <w:rFonts w:ascii="Times New Roman" w:eastAsia="Times New Roman" w:hAnsi="Times New Roman" w:cs="Times New Roman"/>
          <w:color w:val="212121"/>
          <w:lang w:val="fr-CA"/>
        </w:rPr>
        <w:t>Les phosphates d’inositol: Un lipide dans ce groupe qui est particulièrement important dans la signalisation s'appelle le PIP</w:t>
      </w:r>
      <w:r w:rsidRPr="000B5082">
        <w:rPr>
          <w:rFonts w:ascii="Times New Roman" w:eastAsia="Times New Roman" w:hAnsi="Times New Roman" w:cs="Times New Roman"/>
          <w:color w:val="212121"/>
          <w:vertAlign w:val="subscript"/>
          <w:lang w:val="fr-CA"/>
        </w:rPr>
        <w:t>2</w:t>
      </w:r>
      <w:r w:rsidRPr="000B5082">
        <w:rPr>
          <w:rFonts w:ascii="Times New Roman" w:eastAsia="Times New Roman" w:hAnsi="Times New Roman" w:cs="Times New Roman"/>
          <w:color w:val="212121"/>
          <w:lang w:val="fr-CA"/>
        </w:rPr>
        <w:t xml:space="preserve">. </w:t>
      </w:r>
      <w:r w:rsidRPr="000B5082">
        <w:rPr>
          <w:rFonts w:ascii="Times New Roman" w:eastAsia="Times New Roman" w:hAnsi="Times New Roman" w:cs="Times New Roman"/>
          <w:color w:val="212121"/>
          <w:highlight w:val="white"/>
          <w:lang w:val="fr-CA"/>
        </w:rPr>
        <w:t>En réponse à un signal, une enzyme appelé</w:t>
      </w:r>
      <w:r w:rsidRPr="000B5082">
        <w:rPr>
          <w:rFonts w:ascii="Times New Roman" w:eastAsia="Times New Roman" w:hAnsi="Times New Roman" w:cs="Times New Roman"/>
          <w:color w:val="212121"/>
          <w:highlight w:val="white"/>
          <w:lang w:val="fr-CA"/>
        </w:rPr>
        <w:t>e phospholipase C coupe le</w:t>
      </w:r>
      <w:r w:rsidRPr="000B5082">
        <w:rPr>
          <w:rFonts w:ascii="Times New Roman" w:eastAsia="Times New Roman" w:hAnsi="Times New Roman" w:cs="Times New Roman"/>
          <w:color w:val="212121"/>
          <w:lang w:val="fr-CA"/>
        </w:rPr>
        <w:t xml:space="preserve"> PIP</w:t>
      </w:r>
      <w:r w:rsidRPr="000B5082">
        <w:rPr>
          <w:rFonts w:ascii="Times New Roman" w:eastAsia="Times New Roman" w:hAnsi="Times New Roman" w:cs="Times New Roman"/>
          <w:color w:val="212121"/>
          <w:vertAlign w:val="subscript"/>
          <w:lang w:val="fr-CA"/>
        </w:rPr>
        <w:t>2</w:t>
      </w:r>
      <w:r w:rsidRPr="000B5082">
        <w:rPr>
          <w:rFonts w:ascii="Times New Roman" w:eastAsia="Times New Roman" w:hAnsi="Times New Roman" w:cs="Times New Roman"/>
          <w:color w:val="212121"/>
          <w:lang w:val="fr-CA"/>
        </w:rPr>
        <w:t xml:space="preserve"> en deux fragments, DAG et IP</w:t>
      </w:r>
      <w:r w:rsidRPr="000B5082">
        <w:rPr>
          <w:rFonts w:ascii="Times New Roman" w:eastAsia="Times New Roman" w:hAnsi="Times New Roman" w:cs="Times New Roman"/>
          <w:color w:val="212121"/>
          <w:vertAlign w:val="subscript"/>
          <w:lang w:val="fr-CA"/>
        </w:rPr>
        <w:t>3</w:t>
      </w:r>
      <w:r w:rsidRPr="000B5082">
        <w:rPr>
          <w:rFonts w:ascii="Times New Roman" w:eastAsia="Times New Roman" w:hAnsi="Times New Roman" w:cs="Times New Roman"/>
          <w:color w:val="212121"/>
          <w:lang w:val="fr-CA"/>
        </w:rPr>
        <w:t>. DAG reste dans la membrane plasmique et peut activer une cible appelée protéine kinase C (PKC), ce qui lui permet de phosphoryler ses propres cibles. Le IP</w:t>
      </w:r>
      <w:r w:rsidRPr="000B5082">
        <w:rPr>
          <w:rFonts w:ascii="Times New Roman" w:eastAsia="Times New Roman" w:hAnsi="Times New Roman" w:cs="Times New Roman"/>
          <w:color w:val="212121"/>
          <w:vertAlign w:val="subscript"/>
          <w:lang w:val="fr-CA"/>
        </w:rPr>
        <w:t>3</w:t>
      </w:r>
      <w:r w:rsidRPr="000B5082">
        <w:rPr>
          <w:rFonts w:ascii="Times New Roman" w:eastAsia="Times New Roman" w:hAnsi="Times New Roman" w:cs="Times New Roman"/>
          <w:color w:val="212121"/>
          <w:lang w:val="fr-CA"/>
        </w:rPr>
        <w:t xml:space="preserve"> se diffuse dans le cytoplasme et peu</w:t>
      </w:r>
      <w:r w:rsidRPr="000B5082">
        <w:rPr>
          <w:rFonts w:ascii="Times New Roman" w:eastAsia="Times New Roman" w:hAnsi="Times New Roman" w:cs="Times New Roman"/>
          <w:color w:val="212121"/>
          <w:lang w:val="fr-CA"/>
        </w:rPr>
        <w:t>t se lier à des canaux de calcium dans le réticulum endoplasmique, en libérant le Ca</w:t>
      </w:r>
      <w:r w:rsidRPr="000B5082">
        <w:rPr>
          <w:rFonts w:ascii="Times New Roman" w:eastAsia="Times New Roman" w:hAnsi="Times New Roman" w:cs="Times New Roman"/>
          <w:color w:val="212121"/>
          <w:vertAlign w:val="superscript"/>
          <w:lang w:val="fr-CA"/>
        </w:rPr>
        <w:t>2+</w:t>
      </w:r>
      <w:r w:rsidRPr="000B5082">
        <w:rPr>
          <w:rFonts w:ascii="Times New Roman" w:eastAsia="Times New Roman" w:hAnsi="Times New Roman" w:cs="Times New Roman"/>
          <w:color w:val="212121"/>
          <w:lang w:val="fr-CA"/>
        </w:rPr>
        <w:t>, se qui continue la cascade de signaux.</w:t>
      </w:r>
    </w:p>
    <w:p w14:paraId="64302E84" w14:textId="77777777" w:rsidR="004D0AB6" w:rsidRPr="000B5082" w:rsidRDefault="000B5082">
      <w:pPr>
        <w:jc w:val="center"/>
        <w:rPr>
          <w:rFonts w:ascii="Times New Roman" w:eastAsia="Times New Roman" w:hAnsi="Times New Roman" w:cs="Times New Roman"/>
          <w:color w:val="212121"/>
          <w:highlight w:val="white"/>
          <w:lang w:val="fr-CA"/>
        </w:rPr>
      </w:pPr>
      <w:r w:rsidRPr="000B5082">
        <w:rPr>
          <w:noProof/>
          <w:lang w:val="fr-CA"/>
        </w:rPr>
        <w:drawing>
          <wp:inline distT="114300" distB="114300" distL="114300" distR="114300" wp14:anchorId="638D85C6" wp14:editId="4751E741">
            <wp:extent cx="2548086" cy="2090738"/>
            <wp:effectExtent l="0" t="0" r="0" b="0"/>
            <wp:docPr id="14"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19"/>
                    <a:srcRect/>
                    <a:stretch>
                      <a:fillRect/>
                    </a:stretch>
                  </pic:blipFill>
                  <pic:spPr>
                    <a:xfrm>
                      <a:off x="0" y="0"/>
                      <a:ext cx="2548086" cy="2090738"/>
                    </a:xfrm>
                    <a:prstGeom prst="rect">
                      <a:avLst/>
                    </a:prstGeom>
                    <a:ln/>
                  </pic:spPr>
                </pic:pic>
              </a:graphicData>
            </a:graphic>
          </wp:inline>
        </w:drawing>
      </w:r>
    </w:p>
    <w:p w14:paraId="2775577F" w14:textId="77777777" w:rsidR="004D0AB6" w:rsidRPr="000B5082" w:rsidRDefault="000B5082">
      <w:pPr>
        <w:jc w:val="both"/>
        <w:rPr>
          <w:rFonts w:ascii="Times New Roman" w:eastAsia="Times New Roman" w:hAnsi="Times New Roman" w:cs="Times New Roman"/>
          <w:u w:val="single"/>
          <w:lang w:val="fr-CA"/>
        </w:rPr>
      </w:pPr>
      <w:r w:rsidRPr="000B5082">
        <w:rPr>
          <w:rFonts w:ascii="Times New Roman" w:eastAsia="Times New Roman" w:hAnsi="Times New Roman" w:cs="Times New Roman"/>
          <w:u w:val="single"/>
          <w:lang w:val="fr-CA"/>
        </w:rPr>
        <w:t xml:space="preserve">Mécanisme d’activation de la protéine G monomérique Ras: </w:t>
      </w:r>
    </w:p>
    <w:p w14:paraId="5BAA58EF" w14:textId="77777777" w:rsidR="004D0AB6" w:rsidRPr="000B5082" w:rsidRDefault="000B5082">
      <w:pPr>
        <w:jc w:val="both"/>
        <w:rPr>
          <w:rFonts w:ascii="Times New Roman" w:eastAsia="Times New Roman" w:hAnsi="Times New Roman" w:cs="Times New Roman"/>
          <w:color w:val="212121"/>
          <w:lang w:val="fr-CA"/>
        </w:rPr>
      </w:pPr>
      <w:r w:rsidRPr="000B5082">
        <w:rPr>
          <w:rFonts w:ascii="Times New Roman" w:eastAsia="Times New Roman" w:hAnsi="Times New Roman" w:cs="Times New Roman"/>
          <w:color w:val="212121"/>
          <w:lang w:val="fr-CA"/>
        </w:rPr>
        <w:t>Ras est une composante importante de la voie de transduction du signa</w:t>
      </w:r>
      <w:r w:rsidRPr="000B5082">
        <w:rPr>
          <w:rFonts w:ascii="Times New Roman" w:eastAsia="Times New Roman" w:hAnsi="Times New Roman" w:cs="Times New Roman"/>
          <w:color w:val="212121"/>
          <w:lang w:val="fr-CA"/>
        </w:rPr>
        <w:t>l utilisée par les facteurs de croissance pour initier la croissance et la différenciation des cellules. L'activation cellulaire avec des facteurs de croissance tels que le facteur de croissance épidermique (GEF) induit Ras pour passer d'un état inactif au</w:t>
      </w:r>
      <w:r w:rsidRPr="000B5082">
        <w:rPr>
          <w:rFonts w:ascii="Times New Roman" w:eastAsia="Times New Roman" w:hAnsi="Times New Roman" w:cs="Times New Roman"/>
          <w:color w:val="212121"/>
          <w:lang w:val="fr-CA"/>
        </w:rPr>
        <w:t xml:space="preserve"> GDP à un état actif GTP. Après sa liaison au GEF, la tyrosine kinase du récepteur GEF est activée, conduisant à une autophosphorylation des récepteurs sur des résidus de tyrosine multiples. Les </w:t>
      </w:r>
      <w:r w:rsidRPr="000B5082">
        <w:rPr>
          <w:rFonts w:ascii="Times New Roman" w:eastAsia="Times New Roman" w:hAnsi="Times New Roman" w:cs="Times New Roman"/>
          <w:color w:val="212121"/>
          <w:lang w:val="fr-CA"/>
        </w:rPr>
        <w:lastRenderedPageBreak/>
        <w:t>protéines de signalisation se lient ensuite à ces résidus, en</w:t>
      </w:r>
      <w:r w:rsidRPr="000B5082">
        <w:rPr>
          <w:rFonts w:ascii="Times New Roman" w:eastAsia="Times New Roman" w:hAnsi="Times New Roman" w:cs="Times New Roman"/>
          <w:color w:val="212121"/>
          <w:lang w:val="fr-CA"/>
        </w:rPr>
        <w:t xml:space="preserve"> déclenchant de multiples cascades de signalisation. Une de ces protéines de domaine SH</w:t>
      </w:r>
      <w:r w:rsidRPr="000B5082">
        <w:rPr>
          <w:rFonts w:ascii="Times New Roman" w:eastAsia="Times New Roman" w:hAnsi="Times New Roman" w:cs="Times New Roman"/>
          <w:color w:val="212121"/>
          <w:vertAlign w:val="subscript"/>
          <w:lang w:val="fr-CA"/>
        </w:rPr>
        <w:t>2</w:t>
      </w:r>
      <w:r w:rsidRPr="000B5082">
        <w:rPr>
          <w:rFonts w:ascii="Times New Roman" w:eastAsia="Times New Roman" w:hAnsi="Times New Roman" w:cs="Times New Roman"/>
          <w:color w:val="212121"/>
          <w:lang w:val="fr-CA"/>
        </w:rPr>
        <w:t>, Grb</w:t>
      </w:r>
      <w:r w:rsidRPr="000B5082">
        <w:rPr>
          <w:rFonts w:ascii="Times New Roman" w:eastAsia="Times New Roman" w:hAnsi="Times New Roman" w:cs="Times New Roman"/>
          <w:color w:val="212121"/>
          <w:vertAlign w:val="subscript"/>
          <w:lang w:val="fr-CA"/>
        </w:rPr>
        <w:t>2</w:t>
      </w:r>
      <w:r w:rsidRPr="000B5082">
        <w:rPr>
          <w:rFonts w:ascii="Times New Roman" w:eastAsia="Times New Roman" w:hAnsi="Times New Roman" w:cs="Times New Roman"/>
          <w:color w:val="212121"/>
          <w:lang w:val="fr-CA"/>
        </w:rPr>
        <w:t xml:space="preserve">, existe dans le cytoplasme dans un complexe préformé avec une seconde protéine, SOS, qui peut catalyser l'échange de Ras GTP / GDP. Après la stimulation du facteur de croissance, le récepteur GEF phosphorylé par la tyrosine lie le complexe Grb2 / SOS. En </w:t>
      </w:r>
      <w:r w:rsidRPr="000B5082">
        <w:rPr>
          <w:rFonts w:ascii="Times New Roman" w:eastAsia="Times New Roman" w:hAnsi="Times New Roman" w:cs="Times New Roman"/>
          <w:color w:val="212121"/>
          <w:lang w:val="fr-CA"/>
        </w:rPr>
        <w:t xml:space="preserve">revanche, le récepteur de l'insuline ne lie pas directement Grb2 mais induit plutôt la phosphorylation de la tyrosine de deux protéines, qui lient le complexe Grb2 / SOS. Une fois que Ras est activé, il stimule une cascade de protéines kinases. </w:t>
      </w:r>
    </w:p>
    <w:p w14:paraId="3122B2B3" w14:textId="77777777" w:rsidR="004D0AB6" w:rsidRPr="000B5082" w:rsidRDefault="000B5082">
      <w:pPr>
        <w:jc w:val="center"/>
        <w:rPr>
          <w:rFonts w:ascii="Times New Roman" w:eastAsia="Times New Roman" w:hAnsi="Times New Roman" w:cs="Times New Roman"/>
          <w:color w:val="212121"/>
          <w:lang w:val="fr-CA"/>
        </w:rPr>
      </w:pPr>
      <w:r w:rsidRPr="000B5082">
        <w:rPr>
          <w:noProof/>
          <w:lang w:val="fr-CA"/>
        </w:rPr>
        <w:drawing>
          <wp:inline distT="114300" distB="114300" distL="114300" distR="114300" wp14:anchorId="2C2178CA" wp14:editId="1B239E80">
            <wp:extent cx="3776663" cy="2221210"/>
            <wp:effectExtent l="0" t="0" r="0" b="0"/>
            <wp:docPr id="17" name="image36.png"/>
            <wp:cNvGraphicFramePr/>
            <a:graphic xmlns:a="http://schemas.openxmlformats.org/drawingml/2006/main">
              <a:graphicData uri="http://schemas.openxmlformats.org/drawingml/2006/picture">
                <pic:pic xmlns:pic="http://schemas.openxmlformats.org/drawingml/2006/picture">
                  <pic:nvPicPr>
                    <pic:cNvPr id="0" name="image36.png"/>
                    <pic:cNvPicPr preferRelativeResize="0"/>
                  </pic:nvPicPr>
                  <pic:blipFill>
                    <a:blip r:embed="rId20"/>
                    <a:srcRect/>
                    <a:stretch>
                      <a:fillRect/>
                    </a:stretch>
                  </pic:blipFill>
                  <pic:spPr>
                    <a:xfrm>
                      <a:off x="0" y="0"/>
                      <a:ext cx="3776663" cy="2221210"/>
                    </a:xfrm>
                    <a:prstGeom prst="rect">
                      <a:avLst/>
                    </a:prstGeom>
                    <a:ln/>
                  </pic:spPr>
                </pic:pic>
              </a:graphicData>
            </a:graphic>
          </wp:inline>
        </w:drawing>
      </w:r>
    </w:p>
    <w:p w14:paraId="1B2E49C2" w14:textId="77777777" w:rsidR="004D0AB6" w:rsidRPr="000B5082" w:rsidRDefault="000B5082">
      <w:pPr>
        <w:jc w:val="both"/>
        <w:rPr>
          <w:rFonts w:ascii="Times New Roman" w:eastAsia="Times New Roman" w:hAnsi="Times New Roman" w:cs="Times New Roman"/>
          <w:color w:val="212121"/>
          <w:lang w:val="fr-CA"/>
        </w:rPr>
      </w:pPr>
      <w:r w:rsidRPr="000B5082">
        <w:rPr>
          <w:rFonts w:ascii="Times New Roman" w:eastAsia="Times New Roman" w:hAnsi="Times New Roman" w:cs="Times New Roman"/>
          <w:color w:val="212121"/>
          <w:u w:val="single"/>
          <w:lang w:val="fr-CA"/>
        </w:rPr>
        <w:t>Cascade d’amplification ( cascade de phosphorylation):</w:t>
      </w:r>
      <w:r w:rsidRPr="000B5082">
        <w:rPr>
          <w:rFonts w:ascii="Times New Roman" w:eastAsia="Times New Roman" w:hAnsi="Times New Roman" w:cs="Times New Roman"/>
          <w:color w:val="212121"/>
          <w:lang w:val="fr-CA"/>
        </w:rPr>
        <w:t xml:space="preserve"> *PAY IT FORWARD*</w:t>
      </w:r>
    </w:p>
    <w:p w14:paraId="59D04AF3" w14:textId="77777777" w:rsidR="004D0AB6" w:rsidRPr="000B5082" w:rsidRDefault="000B5082">
      <w:pPr>
        <w:numPr>
          <w:ilvl w:val="0"/>
          <w:numId w:val="24"/>
        </w:numPr>
        <w:ind w:hanging="360"/>
        <w:contextualSpacing/>
        <w:jc w:val="both"/>
        <w:rPr>
          <w:rFonts w:ascii="Times New Roman" w:eastAsia="Times New Roman" w:hAnsi="Times New Roman" w:cs="Times New Roman"/>
          <w:color w:val="212121"/>
          <w:lang w:val="fr-CA"/>
        </w:rPr>
      </w:pPr>
      <w:r w:rsidRPr="000B5082">
        <w:rPr>
          <w:rFonts w:ascii="Times New Roman" w:eastAsia="Times New Roman" w:hAnsi="Times New Roman" w:cs="Times New Roman"/>
          <w:color w:val="212121"/>
          <w:lang w:val="fr-CA"/>
        </w:rPr>
        <w:t>La cascade débute lorsqu’un intermédiaire protéique active une molécule de l’enzyme appelée protéine kinase.</w:t>
      </w:r>
    </w:p>
    <w:p w14:paraId="26D84450" w14:textId="77777777" w:rsidR="004D0AB6" w:rsidRPr="000B5082" w:rsidRDefault="000B5082">
      <w:pPr>
        <w:numPr>
          <w:ilvl w:val="0"/>
          <w:numId w:val="24"/>
        </w:numPr>
        <w:ind w:hanging="360"/>
        <w:contextualSpacing/>
        <w:jc w:val="both"/>
        <w:rPr>
          <w:rFonts w:ascii="Times New Roman" w:eastAsia="Times New Roman" w:hAnsi="Times New Roman" w:cs="Times New Roman"/>
          <w:color w:val="212121"/>
          <w:lang w:val="fr-CA"/>
        </w:rPr>
      </w:pPr>
      <w:r w:rsidRPr="000B5082">
        <w:rPr>
          <w:rFonts w:ascii="Times New Roman" w:eastAsia="Times New Roman" w:hAnsi="Times New Roman" w:cs="Times New Roman"/>
          <w:color w:val="212121"/>
          <w:lang w:val="fr-CA"/>
        </w:rPr>
        <w:t>La protéine kinase 1 activée transfère un groupement phosphate d’une molécu</w:t>
      </w:r>
      <w:r w:rsidRPr="000B5082">
        <w:rPr>
          <w:rFonts w:ascii="Times New Roman" w:eastAsia="Times New Roman" w:hAnsi="Times New Roman" w:cs="Times New Roman"/>
          <w:color w:val="212121"/>
          <w:lang w:val="fr-CA"/>
        </w:rPr>
        <w:t xml:space="preserve">le d’ATP à une molécule de protéine kinase 2 inactive, ce qui l’activera.  </w:t>
      </w:r>
    </w:p>
    <w:p w14:paraId="51C18A74" w14:textId="77777777" w:rsidR="004D0AB6" w:rsidRPr="000B5082" w:rsidRDefault="000B5082">
      <w:pPr>
        <w:numPr>
          <w:ilvl w:val="0"/>
          <w:numId w:val="24"/>
        </w:numPr>
        <w:ind w:hanging="360"/>
        <w:contextualSpacing/>
        <w:jc w:val="both"/>
        <w:rPr>
          <w:rFonts w:ascii="Times New Roman" w:eastAsia="Times New Roman" w:hAnsi="Times New Roman" w:cs="Times New Roman"/>
          <w:color w:val="212121"/>
          <w:lang w:val="fr-CA"/>
        </w:rPr>
      </w:pPr>
      <w:r w:rsidRPr="000B5082">
        <w:rPr>
          <w:rFonts w:ascii="Times New Roman" w:eastAsia="Times New Roman" w:hAnsi="Times New Roman" w:cs="Times New Roman"/>
          <w:color w:val="212121"/>
          <w:lang w:val="fr-CA"/>
        </w:rPr>
        <w:t>La protéine kinase 2 activée phosphoryle (et active) la protéine kinase 3</w:t>
      </w:r>
    </w:p>
    <w:p w14:paraId="08E9525F" w14:textId="77777777" w:rsidR="004D0AB6" w:rsidRPr="000B5082" w:rsidRDefault="000B5082">
      <w:pPr>
        <w:numPr>
          <w:ilvl w:val="0"/>
          <w:numId w:val="24"/>
        </w:numPr>
        <w:ind w:hanging="360"/>
        <w:contextualSpacing/>
        <w:jc w:val="both"/>
        <w:rPr>
          <w:rFonts w:ascii="Times New Roman" w:eastAsia="Times New Roman" w:hAnsi="Times New Roman" w:cs="Times New Roman"/>
          <w:color w:val="212121"/>
          <w:lang w:val="fr-CA"/>
        </w:rPr>
      </w:pPr>
      <w:r w:rsidRPr="000B5082">
        <w:rPr>
          <w:rFonts w:ascii="Times New Roman" w:eastAsia="Times New Roman" w:hAnsi="Times New Roman" w:cs="Times New Roman"/>
          <w:color w:val="212121"/>
          <w:lang w:val="fr-CA"/>
        </w:rPr>
        <w:t>La protéine kinase 3 activée phosphoryle une protéine qui entraîne la réponse de la cellule au signal init</w:t>
      </w:r>
      <w:r w:rsidRPr="000B5082">
        <w:rPr>
          <w:rFonts w:ascii="Times New Roman" w:eastAsia="Times New Roman" w:hAnsi="Times New Roman" w:cs="Times New Roman"/>
          <w:color w:val="212121"/>
          <w:lang w:val="fr-CA"/>
        </w:rPr>
        <w:t xml:space="preserve">ial. </w:t>
      </w:r>
    </w:p>
    <w:p w14:paraId="7A09ABE6" w14:textId="77777777" w:rsidR="004D0AB6" w:rsidRPr="000B5082" w:rsidRDefault="000B5082">
      <w:pPr>
        <w:numPr>
          <w:ilvl w:val="0"/>
          <w:numId w:val="24"/>
        </w:numPr>
        <w:ind w:hanging="360"/>
        <w:contextualSpacing/>
        <w:jc w:val="both"/>
        <w:rPr>
          <w:rFonts w:ascii="Times New Roman" w:eastAsia="Times New Roman" w:hAnsi="Times New Roman" w:cs="Times New Roman"/>
          <w:color w:val="212121"/>
          <w:lang w:val="fr-CA"/>
        </w:rPr>
      </w:pPr>
      <w:r w:rsidRPr="000B5082">
        <w:rPr>
          <w:rFonts w:ascii="Times New Roman" w:eastAsia="Times New Roman" w:hAnsi="Times New Roman" w:cs="Times New Roman"/>
          <w:color w:val="212121"/>
          <w:lang w:val="fr-CA"/>
        </w:rPr>
        <w:t xml:space="preserve">Les protéines sont phosphorylées par des protéines phosphatases, qui leur enlèvent leur groupement phosphate et les ramène à l'état inactif, ce qui les rend à nouveau disponibles, les groupements phosphate retirés serviront à reformer de l’ATP. </w:t>
      </w:r>
    </w:p>
    <w:p w14:paraId="601488E5" w14:textId="77777777" w:rsidR="004D0AB6" w:rsidRPr="000B5082" w:rsidRDefault="000B5082">
      <w:pPr>
        <w:rPr>
          <w:lang w:val="fr-CA"/>
        </w:rPr>
      </w:pPr>
      <w:r w:rsidRPr="000B5082">
        <w:rPr>
          <w:lang w:val="fr-CA"/>
        </w:rPr>
        <w:br w:type="page"/>
      </w:r>
    </w:p>
    <w:p w14:paraId="0ED49A3A" w14:textId="77777777" w:rsidR="004D0AB6" w:rsidRPr="000B5082" w:rsidRDefault="004D0AB6">
      <w:pPr>
        <w:jc w:val="both"/>
        <w:rPr>
          <w:rFonts w:ascii="Times New Roman" w:eastAsia="Times New Roman" w:hAnsi="Times New Roman" w:cs="Times New Roman"/>
          <w:color w:val="212121"/>
          <w:lang w:val="fr-CA"/>
        </w:rPr>
      </w:pPr>
    </w:p>
    <w:p w14:paraId="0D2D5F2B" w14:textId="77777777" w:rsidR="004D0AB6" w:rsidRPr="000B5082" w:rsidRDefault="000B5082">
      <w:pPr>
        <w:jc w:val="both"/>
        <w:rPr>
          <w:rFonts w:ascii="Times New Roman" w:eastAsia="Times New Roman" w:hAnsi="Times New Roman" w:cs="Times New Roman"/>
          <w:b/>
          <w:color w:val="212121"/>
          <w:lang w:val="fr-CA"/>
        </w:rPr>
      </w:pPr>
      <w:r w:rsidRPr="000B5082">
        <w:rPr>
          <w:rFonts w:ascii="Times New Roman" w:eastAsia="Times New Roman" w:hAnsi="Times New Roman" w:cs="Times New Roman"/>
          <w:b/>
          <w:color w:val="212121"/>
          <w:lang w:val="fr-CA"/>
        </w:rPr>
        <w:t>C</w:t>
      </w:r>
      <w:r w:rsidRPr="000B5082">
        <w:rPr>
          <w:rFonts w:ascii="Times New Roman" w:eastAsia="Times New Roman" w:hAnsi="Times New Roman" w:cs="Times New Roman"/>
          <w:b/>
          <w:color w:val="212121"/>
          <w:lang w:val="fr-CA"/>
        </w:rPr>
        <w:t>ours 14: Communication cellulaire</w:t>
      </w:r>
    </w:p>
    <w:p w14:paraId="20A89BA9" w14:textId="77777777" w:rsidR="004D0AB6" w:rsidRPr="000B5082" w:rsidRDefault="004D0AB6">
      <w:pPr>
        <w:jc w:val="both"/>
        <w:rPr>
          <w:rFonts w:ascii="Times New Roman" w:eastAsia="Times New Roman" w:hAnsi="Times New Roman" w:cs="Times New Roman"/>
          <w:b/>
          <w:color w:val="212121"/>
          <w:lang w:val="fr-CA"/>
        </w:rPr>
      </w:pPr>
    </w:p>
    <w:p w14:paraId="7F686E38" w14:textId="77777777" w:rsidR="004D0AB6" w:rsidRPr="000B5082" w:rsidRDefault="000B5082">
      <w:pPr>
        <w:jc w:val="both"/>
        <w:rPr>
          <w:rFonts w:ascii="Times New Roman" w:eastAsia="Times New Roman" w:hAnsi="Times New Roman" w:cs="Times New Roman"/>
          <w:color w:val="212121"/>
          <w:u w:val="single"/>
          <w:lang w:val="fr-CA"/>
        </w:rPr>
      </w:pPr>
      <w:r w:rsidRPr="000B5082">
        <w:rPr>
          <w:rFonts w:ascii="Times New Roman" w:eastAsia="Times New Roman" w:hAnsi="Times New Roman" w:cs="Times New Roman"/>
          <w:color w:val="212121"/>
          <w:u w:val="single"/>
          <w:lang w:val="fr-CA"/>
        </w:rPr>
        <w:t xml:space="preserve">Le calcium: </w:t>
      </w:r>
    </w:p>
    <w:p w14:paraId="645953A7" w14:textId="77777777" w:rsidR="004D0AB6" w:rsidRPr="000B5082" w:rsidRDefault="000B5082">
      <w:pPr>
        <w:numPr>
          <w:ilvl w:val="0"/>
          <w:numId w:val="19"/>
        </w:numPr>
        <w:ind w:hanging="360"/>
        <w:contextualSpacing/>
        <w:jc w:val="both"/>
        <w:rPr>
          <w:rFonts w:ascii="Times New Roman" w:eastAsia="Times New Roman" w:hAnsi="Times New Roman" w:cs="Times New Roman"/>
          <w:color w:val="212121"/>
          <w:lang w:val="fr-CA"/>
        </w:rPr>
      </w:pPr>
      <w:r w:rsidRPr="000B5082">
        <w:rPr>
          <w:rFonts w:ascii="Times New Roman" w:eastAsia="Times New Roman" w:hAnsi="Times New Roman" w:cs="Times New Roman"/>
          <w:color w:val="212121"/>
          <w:lang w:val="fr-CA"/>
        </w:rPr>
        <w:t xml:space="preserve">Second messager </w:t>
      </w:r>
    </w:p>
    <w:p w14:paraId="51EB0A81" w14:textId="77777777" w:rsidR="004D0AB6" w:rsidRPr="000B5082" w:rsidRDefault="000B5082">
      <w:pPr>
        <w:numPr>
          <w:ilvl w:val="0"/>
          <w:numId w:val="19"/>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Dans la cellule, la concentration en calcium dans le cytoplasme est strictement contrôlée:</w:t>
      </w:r>
    </w:p>
    <w:p w14:paraId="40FED2BA" w14:textId="77777777" w:rsidR="004D0AB6" w:rsidRPr="000B5082" w:rsidRDefault="000B5082">
      <w:pPr>
        <w:numPr>
          <w:ilvl w:val="1"/>
          <w:numId w:val="19"/>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Activement transporté à l’extérieur par des pompes à calcium.</w:t>
      </w:r>
    </w:p>
    <w:p w14:paraId="0AE6F793" w14:textId="77777777" w:rsidR="004D0AB6" w:rsidRPr="000B5082" w:rsidRDefault="000B5082">
      <w:pPr>
        <w:numPr>
          <w:ilvl w:val="1"/>
          <w:numId w:val="19"/>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Stocké dans le réticulum endoplasmique</w:t>
      </w:r>
      <w:r w:rsidRPr="000B5082">
        <w:rPr>
          <w:rFonts w:ascii="Times New Roman" w:eastAsia="Times New Roman" w:hAnsi="Times New Roman" w:cs="Times New Roman"/>
          <w:lang w:val="fr-CA"/>
        </w:rPr>
        <w:t>.</w:t>
      </w:r>
    </w:p>
    <w:p w14:paraId="59B47940" w14:textId="77777777" w:rsidR="004D0AB6" w:rsidRPr="000B5082" w:rsidRDefault="000B5082">
      <w:pPr>
        <w:numPr>
          <w:ilvl w:val="1"/>
          <w:numId w:val="19"/>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Stocké dans la mitochondrie.</w:t>
      </w:r>
    </w:p>
    <w:p w14:paraId="7B9C6496" w14:textId="77777777" w:rsidR="004D0AB6" w:rsidRPr="000B5082" w:rsidRDefault="000B5082">
      <w:pPr>
        <w:numPr>
          <w:ilvl w:val="0"/>
          <w:numId w:val="19"/>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 xml:space="preserve">La relâche du calcium dans le cytoplasme est extrêmement rapide. Elle est contenu dans le réticulum endoplasmique suite a l’activation d’un RCPG (ou autre recepteur). </w:t>
      </w:r>
    </w:p>
    <w:p w14:paraId="39CBD49D" w14:textId="77777777" w:rsidR="004D0AB6" w:rsidRPr="000B5082" w:rsidRDefault="004D0AB6">
      <w:pPr>
        <w:jc w:val="both"/>
        <w:rPr>
          <w:rFonts w:ascii="Times New Roman" w:eastAsia="Times New Roman" w:hAnsi="Times New Roman" w:cs="Times New Roman"/>
          <w:lang w:val="fr-CA"/>
        </w:rPr>
      </w:pPr>
    </w:p>
    <w:p w14:paraId="5BA86A45" w14:textId="77777777" w:rsidR="004D0AB6" w:rsidRPr="000B5082" w:rsidRDefault="000B5082">
      <w:pPr>
        <w:jc w:val="both"/>
        <w:rPr>
          <w:rFonts w:ascii="Times New Roman" w:eastAsia="Times New Roman" w:hAnsi="Times New Roman" w:cs="Times New Roman"/>
          <w:lang w:val="fr-CA"/>
        </w:rPr>
      </w:pPr>
      <w:r w:rsidRPr="000B5082">
        <w:rPr>
          <w:rFonts w:ascii="Times New Roman" w:eastAsia="Times New Roman" w:hAnsi="Times New Roman" w:cs="Times New Roman"/>
          <w:u w:val="single"/>
          <w:lang w:val="fr-CA"/>
        </w:rPr>
        <w:t>Calmoduline, CBP et CamKII</w:t>
      </w:r>
      <w:r w:rsidRPr="000B5082">
        <w:rPr>
          <w:rFonts w:ascii="Times New Roman" w:eastAsia="Times New Roman" w:hAnsi="Times New Roman" w:cs="Times New Roman"/>
          <w:lang w:val="fr-CA"/>
        </w:rPr>
        <w:t>:</w:t>
      </w:r>
    </w:p>
    <w:p w14:paraId="6701ADBC" w14:textId="77777777" w:rsidR="004D0AB6" w:rsidRPr="000B5082" w:rsidRDefault="000B5082">
      <w:pPr>
        <w:numPr>
          <w:ilvl w:val="0"/>
          <w:numId w:val="12"/>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La calmoduline est un CBP (calcium-binding protein).</w:t>
      </w:r>
    </w:p>
    <w:p w14:paraId="4672E8E0" w14:textId="77777777" w:rsidR="004D0AB6" w:rsidRPr="000B5082" w:rsidRDefault="000B5082">
      <w:pPr>
        <w:numPr>
          <w:ilvl w:val="0"/>
          <w:numId w:val="12"/>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La calmoduline est activée lorsque 4 ions Ca</w:t>
      </w:r>
      <w:r w:rsidRPr="000B5082">
        <w:rPr>
          <w:rFonts w:ascii="Times New Roman" w:eastAsia="Times New Roman" w:hAnsi="Times New Roman" w:cs="Times New Roman"/>
          <w:vertAlign w:val="superscript"/>
          <w:lang w:val="fr-CA"/>
        </w:rPr>
        <w:t>2+</w:t>
      </w:r>
      <w:r w:rsidRPr="000B5082">
        <w:rPr>
          <w:rFonts w:ascii="Times New Roman" w:eastAsia="Times New Roman" w:hAnsi="Times New Roman" w:cs="Times New Roman"/>
          <w:lang w:val="fr-CA"/>
        </w:rPr>
        <w:t xml:space="preserve"> viennent s’y lier.</w:t>
      </w:r>
    </w:p>
    <w:p w14:paraId="415CC293" w14:textId="77777777" w:rsidR="004D0AB6" w:rsidRPr="000B5082" w:rsidRDefault="000B5082">
      <w:pPr>
        <w:numPr>
          <w:ilvl w:val="0"/>
          <w:numId w:val="12"/>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Les liaisons des Ca</w:t>
      </w:r>
      <w:r w:rsidRPr="000B5082">
        <w:rPr>
          <w:rFonts w:ascii="Times New Roman" w:eastAsia="Times New Roman" w:hAnsi="Times New Roman" w:cs="Times New Roman"/>
          <w:vertAlign w:val="superscript"/>
          <w:lang w:val="fr-CA"/>
        </w:rPr>
        <w:t>2+</w:t>
      </w:r>
      <w:r w:rsidRPr="000B5082">
        <w:rPr>
          <w:rFonts w:ascii="Times New Roman" w:eastAsia="Times New Roman" w:hAnsi="Times New Roman" w:cs="Times New Roman"/>
          <w:lang w:val="fr-CA"/>
        </w:rPr>
        <w:t>change la conformation de la calmoduline qui peut maintenant se lier a plusieurs protéines en aval, comme les CaMBP.</w:t>
      </w:r>
      <w:r w:rsidRPr="000B5082">
        <w:rPr>
          <w:rFonts w:ascii="Times New Roman" w:eastAsia="Times New Roman" w:hAnsi="Times New Roman" w:cs="Times New Roman"/>
          <w:lang w:val="fr-CA"/>
        </w:rPr>
        <w:t xml:space="preserve"> </w:t>
      </w:r>
    </w:p>
    <w:p w14:paraId="1EA15C25" w14:textId="77777777" w:rsidR="004D0AB6" w:rsidRPr="000B5082" w:rsidRDefault="000B5082">
      <w:pPr>
        <w:numPr>
          <w:ilvl w:val="0"/>
          <w:numId w:val="12"/>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CamKII: Isoformes calmoduline le mieux connues.</w:t>
      </w:r>
    </w:p>
    <w:p w14:paraId="2F58A9A5" w14:textId="77777777" w:rsidR="004D0AB6" w:rsidRPr="000B5082" w:rsidRDefault="004D0AB6">
      <w:pPr>
        <w:jc w:val="both"/>
        <w:rPr>
          <w:rFonts w:ascii="Times New Roman" w:eastAsia="Times New Roman" w:hAnsi="Times New Roman" w:cs="Times New Roman"/>
          <w:lang w:val="fr-CA"/>
        </w:rPr>
      </w:pPr>
    </w:p>
    <w:p w14:paraId="7770ED3D" w14:textId="77777777" w:rsidR="004D0AB6" w:rsidRPr="000B5082" w:rsidRDefault="000B5082">
      <w:pPr>
        <w:jc w:val="both"/>
        <w:rPr>
          <w:rFonts w:ascii="Times New Roman" w:eastAsia="Times New Roman" w:hAnsi="Times New Roman" w:cs="Times New Roman"/>
          <w:lang w:val="fr-CA"/>
        </w:rPr>
      </w:pPr>
      <w:r w:rsidRPr="000B5082">
        <w:rPr>
          <w:rFonts w:ascii="Times New Roman" w:eastAsia="Times New Roman" w:hAnsi="Times New Roman" w:cs="Times New Roman"/>
          <w:u w:val="single"/>
          <w:lang w:val="fr-CA"/>
        </w:rPr>
        <w:t>Le crosstalk:</w:t>
      </w:r>
      <w:r w:rsidRPr="000B5082">
        <w:rPr>
          <w:rFonts w:ascii="Times New Roman" w:eastAsia="Times New Roman" w:hAnsi="Times New Roman" w:cs="Times New Roman"/>
          <w:lang w:val="fr-CA"/>
        </w:rPr>
        <w:t xml:space="preserve"> Le crosstalk est l'interférence d’un signal avec un autre. Cette interférence peut être positive et augmenter la réponse ou négative et inhiber la réponse a un stimulus.</w:t>
      </w:r>
    </w:p>
    <w:p w14:paraId="424A363F" w14:textId="77777777" w:rsidR="004D0AB6" w:rsidRPr="000B5082" w:rsidRDefault="000B5082">
      <w:pPr>
        <w:jc w:val="center"/>
        <w:rPr>
          <w:rFonts w:ascii="Times New Roman" w:eastAsia="Times New Roman" w:hAnsi="Times New Roman" w:cs="Times New Roman"/>
          <w:lang w:val="fr-CA"/>
        </w:rPr>
      </w:pPr>
      <w:r w:rsidRPr="000B5082">
        <w:rPr>
          <w:noProof/>
          <w:lang w:val="fr-CA"/>
        </w:rPr>
        <w:drawing>
          <wp:inline distT="114300" distB="114300" distL="114300" distR="114300" wp14:anchorId="4084420F" wp14:editId="2CE6FDB6">
            <wp:extent cx="3089820" cy="2633663"/>
            <wp:effectExtent l="0" t="0" r="0" b="0"/>
            <wp:docPr id="15"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21"/>
                    <a:srcRect/>
                    <a:stretch>
                      <a:fillRect/>
                    </a:stretch>
                  </pic:blipFill>
                  <pic:spPr>
                    <a:xfrm>
                      <a:off x="0" y="0"/>
                      <a:ext cx="3089820" cy="2633663"/>
                    </a:xfrm>
                    <a:prstGeom prst="rect">
                      <a:avLst/>
                    </a:prstGeom>
                    <a:ln/>
                  </pic:spPr>
                </pic:pic>
              </a:graphicData>
            </a:graphic>
          </wp:inline>
        </w:drawing>
      </w:r>
    </w:p>
    <w:p w14:paraId="340FD6BE" w14:textId="77777777" w:rsidR="004D0AB6" w:rsidRPr="000B5082" w:rsidRDefault="004D0AB6">
      <w:pPr>
        <w:jc w:val="center"/>
        <w:rPr>
          <w:rFonts w:ascii="Times New Roman" w:eastAsia="Times New Roman" w:hAnsi="Times New Roman" w:cs="Times New Roman"/>
          <w:lang w:val="fr-CA"/>
        </w:rPr>
      </w:pPr>
    </w:p>
    <w:p w14:paraId="5EAE1847" w14:textId="77777777" w:rsidR="004D0AB6" w:rsidRPr="000B5082" w:rsidRDefault="000B5082">
      <w:pPr>
        <w:jc w:val="both"/>
        <w:rPr>
          <w:rFonts w:ascii="Times New Roman" w:eastAsia="Times New Roman" w:hAnsi="Times New Roman" w:cs="Times New Roman"/>
          <w:u w:val="single"/>
          <w:lang w:val="fr-CA"/>
        </w:rPr>
      </w:pPr>
      <w:r w:rsidRPr="000B5082">
        <w:rPr>
          <w:rFonts w:ascii="Times New Roman" w:eastAsia="Times New Roman" w:hAnsi="Times New Roman" w:cs="Times New Roman"/>
          <w:u w:val="single"/>
          <w:lang w:val="fr-CA"/>
        </w:rPr>
        <w:t xml:space="preserve">La multiplicité des réponses: </w:t>
      </w:r>
    </w:p>
    <w:p w14:paraId="57E65327" w14:textId="77777777" w:rsidR="004D0AB6" w:rsidRPr="000B5082" w:rsidRDefault="000B5082">
      <w:pPr>
        <w:numPr>
          <w:ilvl w:val="0"/>
          <w:numId w:val="1"/>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La multiplicité des réponses est un concept qui englobe les truchements de voie de signalisation à l’intérieur des cellules et la diversité des réponses à un messager du au type de récepteur spécifique présent sur et dans les</w:t>
      </w:r>
      <w:r w:rsidRPr="000B5082">
        <w:rPr>
          <w:rFonts w:ascii="Times New Roman" w:eastAsia="Times New Roman" w:hAnsi="Times New Roman" w:cs="Times New Roman"/>
          <w:lang w:val="fr-CA"/>
        </w:rPr>
        <w:t xml:space="preserve"> cellules cibles.</w:t>
      </w:r>
    </w:p>
    <w:p w14:paraId="3A10E692" w14:textId="77777777" w:rsidR="004D0AB6" w:rsidRPr="000B5082" w:rsidRDefault="000B5082">
      <w:pPr>
        <w:numPr>
          <w:ilvl w:val="0"/>
          <w:numId w:val="1"/>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Lors d’un stress, les glandes surrénales libèrent l’adrénaline via la communication endocrine, l’adrénaline atteint son récepteur et l’active.</w:t>
      </w:r>
    </w:p>
    <w:p w14:paraId="356A3BFE" w14:textId="77777777" w:rsidR="004D0AB6" w:rsidRPr="000B5082" w:rsidRDefault="000B5082">
      <w:pPr>
        <w:numPr>
          <w:ilvl w:val="0"/>
          <w:numId w:val="1"/>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L’adrénaline mène à 2 réponses intracellulaires qui ont toutes les deux comme résultats l’augme</w:t>
      </w:r>
      <w:r w:rsidRPr="000B5082">
        <w:rPr>
          <w:rFonts w:ascii="Times New Roman" w:eastAsia="Times New Roman" w:hAnsi="Times New Roman" w:cs="Times New Roman"/>
          <w:lang w:val="fr-CA"/>
        </w:rPr>
        <w:t>ntation de la concentration de glucose sanguin</w:t>
      </w:r>
    </w:p>
    <w:p w14:paraId="478C47A7" w14:textId="77777777" w:rsidR="004D0AB6" w:rsidRPr="000B5082" w:rsidRDefault="000B5082">
      <w:pPr>
        <w:numPr>
          <w:ilvl w:val="0"/>
          <w:numId w:val="1"/>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lastRenderedPageBreak/>
        <w:t>Concept de base: Un même messager peut se lier à différents récepteurs, situés sur des cellules différentes, induisant des réponses différentes: Chaque cellule possédant un de ces récepteurs recevra le message</w:t>
      </w:r>
      <w:r w:rsidRPr="000B5082">
        <w:rPr>
          <w:rFonts w:ascii="Times New Roman" w:eastAsia="Times New Roman" w:hAnsi="Times New Roman" w:cs="Times New Roman"/>
          <w:lang w:val="fr-CA"/>
        </w:rPr>
        <w:t>, mais il sera transduit différemment et stimulera une réponse différente.</w:t>
      </w:r>
    </w:p>
    <w:p w14:paraId="6BA5BD56" w14:textId="77777777" w:rsidR="004D0AB6" w:rsidRPr="000B5082" w:rsidRDefault="004D0AB6">
      <w:pPr>
        <w:jc w:val="both"/>
        <w:rPr>
          <w:rFonts w:ascii="Times New Roman" w:eastAsia="Times New Roman" w:hAnsi="Times New Roman" w:cs="Times New Roman"/>
          <w:lang w:val="fr-CA"/>
        </w:rPr>
      </w:pPr>
    </w:p>
    <w:p w14:paraId="505D8D1E" w14:textId="77777777" w:rsidR="004D0AB6" w:rsidRPr="000B5082" w:rsidRDefault="000B5082">
      <w:pPr>
        <w:jc w:val="both"/>
        <w:rPr>
          <w:rFonts w:ascii="Times New Roman" w:eastAsia="Times New Roman" w:hAnsi="Times New Roman" w:cs="Times New Roman"/>
          <w:lang w:val="fr-CA"/>
        </w:rPr>
      </w:pPr>
      <w:r w:rsidRPr="000B5082">
        <w:rPr>
          <w:rFonts w:ascii="Times New Roman" w:eastAsia="Times New Roman" w:hAnsi="Times New Roman" w:cs="Times New Roman"/>
          <w:u w:val="single"/>
          <w:lang w:val="fr-CA"/>
        </w:rPr>
        <w:t>Voies de signalisation:</w:t>
      </w:r>
      <w:r w:rsidRPr="000B5082">
        <w:rPr>
          <w:rFonts w:ascii="Times New Roman" w:eastAsia="Times New Roman" w:hAnsi="Times New Roman" w:cs="Times New Roman"/>
          <w:lang w:val="fr-CA"/>
        </w:rPr>
        <w:t xml:space="preserve"> </w:t>
      </w:r>
    </w:p>
    <w:p w14:paraId="2FFBA1EC" w14:textId="77777777" w:rsidR="004D0AB6" w:rsidRPr="000B5082" w:rsidRDefault="000B5082">
      <w:pPr>
        <w:ind w:firstLine="720"/>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 xml:space="preserve">Convergentes: </w:t>
      </w:r>
      <w:r w:rsidRPr="000B5082">
        <w:rPr>
          <w:rFonts w:ascii="Times New Roman" w:eastAsia="Times New Roman" w:hAnsi="Times New Roman" w:cs="Times New Roman"/>
          <w:lang w:val="fr-CA"/>
        </w:rPr>
        <w:tab/>
      </w:r>
      <w:r w:rsidRPr="000B5082">
        <w:rPr>
          <w:rFonts w:ascii="Times New Roman" w:eastAsia="Times New Roman" w:hAnsi="Times New Roman" w:cs="Times New Roman"/>
          <w:lang w:val="fr-CA"/>
        </w:rPr>
        <w:tab/>
      </w:r>
      <w:r w:rsidRPr="000B5082">
        <w:rPr>
          <w:rFonts w:ascii="Times New Roman" w:eastAsia="Times New Roman" w:hAnsi="Times New Roman" w:cs="Times New Roman"/>
          <w:lang w:val="fr-CA"/>
        </w:rPr>
        <w:tab/>
        <w:t>Divergentes:</w:t>
      </w:r>
      <w:r w:rsidRPr="000B5082">
        <w:rPr>
          <w:rFonts w:ascii="Times New Roman" w:eastAsia="Times New Roman" w:hAnsi="Times New Roman" w:cs="Times New Roman"/>
          <w:lang w:val="fr-CA"/>
        </w:rPr>
        <w:tab/>
      </w:r>
      <w:r w:rsidRPr="000B5082">
        <w:rPr>
          <w:rFonts w:ascii="Times New Roman" w:eastAsia="Times New Roman" w:hAnsi="Times New Roman" w:cs="Times New Roman"/>
          <w:lang w:val="fr-CA"/>
        </w:rPr>
        <w:tab/>
      </w:r>
      <w:r w:rsidRPr="000B5082">
        <w:rPr>
          <w:rFonts w:ascii="Times New Roman" w:eastAsia="Times New Roman" w:hAnsi="Times New Roman" w:cs="Times New Roman"/>
          <w:lang w:val="fr-CA"/>
        </w:rPr>
        <w:tab/>
        <w:t xml:space="preserve">En opposition: </w:t>
      </w:r>
    </w:p>
    <w:p w14:paraId="637FB565" w14:textId="77777777" w:rsidR="004D0AB6" w:rsidRPr="000B5082" w:rsidRDefault="000B5082">
      <w:pPr>
        <w:rPr>
          <w:rFonts w:ascii="Times New Roman" w:eastAsia="Times New Roman" w:hAnsi="Times New Roman" w:cs="Times New Roman"/>
          <w:u w:val="single"/>
          <w:lang w:val="fr-CA"/>
        </w:rPr>
      </w:pPr>
      <w:r w:rsidRPr="000B5082">
        <w:rPr>
          <w:noProof/>
          <w:lang w:val="fr-CA"/>
        </w:rPr>
        <w:drawing>
          <wp:inline distT="114300" distB="114300" distL="114300" distR="114300" wp14:anchorId="349FF4CD" wp14:editId="777F3376">
            <wp:extent cx="1709738" cy="2122924"/>
            <wp:effectExtent l="0" t="0" r="0" b="0"/>
            <wp:docPr id="3"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22"/>
                    <a:srcRect/>
                    <a:stretch>
                      <a:fillRect/>
                    </a:stretch>
                  </pic:blipFill>
                  <pic:spPr>
                    <a:xfrm>
                      <a:off x="0" y="0"/>
                      <a:ext cx="1709738" cy="2122924"/>
                    </a:xfrm>
                    <a:prstGeom prst="rect">
                      <a:avLst/>
                    </a:prstGeom>
                    <a:ln/>
                  </pic:spPr>
                </pic:pic>
              </a:graphicData>
            </a:graphic>
          </wp:inline>
        </w:drawing>
      </w:r>
      <w:r w:rsidRPr="000B5082">
        <w:rPr>
          <w:noProof/>
          <w:lang w:val="fr-CA"/>
        </w:rPr>
        <w:drawing>
          <wp:inline distT="114300" distB="114300" distL="114300" distR="114300" wp14:anchorId="65E631A6" wp14:editId="4B0B89D7">
            <wp:extent cx="2152650" cy="2100263"/>
            <wp:effectExtent l="0" t="0" r="0" b="0"/>
            <wp:docPr id="6"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23"/>
                    <a:srcRect/>
                    <a:stretch>
                      <a:fillRect/>
                    </a:stretch>
                  </pic:blipFill>
                  <pic:spPr>
                    <a:xfrm>
                      <a:off x="0" y="0"/>
                      <a:ext cx="2152650" cy="2100263"/>
                    </a:xfrm>
                    <a:prstGeom prst="rect">
                      <a:avLst/>
                    </a:prstGeom>
                    <a:ln/>
                  </pic:spPr>
                </pic:pic>
              </a:graphicData>
            </a:graphic>
          </wp:inline>
        </w:drawing>
      </w:r>
      <w:r w:rsidRPr="000B5082">
        <w:rPr>
          <w:noProof/>
          <w:lang w:val="fr-CA"/>
        </w:rPr>
        <w:drawing>
          <wp:inline distT="114300" distB="114300" distL="114300" distR="114300" wp14:anchorId="14B3E376" wp14:editId="5429DDFD">
            <wp:extent cx="1714500" cy="2224088"/>
            <wp:effectExtent l="0" t="0" r="0" b="0"/>
            <wp:docPr id="9"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24"/>
                    <a:srcRect/>
                    <a:stretch>
                      <a:fillRect/>
                    </a:stretch>
                  </pic:blipFill>
                  <pic:spPr>
                    <a:xfrm>
                      <a:off x="0" y="0"/>
                      <a:ext cx="1714500" cy="2224088"/>
                    </a:xfrm>
                    <a:prstGeom prst="rect">
                      <a:avLst/>
                    </a:prstGeom>
                    <a:ln/>
                  </pic:spPr>
                </pic:pic>
              </a:graphicData>
            </a:graphic>
          </wp:inline>
        </w:drawing>
      </w:r>
    </w:p>
    <w:p w14:paraId="355EDBA7" w14:textId="77777777" w:rsidR="004D0AB6" w:rsidRPr="000B5082" w:rsidRDefault="004D0AB6">
      <w:pPr>
        <w:jc w:val="both"/>
        <w:rPr>
          <w:rFonts w:ascii="Times New Roman" w:eastAsia="Times New Roman" w:hAnsi="Times New Roman" w:cs="Times New Roman"/>
          <w:u w:val="single"/>
          <w:lang w:val="fr-CA"/>
        </w:rPr>
      </w:pPr>
    </w:p>
    <w:p w14:paraId="131D6818" w14:textId="77777777" w:rsidR="004D0AB6" w:rsidRPr="000B5082" w:rsidRDefault="000B5082">
      <w:pPr>
        <w:jc w:val="both"/>
        <w:rPr>
          <w:rFonts w:ascii="Times New Roman" w:eastAsia="Times New Roman" w:hAnsi="Times New Roman" w:cs="Times New Roman"/>
          <w:color w:val="B4A7D6"/>
          <w:lang w:val="fr-CA"/>
        </w:rPr>
      </w:pPr>
      <w:r w:rsidRPr="000B5082">
        <w:rPr>
          <w:rFonts w:ascii="Times New Roman" w:eastAsia="Times New Roman" w:hAnsi="Times New Roman" w:cs="Times New Roman"/>
          <w:u w:val="single"/>
          <w:lang w:val="fr-CA"/>
        </w:rPr>
        <w:t xml:space="preserve">Protéolyse du ligand: </w:t>
      </w:r>
      <w:r w:rsidRPr="000B5082">
        <w:rPr>
          <w:rFonts w:ascii="Times New Roman" w:eastAsia="Times New Roman" w:hAnsi="Times New Roman" w:cs="Times New Roman"/>
          <w:color w:val="212121"/>
          <w:lang w:val="fr-CA"/>
        </w:rPr>
        <w:t>Deux protéines membranaires ont été génétiquement définies comme les régulateurs</w:t>
      </w:r>
      <w:r w:rsidRPr="000B5082">
        <w:rPr>
          <w:rFonts w:ascii="Times New Roman" w:eastAsia="Times New Roman" w:hAnsi="Times New Roman" w:cs="Times New Roman"/>
          <w:color w:val="212121"/>
          <w:lang w:val="fr-CA"/>
        </w:rPr>
        <w:t xml:space="preserve"> primaires de l'activation du récepteur EGF dans le drosophile, mais leurs mécanismes moléculaires ont été insaisissables. Les protéines contrôlent la signalisation des récepteurs en régulant le trafic intracellulaire et la protéolyse du ligand. une des pr</w:t>
      </w:r>
      <w:r w:rsidRPr="000B5082">
        <w:rPr>
          <w:rFonts w:ascii="Times New Roman" w:eastAsia="Times New Roman" w:hAnsi="Times New Roman" w:cs="Times New Roman"/>
          <w:color w:val="212121"/>
          <w:lang w:val="fr-CA"/>
        </w:rPr>
        <w:t>otéines est présent tout au long de la voie de sécrétion et est nécessaire pour exporter le ligand du réticulum endoplasmique vers l'appareil de Golgi. L’autre protéine est localisé dans le Golgi, où elle favorise le clivage du ligand. Ceci définit un nouv</w:t>
      </w:r>
      <w:r w:rsidRPr="000B5082">
        <w:rPr>
          <w:rFonts w:ascii="Times New Roman" w:eastAsia="Times New Roman" w:hAnsi="Times New Roman" w:cs="Times New Roman"/>
          <w:color w:val="212121"/>
          <w:lang w:val="fr-CA"/>
        </w:rPr>
        <w:t>eau mécanisme de libération du facteur de croissance qui est distinct de l'élimination dépendante de la métalloprotéase de la surface de la cellule.</w:t>
      </w:r>
    </w:p>
    <w:p w14:paraId="6A2F0CB3" w14:textId="77777777" w:rsidR="004D0AB6" w:rsidRPr="000B5082" w:rsidRDefault="004D0AB6">
      <w:pPr>
        <w:jc w:val="both"/>
        <w:rPr>
          <w:rFonts w:ascii="Times New Roman" w:eastAsia="Times New Roman" w:hAnsi="Times New Roman" w:cs="Times New Roman"/>
          <w:color w:val="B4A7D6"/>
          <w:lang w:val="fr-CA"/>
        </w:rPr>
      </w:pPr>
    </w:p>
    <w:p w14:paraId="2A0720C5" w14:textId="77777777" w:rsidR="004D0AB6" w:rsidRPr="000B5082" w:rsidRDefault="000B5082">
      <w:pPr>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 xml:space="preserve">Endocytose du récepteur: Une endocytose à récepteur est une </w:t>
      </w:r>
      <w:hyperlink r:id="rId25">
        <w:r w:rsidRPr="000B5082">
          <w:rPr>
            <w:rFonts w:ascii="Times New Roman" w:eastAsia="Times New Roman" w:hAnsi="Times New Roman" w:cs="Times New Roman"/>
            <w:lang w:val="fr-CA"/>
          </w:rPr>
          <w:t>endocytose</w:t>
        </w:r>
      </w:hyperlink>
      <w:r w:rsidRPr="000B5082">
        <w:rPr>
          <w:rFonts w:ascii="Times New Roman" w:eastAsia="Times New Roman" w:hAnsi="Times New Roman" w:cs="Times New Roman"/>
          <w:lang w:val="fr-CA"/>
        </w:rPr>
        <w:t xml:space="preserve"> sélective grâce à l'existence de </w:t>
      </w:r>
      <w:hyperlink r:id="rId26">
        <w:r w:rsidRPr="000B5082">
          <w:rPr>
            <w:rFonts w:ascii="Times New Roman" w:eastAsia="Times New Roman" w:hAnsi="Times New Roman" w:cs="Times New Roman"/>
            <w:lang w:val="fr-CA"/>
          </w:rPr>
          <w:t>récepteurs membranaires</w:t>
        </w:r>
      </w:hyperlink>
      <w:r w:rsidRPr="000B5082">
        <w:rPr>
          <w:rFonts w:ascii="Times New Roman" w:eastAsia="Times New Roman" w:hAnsi="Times New Roman" w:cs="Times New Roman"/>
          <w:lang w:val="fr-CA"/>
        </w:rPr>
        <w:t xml:space="preserve"> qui permettent la reconnaissance et donc la liaison à des </w:t>
      </w:r>
      <w:hyperlink r:id="rId27">
        <w:r w:rsidRPr="000B5082">
          <w:rPr>
            <w:rFonts w:ascii="Times New Roman" w:eastAsia="Times New Roman" w:hAnsi="Times New Roman" w:cs="Times New Roman"/>
            <w:lang w:val="fr-CA"/>
          </w:rPr>
          <w:t>molécules</w:t>
        </w:r>
      </w:hyperlink>
      <w:r w:rsidRPr="000B5082">
        <w:rPr>
          <w:rFonts w:ascii="Times New Roman" w:eastAsia="Times New Roman" w:hAnsi="Times New Roman" w:cs="Times New Roman"/>
          <w:lang w:val="fr-CA"/>
        </w:rPr>
        <w:t xml:space="preserve"> particulières (ex: </w:t>
      </w:r>
      <w:hyperlink r:id="rId28">
        <w:r w:rsidRPr="000B5082">
          <w:rPr>
            <w:rFonts w:ascii="Times New Roman" w:eastAsia="Times New Roman" w:hAnsi="Times New Roman" w:cs="Times New Roman"/>
            <w:lang w:val="fr-CA"/>
          </w:rPr>
          <w:t>LDL</w:t>
        </w:r>
      </w:hyperlink>
      <w:r w:rsidRPr="000B5082">
        <w:rPr>
          <w:rFonts w:ascii="Times New Roman" w:eastAsia="Times New Roman" w:hAnsi="Times New Roman" w:cs="Times New Roman"/>
          <w:lang w:val="fr-CA"/>
        </w:rPr>
        <w:t xml:space="preserve"> pour le transport des </w:t>
      </w:r>
      <w:hyperlink r:id="rId29">
        <w:r w:rsidRPr="000B5082">
          <w:rPr>
            <w:rFonts w:ascii="Times New Roman" w:eastAsia="Times New Roman" w:hAnsi="Times New Roman" w:cs="Times New Roman"/>
            <w:lang w:val="fr-CA"/>
          </w:rPr>
          <w:t>cholestérols</w:t>
        </w:r>
      </w:hyperlink>
      <w:r w:rsidRPr="000B5082">
        <w:rPr>
          <w:rFonts w:ascii="Times New Roman" w:eastAsia="Times New Roman" w:hAnsi="Times New Roman" w:cs="Times New Roman"/>
          <w:lang w:val="fr-CA"/>
        </w:rPr>
        <w:t xml:space="preserve">). Ces vésicules formées (contenant les LDL) sont alors transportées dans le </w:t>
      </w:r>
      <w:hyperlink r:id="rId30">
        <w:r w:rsidRPr="000B5082">
          <w:rPr>
            <w:rFonts w:ascii="Times New Roman" w:eastAsia="Times New Roman" w:hAnsi="Times New Roman" w:cs="Times New Roman"/>
            <w:lang w:val="fr-CA"/>
          </w:rPr>
          <w:t>cytosol</w:t>
        </w:r>
      </w:hyperlink>
      <w:r w:rsidRPr="000B5082">
        <w:rPr>
          <w:rFonts w:ascii="Times New Roman" w:eastAsia="Times New Roman" w:hAnsi="Times New Roman" w:cs="Times New Roman"/>
          <w:lang w:val="fr-CA"/>
        </w:rPr>
        <w:t xml:space="preserve"> par le </w:t>
      </w:r>
      <w:hyperlink r:id="rId31">
        <w:r w:rsidRPr="000B5082">
          <w:rPr>
            <w:rFonts w:ascii="Times New Roman" w:eastAsia="Times New Roman" w:hAnsi="Times New Roman" w:cs="Times New Roman"/>
            <w:lang w:val="fr-CA"/>
          </w:rPr>
          <w:t>cytosquelette</w:t>
        </w:r>
      </w:hyperlink>
      <w:r w:rsidRPr="000B5082">
        <w:rPr>
          <w:rFonts w:ascii="Times New Roman" w:eastAsia="Times New Roman" w:hAnsi="Times New Roman" w:cs="Times New Roman"/>
          <w:lang w:val="fr-CA"/>
        </w:rPr>
        <w:t xml:space="preserve"> et ses </w:t>
      </w:r>
      <w:hyperlink r:id="rId32">
        <w:r w:rsidRPr="000B5082">
          <w:rPr>
            <w:rFonts w:ascii="Times New Roman" w:eastAsia="Times New Roman" w:hAnsi="Times New Roman" w:cs="Times New Roman"/>
            <w:lang w:val="fr-CA"/>
          </w:rPr>
          <w:t>moteurs protéiques</w:t>
        </w:r>
      </w:hyperlink>
      <w:r w:rsidRPr="000B5082">
        <w:rPr>
          <w:rFonts w:ascii="Times New Roman" w:eastAsia="Times New Roman" w:hAnsi="Times New Roman" w:cs="Times New Roman"/>
          <w:lang w:val="fr-CA"/>
        </w:rPr>
        <w:t xml:space="preserve"> (ex: </w:t>
      </w:r>
      <w:hyperlink r:id="rId33">
        <w:r w:rsidRPr="000B5082">
          <w:rPr>
            <w:rFonts w:ascii="Times New Roman" w:eastAsia="Times New Roman" w:hAnsi="Times New Roman" w:cs="Times New Roman"/>
            <w:lang w:val="fr-CA"/>
          </w:rPr>
          <w:t>dynéines</w:t>
        </w:r>
      </w:hyperlink>
      <w:r w:rsidRPr="000B5082">
        <w:rPr>
          <w:rFonts w:ascii="Times New Roman" w:eastAsia="Times New Roman" w:hAnsi="Times New Roman" w:cs="Times New Roman"/>
          <w:lang w:val="fr-CA"/>
        </w:rPr>
        <w:t xml:space="preserve"> sur les </w:t>
      </w:r>
      <w:hyperlink r:id="rId34">
        <w:r w:rsidRPr="000B5082">
          <w:rPr>
            <w:rFonts w:ascii="Times New Roman" w:eastAsia="Times New Roman" w:hAnsi="Times New Roman" w:cs="Times New Roman"/>
            <w:lang w:val="fr-CA"/>
          </w:rPr>
          <w:t>microtubules</w:t>
        </w:r>
      </w:hyperlink>
      <w:r w:rsidRPr="000B5082">
        <w:rPr>
          <w:rFonts w:ascii="Times New Roman" w:eastAsia="Times New Roman" w:hAnsi="Times New Roman" w:cs="Times New Roman"/>
          <w:lang w:val="fr-CA"/>
        </w:rPr>
        <w:t>). Ces vésicules (intracellu</w:t>
      </w:r>
      <w:r w:rsidRPr="000B5082">
        <w:rPr>
          <w:rFonts w:ascii="Times New Roman" w:eastAsia="Times New Roman" w:hAnsi="Times New Roman" w:cs="Times New Roman"/>
          <w:lang w:val="fr-CA"/>
        </w:rPr>
        <w:t xml:space="preserve">laires) peuvent alors subir différentes évolutions suivant l'utilité pour la </w:t>
      </w:r>
      <w:hyperlink r:id="rId35">
        <w:r w:rsidRPr="000B5082">
          <w:rPr>
            <w:rFonts w:ascii="Times New Roman" w:eastAsia="Times New Roman" w:hAnsi="Times New Roman" w:cs="Times New Roman"/>
            <w:lang w:val="fr-CA"/>
          </w:rPr>
          <w:t>cellule</w:t>
        </w:r>
      </w:hyperlink>
      <w:r w:rsidRPr="000B5082">
        <w:rPr>
          <w:rFonts w:ascii="Times New Roman" w:eastAsia="Times New Roman" w:hAnsi="Times New Roman" w:cs="Times New Roman"/>
          <w:lang w:val="fr-CA"/>
        </w:rPr>
        <w:t xml:space="preserve"> (le cholestérol est notamment utilisé dans les cellules qui synthétisent des </w:t>
      </w:r>
      <w:hyperlink r:id="rId36">
        <w:r w:rsidRPr="000B5082">
          <w:rPr>
            <w:rFonts w:ascii="Times New Roman" w:eastAsia="Times New Roman" w:hAnsi="Times New Roman" w:cs="Times New Roman"/>
            <w:lang w:val="fr-CA"/>
          </w:rPr>
          <w:t>hormones</w:t>
        </w:r>
      </w:hyperlink>
      <w:r w:rsidRPr="000B5082">
        <w:rPr>
          <w:rFonts w:ascii="Times New Roman" w:eastAsia="Times New Roman" w:hAnsi="Times New Roman" w:cs="Times New Roman"/>
          <w:lang w:val="fr-CA"/>
        </w:rPr>
        <w:t xml:space="preserve"> </w:t>
      </w:r>
      <w:hyperlink r:id="rId37">
        <w:r w:rsidRPr="000B5082">
          <w:rPr>
            <w:rFonts w:ascii="Times New Roman" w:eastAsia="Times New Roman" w:hAnsi="Times New Roman" w:cs="Times New Roman"/>
            <w:lang w:val="fr-CA"/>
          </w:rPr>
          <w:t>stéroïdes</w:t>
        </w:r>
      </w:hyperlink>
      <w:r w:rsidRPr="000B5082">
        <w:rPr>
          <w:rFonts w:ascii="Times New Roman" w:eastAsia="Times New Roman" w:hAnsi="Times New Roman" w:cs="Times New Roman"/>
          <w:lang w:val="fr-CA"/>
        </w:rPr>
        <w:t xml:space="preserve"> comme la </w:t>
      </w:r>
      <w:hyperlink r:id="rId38">
        <w:r w:rsidRPr="000B5082">
          <w:rPr>
            <w:rFonts w:ascii="Times New Roman" w:eastAsia="Times New Roman" w:hAnsi="Times New Roman" w:cs="Times New Roman"/>
            <w:lang w:val="fr-CA"/>
          </w:rPr>
          <w:t>testostérone</w:t>
        </w:r>
      </w:hyperlink>
      <w:r w:rsidRPr="000B5082">
        <w:rPr>
          <w:rFonts w:ascii="Times New Roman" w:eastAsia="Times New Roman" w:hAnsi="Times New Roman" w:cs="Times New Roman"/>
          <w:lang w:val="fr-CA"/>
        </w:rPr>
        <w:t>)</w:t>
      </w:r>
    </w:p>
    <w:p w14:paraId="6E80F510" w14:textId="77777777" w:rsidR="004D0AB6" w:rsidRPr="000B5082" w:rsidRDefault="004D0AB6">
      <w:pPr>
        <w:rPr>
          <w:rFonts w:ascii="Times New Roman" w:eastAsia="Times New Roman" w:hAnsi="Times New Roman" w:cs="Times New Roman"/>
          <w:lang w:val="fr-CA"/>
        </w:rPr>
      </w:pPr>
    </w:p>
    <w:p w14:paraId="64465C4C" w14:textId="77777777" w:rsidR="004D0AB6" w:rsidRPr="000B5082" w:rsidRDefault="004D0AB6">
      <w:pPr>
        <w:rPr>
          <w:rFonts w:ascii="Verdana" w:eastAsia="Verdana" w:hAnsi="Verdana" w:cs="Verdana"/>
          <w:sz w:val="20"/>
          <w:szCs w:val="20"/>
          <w:u w:val="single"/>
          <w:lang w:val="fr-CA"/>
        </w:rPr>
      </w:pPr>
    </w:p>
    <w:p w14:paraId="7A4FC89E" w14:textId="77777777" w:rsidR="004D0AB6" w:rsidRPr="000B5082" w:rsidRDefault="004D0AB6">
      <w:pPr>
        <w:rPr>
          <w:rFonts w:ascii="Times New Roman" w:eastAsia="Times New Roman" w:hAnsi="Times New Roman" w:cs="Times New Roman"/>
          <w:u w:val="single"/>
          <w:lang w:val="fr-CA"/>
        </w:rPr>
      </w:pPr>
    </w:p>
    <w:p w14:paraId="61D03CA6" w14:textId="77777777" w:rsidR="004D0AB6" w:rsidRPr="000B5082" w:rsidRDefault="004D0AB6">
      <w:pPr>
        <w:jc w:val="both"/>
        <w:rPr>
          <w:rFonts w:ascii="Times New Roman" w:eastAsia="Times New Roman" w:hAnsi="Times New Roman" w:cs="Times New Roman"/>
          <w:b/>
          <w:lang w:val="fr-CA"/>
        </w:rPr>
      </w:pPr>
    </w:p>
    <w:p w14:paraId="0CB391D6" w14:textId="77777777" w:rsidR="004D0AB6" w:rsidRPr="000B5082" w:rsidRDefault="000B5082">
      <w:pPr>
        <w:rPr>
          <w:lang w:val="fr-CA"/>
        </w:rPr>
      </w:pPr>
      <w:r w:rsidRPr="000B5082">
        <w:rPr>
          <w:lang w:val="fr-CA"/>
        </w:rPr>
        <w:br w:type="page"/>
      </w:r>
    </w:p>
    <w:p w14:paraId="5FEE76F0" w14:textId="77777777" w:rsidR="004D0AB6" w:rsidRPr="000B5082" w:rsidRDefault="004D0AB6">
      <w:pPr>
        <w:jc w:val="both"/>
        <w:rPr>
          <w:rFonts w:ascii="Times New Roman" w:eastAsia="Times New Roman" w:hAnsi="Times New Roman" w:cs="Times New Roman"/>
          <w:b/>
          <w:lang w:val="fr-CA"/>
        </w:rPr>
      </w:pPr>
    </w:p>
    <w:p w14:paraId="5A55B7DE" w14:textId="77777777" w:rsidR="004D0AB6" w:rsidRPr="000B5082" w:rsidRDefault="000B5082">
      <w:pPr>
        <w:jc w:val="both"/>
        <w:rPr>
          <w:rFonts w:ascii="Times New Roman" w:eastAsia="Times New Roman" w:hAnsi="Times New Roman" w:cs="Times New Roman"/>
          <w:b/>
          <w:lang w:val="fr-CA"/>
        </w:rPr>
      </w:pPr>
      <w:r w:rsidRPr="000B5082">
        <w:rPr>
          <w:rFonts w:ascii="Times New Roman" w:eastAsia="Times New Roman" w:hAnsi="Times New Roman" w:cs="Times New Roman"/>
          <w:b/>
          <w:lang w:val="fr-CA"/>
        </w:rPr>
        <w:t>Cours 15: Mort cellulaire</w:t>
      </w:r>
    </w:p>
    <w:p w14:paraId="257BA1F5" w14:textId="77777777" w:rsidR="004D0AB6" w:rsidRPr="000B5082" w:rsidRDefault="004D0AB6">
      <w:pPr>
        <w:jc w:val="both"/>
        <w:rPr>
          <w:rFonts w:ascii="Times New Roman" w:eastAsia="Times New Roman" w:hAnsi="Times New Roman" w:cs="Times New Roman"/>
          <w:b/>
          <w:lang w:val="fr-CA"/>
        </w:rPr>
      </w:pPr>
    </w:p>
    <w:p w14:paraId="1300F379" w14:textId="77777777" w:rsidR="004D0AB6" w:rsidRPr="000B5082" w:rsidRDefault="000B5082">
      <w:pPr>
        <w:numPr>
          <w:ilvl w:val="0"/>
          <w:numId w:val="18"/>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u w:val="single"/>
          <w:lang w:val="fr-CA"/>
        </w:rPr>
        <w:t>Apoptose:</w:t>
      </w:r>
      <w:r w:rsidRPr="000B5082">
        <w:rPr>
          <w:rFonts w:ascii="Times New Roman" w:eastAsia="Times New Roman" w:hAnsi="Times New Roman" w:cs="Times New Roman"/>
          <w:lang w:val="fr-CA"/>
        </w:rPr>
        <w:t xml:space="preserve"> Mort cellulaire programmée, suite à un message perçu par la cellule. Il n’y a pas de déversement du contenu de la cellule à l'extérieur et donc pas d’inflammation. </w:t>
      </w:r>
      <w:r w:rsidRPr="000B5082">
        <w:rPr>
          <w:rFonts w:ascii="Times New Roman" w:eastAsia="Times New Roman" w:hAnsi="Times New Roman" w:cs="Times New Roman"/>
          <w:color w:val="212121"/>
          <w:lang w:val="fr-CA"/>
        </w:rPr>
        <w:t>L'apoptose supprime les cellules pendant le développement, élimine les cellules potentielle</w:t>
      </w:r>
      <w:r w:rsidRPr="000B5082">
        <w:rPr>
          <w:rFonts w:ascii="Times New Roman" w:eastAsia="Times New Roman" w:hAnsi="Times New Roman" w:cs="Times New Roman"/>
          <w:color w:val="212121"/>
          <w:lang w:val="fr-CA"/>
        </w:rPr>
        <w:t>ment cancéreuses et infectées par le virus et maintient l'équilibre dans le corps.</w:t>
      </w:r>
    </w:p>
    <w:p w14:paraId="268916AA" w14:textId="77777777" w:rsidR="004D0AB6" w:rsidRPr="000B5082" w:rsidRDefault="000B5082">
      <w:pPr>
        <w:numPr>
          <w:ilvl w:val="0"/>
          <w:numId w:val="16"/>
        </w:numPr>
        <w:ind w:hanging="360"/>
        <w:contextualSpacing/>
        <w:jc w:val="both"/>
        <w:rPr>
          <w:rFonts w:ascii="Times New Roman" w:eastAsia="Times New Roman" w:hAnsi="Times New Roman" w:cs="Times New Roman"/>
          <w:color w:val="212121"/>
          <w:lang w:val="fr-CA"/>
        </w:rPr>
      </w:pPr>
      <w:r w:rsidRPr="000B5082">
        <w:rPr>
          <w:rFonts w:ascii="Times New Roman" w:eastAsia="Times New Roman" w:hAnsi="Times New Roman" w:cs="Times New Roman"/>
          <w:color w:val="212121"/>
          <w:lang w:val="fr-CA"/>
        </w:rPr>
        <w:t xml:space="preserve">Mécanisme generale: Contraction de la cellule dû à condensation de chromatine, protéolyse du cytosquelette. </w:t>
      </w:r>
    </w:p>
    <w:p w14:paraId="743749F4" w14:textId="77777777" w:rsidR="004D0AB6" w:rsidRPr="000B5082" w:rsidRDefault="000B5082">
      <w:pPr>
        <w:numPr>
          <w:ilvl w:val="0"/>
          <w:numId w:val="26"/>
        </w:numPr>
        <w:ind w:hanging="360"/>
        <w:contextualSpacing/>
        <w:jc w:val="both"/>
        <w:rPr>
          <w:rFonts w:ascii="Times New Roman" w:eastAsia="Times New Roman" w:hAnsi="Times New Roman" w:cs="Times New Roman"/>
          <w:color w:val="212121"/>
          <w:lang w:val="fr-CA"/>
        </w:rPr>
      </w:pPr>
      <w:r w:rsidRPr="000B5082">
        <w:rPr>
          <w:rFonts w:ascii="Times New Roman" w:eastAsia="Times New Roman" w:hAnsi="Times New Roman" w:cs="Times New Roman"/>
          <w:color w:val="212121"/>
          <w:lang w:val="fr-CA"/>
        </w:rPr>
        <w:t xml:space="preserve">Voie intrinsèque: </w:t>
      </w:r>
    </w:p>
    <w:p w14:paraId="081CF973" w14:textId="77777777" w:rsidR="004D0AB6" w:rsidRPr="000B5082" w:rsidRDefault="000B5082">
      <w:pPr>
        <w:numPr>
          <w:ilvl w:val="1"/>
          <w:numId w:val="26"/>
        </w:numPr>
        <w:ind w:hanging="360"/>
        <w:contextualSpacing/>
        <w:jc w:val="both"/>
        <w:rPr>
          <w:rFonts w:ascii="Times New Roman" w:eastAsia="Times New Roman" w:hAnsi="Times New Roman" w:cs="Times New Roman"/>
          <w:color w:val="212121"/>
          <w:lang w:val="fr-CA"/>
        </w:rPr>
      </w:pPr>
      <w:r w:rsidRPr="000B5082">
        <w:rPr>
          <w:rFonts w:ascii="Times New Roman" w:eastAsia="Times New Roman" w:hAnsi="Times New Roman" w:cs="Times New Roman"/>
          <w:color w:val="212121"/>
          <w:lang w:val="fr-CA"/>
        </w:rPr>
        <w:t>Signal provient de la cellule: Dommage de l’ADN, manque d’O</w:t>
      </w:r>
      <w:r w:rsidRPr="000B5082">
        <w:rPr>
          <w:rFonts w:ascii="Times New Roman" w:eastAsia="Times New Roman" w:hAnsi="Times New Roman" w:cs="Times New Roman"/>
          <w:color w:val="212121"/>
          <w:vertAlign w:val="subscript"/>
          <w:lang w:val="fr-CA"/>
        </w:rPr>
        <w:t>2</w:t>
      </w:r>
      <w:r w:rsidRPr="000B5082">
        <w:rPr>
          <w:rFonts w:ascii="Times New Roman" w:eastAsia="Times New Roman" w:hAnsi="Times New Roman" w:cs="Times New Roman"/>
          <w:color w:val="212121"/>
          <w:lang w:val="fr-CA"/>
        </w:rPr>
        <w:t>, Ca</w:t>
      </w:r>
      <w:r w:rsidRPr="000B5082">
        <w:rPr>
          <w:rFonts w:ascii="Times New Roman" w:eastAsia="Times New Roman" w:hAnsi="Times New Roman" w:cs="Times New Roman"/>
          <w:color w:val="212121"/>
          <w:vertAlign w:val="superscript"/>
          <w:lang w:val="fr-CA"/>
        </w:rPr>
        <w:t>2+</w:t>
      </w:r>
      <w:r w:rsidRPr="000B5082">
        <w:rPr>
          <w:rFonts w:ascii="Times New Roman" w:eastAsia="Times New Roman" w:hAnsi="Times New Roman" w:cs="Times New Roman"/>
          <w:color w:val="212121"/>
          <w:lang w:val="fr-CA"/>
        </w:rPr>
        <w:t>, stress oxydatif trop élevée, détection d’un virus à l'intérieur de la cellule.</w:t>
      </w:r>
    </w:p>
    <w:p w14:paraId="5A9A6227" w14:textId="77777777" w:rsidR="004D0AB6" w:rsidRPr="000B5082" w:rsidRDefault="000B5082">
      <w:pPr>
        <w:numPr>
          <w:ilvl w:val="1"/>
          <w:numId w:val="26"/>
        </w:numPr>
        <w:ind w:hanging="360"/>
        <w:contextualSpacing/>
        <w:jc w:val="both"/>
        <w:rPr>
          <w:rFonts w:ascii="Times New Roman" w:eastAsia="Times New Roman" w:hAnsi="Times New Roman" w:cs="Times New Roman"/>
          <w:color w:val="212121"/>
          <w:lang w:val="fr-CA"/>
        </w:rPr>
      </w:pPr>
      <w:r w:rsidRPr="000B5082">
        <w:rPr>
          <w:rFonts w:ascii="Times New Roman" w:eastAsia="Times New Roman" w:hAnsi="Times New Roman" w:cs="Times New Roman"/>
          <w:color w:val="212121"/>
          <w:lang w:val="fr-CA"/>
        </w:rPr>
        <w:t xml:space="preserve">Voie qui passe par la mitochondrie (debute par la relache de cytochrome c dans cytoplasme). </w:t>
      </w:r>
    </w:p>
    <w:p w14:paraId="6FB466E7" w14:textId="77777777" w:rsidR="004D0AB6" w:rsidRPr="000B5082" w:rsidRDefault="000B5082">
      <w:pPr>
        <w:numPr>
          <w:ilvl w:val="0"/>
          <w:numId w:val="26"/>
        </w:numPr>
        <w:ind w:hanging="360"/>
        <w:contextualSpacing/>
        <w:jc w:val="both"/>
        <w:rPr>
          <w:rFonts w:ascii="Times New Roman" w:eastAsia="Times New Roman" w:hAnsi="Times New Roman" w:cs="Times New Roman"/>
          <w:color w:val="212121"/>
          <w:lang w:val="fr-CA"/>
        </w:rPr>
      </w:pPr>
      <w:r w:rsidRPr="000B5082">
        <w:rPr>
          <w:rFonts w:ascii="Times New Roman" w:eastAsia="Times New Roman" w:hAnsi="Times New Roman" w:cs="Times New Roman"/>
          <w:color w:val="212121"/>
          <w:lang w:val="fr-CA"/>
        </w:rPr>
        <w:t>Voie extrinsèque</w:t>
      </w:r>
      <w:r w:rsidRPr="000B5082">
        <w:rPr>
          <w:rFonts w:ascii="Times New Roman" w:eastAsia="Times New Roman" w:hAnsi="Times New Roman" w:cs="Times New Roman"/>
          <w:color w:val="212121"/>
          <w:lang w:val="fr-CA"/>
        </w:rPr>
        <w:t>:</w:t>
      </w:r>
    </w:p>
    <w:p w14:paraId="76DCABF8" w14:textId="77777777" w:rsidR="004D0AB6" w:rsidRPr="000B5082" w:rsidRDefault="000B5082">
      <w:pPr>
        <w:numPr>
          <w:ilvl w:val="1"/>
          <w:numId w:val="26"/>
        </w:numPr>
        <w:ind w:hanging="360"/>
        <w:contextualSpacing/>
        <w:jc w:val="both"/>
        <w:rPr>
          <w:rFonts w:ascii="Times New Roman" w:eastAsia="Times New Roman" w:hAnsi="Times New Roman" w:cs="Times New Roman"/>
          <w:color w:val="212121"/>
          <w:lang w:val="fr-CA"/>
        </w:rPr>
      </w:pPr>
      <w:r w:rsidRPr="000B5082">
        <w:rPr>
          <w:rFonts w:ascii="Times New Roman" w:eastAsia="Times New Roman" w:hAnsi="Times New Roman" w:cs="Times New Roman"/>
          <w:color w:val="212121"/>
          <w:lang w:val="fr-CA"/>
        </w:rPr>
        <w:t>Signal provient de l'extérieur de la cellule.</w:t>
      </w:r>
    </w:p>
    <w:p w14:paraId="0ABE3345" w14:textId="77777777" w:rsidR="004D0AB6" w:rsidRPr="000B5082" w:rsidRDefault="000B5082">
      <w:pPr>
        <w:numPr>
          <w:ilvl w:val="1"/>
          <w:numId w:val="26"/>
        </w:numPr>
        <w:ind w:hanging="360"/>
        <w:contextualSpacing/>
        <w:jc w:val="both"/>
        <w:rPr>
          <w:rFonts w:ascii="Times New Roman" w:eastAsia="Times New Roman" w:hAnsi="Times New Roman" w:cs="Times New Roman"/>
          <w:color w:val="212121"/>
          <w:lang w:val="fr-CA"/>
        </w:rPr>
      </w:pPr>
      <w:r w:rsidRPr="000B5082">
        <w:rPr>
          <w:rFonts w:ascii="Times New Roman" w:eastAsia="Times New Roman" w:hAnsi="Times New Roman" w:cs="Times New Roman"/>
          <w:color w:val="212121"/>
          <w:lang w:val="fr-CA"/>
        </w:rPr>
        <w:t xml:space="preserve">un messager se lie à un récepteur de mort </w:t>
      </w:r>
    </w:p>
    <w:p w14:paraId="3DC1A061" w14:textId="77777777" w:rsidR="004D0AB6" w:rsidRPr="000B5082" w:rsidRDefault="000B5082">
      <w:pPr>
        <w:numPr>
          <w:ilvl w:val="0"/>
          <w:numId w:val="26"/>
        </w:numPr>
        <w:ind w:hanging="360"/>
        <w:contextualSpacing/>
        <w:jc w:val="both"/>
        <w:rPr>
          <w:rFonts w:ascii="Times New Roman" w:eastAsia="Times New Roman" w:hAnsi="Times New Roman" w:cs="Times New Roman"/>
          <w:color w:val="212121"/>
          <w:lang w:val="fr-CA"/>
        </w:rPr>
      </w:pPr>
      <w:r w:rsidRPr="000B5082">
        <w:rPr>
          <w:rFonts w:ascii="Times New Roman" w:eastAsia="Times New Roman" w:hAnsi="Times New Roman" w:cs="Times New Roman"/>
          <w:color w:val="212121"/>
          <w:lang w:val="fr-CA"/>
        </w:rPr>
        <w:t xml:space="preserve">Vue d’ensemble des voies apoptotiques extrinsèques et intrinsèques: </w:t>
      </w:r>
    </w:p>
    <w:p w14:paraId="48327990" w14:textId="77777777" w:rsidR="004D0AB6" w:rsidRPr="000B5082" w:rsidRDefault="000B5082">
      <w:pPr>
        <w:numPr>
          <w:ilvl w:val="1"/>
          <w:numId w:val="26"/>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Dans la voie extrinsèque, les récepteurs de mort recrutent des protéines adaptatives possédant d</w:t>
      </w:r>
      <w:r w:rsidRPr="000B5082">
        <w:rPr>
          <w:rFonts w:ascii="Times New Roman" w:eastAsia="Times New Roman" w:hAnsi="Times New Roman" w:cs="Times New Roman"/>
          <w:lang w:val="fr-CA"/>
        </w:rPr>
        <w:t>es domaine de mort (FADD dans cet exemple). Ces domaines de mort permettent de cliver les procaspases en caspases actives, qui pourront ensuite activer les caspases effectrices (caspase 3). Ces caspases initiatrices clivent ensuite les caspases effectrices</w:t>
      </w:r>
      <w:r w:rsidRPr="000B5082">
        <w:rPr>
          <w:rFonts w:ascii="Times New Roman" w:eastAsia="Times New Roman" w:hAnsi="Times New Roman" w:cs="Times New Roman"/>
          <w:lang w:val="fr-CA"/>
        </w:rPr>
        <w:t xml:space="preserve"> qui activent les cibles en aval et exécutent le processus apoptotique</w:t>
      </w:r>
      <w:r w:rsidRPr="000B5082">
        <w:rPr>
          <w:sz w:val="24"/>
          <w:szCs w:val="24"/>
          <w:lang w:val="fr-CA"/>
        </w:rPr>
        <w:t>.</w:t>
      </w:r>
    </w:p>
    <w:p w14:paraId="536E585C" w14:textId="77777777" w:rsidR="004D0AB6" w:rsidRPr="000B5082" w:rsidRDefault="000B5082">
      <w:pPr>
        <w:numPr>
          <w:ilvl w:val="1"/>
          <w:numId w:val="26"/>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Dans la voie intrinsèque, les stimuli de mort ciblent les mitochondries soit directement, soit par transduction par Bid, Bax et Bak. Des pores se forment dans la mitochondrie qui laiss</w:t>
      </w:r>
      <w:r w:rsidRPr="000B5082">
        <w:rPr>
          <w:rFonts w:ascii="Times New Roman" w:eastAsia="Times New Roman" w:hAnsi="Times New Roman" w:cs="Times New Roman"/>
          <w:lang w:val="fr-CA"/>
        </w:rPr>
        <w:t xml:space="preserve">e passer des cytochrome </w:t>
      </w:r>
      <w:r w:rsidRPr="000B5082">
        <w:rPr>
          <w:rFonts w:ascii="Times New Roman" w:eastAsia="Times New Roman" w:hAnsi="Times New Roman" w:cs="Times New Roman"/>
          <w:i/>
          <w:lang w:val="fr-CA"/>
        </w:rPr>
        <w:t>c</w:t>
      </w:r>
      <w:r w:rsidRPr="000B5082">
        <w:rPr>
          <w:rFonts w:ascii="Times New Roman" w:eastAsia="Times New Roman" w:hAnsi="Times New Roman" w:cs="Times New Roman"/>
          <w:lang w:val="fr-CA"/>
        </w:rPr>
        <w:t xml:space="preserve"> dans le cytoplasme. Les cytochrome c activent la formation d’un complexe protéique nommé apoptosome. L’apoptosome active les caspases effectrices (caspase 3) qui activent les cibles en aval et exécutent le processus apoptotique. </w:t>
      </w:r>
    </w:p>
    <w:p w14:paraId="4B40B376" w14:textId="77777777" w:rsidR="004D0AB6" w:rsidRPr="000B5082" w:rsidRDefault="000B5082">
      <w:pPr>
        <w:numPr>
          <w:ilvl w:val="0"/>
          <w:numId w:val="18"/>
        </w:numPr>
        <w:ind w:hanging="360"/>
        <w:contextualSpacing/>
        <w:jc w:val="both"/>
        <w:rPr>
          <w:rFonts w:ascii="Times New Roman" w:eastAsia="Times New Roman" w:hAnsi="Times New Roman" w:cs="Times New Roman"/>
          <w:color w:val="212121"/>
          <w:lang w:val="fr-CA"/>
        </w:rPr>
      </w:pPr>
      <w:r w:rsidRPr="000B5082">
        <w:rPr>
          <w:rFonts w:ascii="Times New Roman" w:eastAsia="Times New Roman" w:hAnsi="Times New Roman" w:cs="Times New Roman"/>
          <w:color w:val="212121"/>
          <w:u w:val="single"/>
          <w:lang w:val="fr-CA"/>
        </w:rPr>
        <w:t xml:space="preserve">Nécrose: </w:t>
      </w:r>
      <w:r w:rsidRPr="000B5082">
        <w:rPr>
          <w:rFonts w:ascii="Times New Roman" w:eastAsia="Times New Roman" w:hAnsi="Times New Roman" w:cs="Times New Roman"/>
          <w:color w:val="212121"/>
          <w:lang w:val="fr-CA"/>
        </w:rPr>
        <w:t>Lorsque les cellules sont endommagées par des facteurs nuisibles (tels que des blessures ou des produits chimiques toxiques), il y a dilatation de la membrane cellulaire et gonflement de la cellules jusqu'à son éclatement. Le contenu de la cellule</w:t>
      </w:r>
      <w:r w:rsidRPr="000B5082">
        <w:rPr>
          <w:rFonts w:ascii="Times New Roman" w:eastAsia="Times New Roman" w:hAnsi="Times New Roman" w:cs="Times New Roman"/>
          <w:color w:val="212121"/>
          <w:lang w:val="fr-CA"/>
        </w:rPr>
        <w:t xml:space="preserve"> se déverse dans le milieu externe et peut provoquer de l'inflammation. </w:t>
      </w:r>
    </w:p>
    <w:p w14:paraId="0C31A13E" w14:textId="77777777" w:rsidR="004D0AB6" w:rsidRPr="000B5082" w:rsidRDefault="000B5082">
      <w:pPr>
        <w:jc w:val="center"/>
        <w:rPr>
          <w:rFonts w:ascii="Times New Roman" w:eastAsia="Times New Roman" w:hAnsi="Times New Roman" w:cs="Times New Roman"/>
          <w:color w:val="212121"/>
          <w:lang w:val="fr-CA"/>
        </w:rPr>
      </w:pPr>
      <w:r w:rsidRPr="000B5082">
        <w:rPr>
          <w:noProof/>
          <w:lang w:val="fr-CA"/>
        </w:rPr>
        <w:lastRenderedPageBreak/>
        <w:drawing>
          <wp:inline distT="114300" distB="114300" distL="114300" distR="114300" wp14:anchorId="65360E9F" wp14:editId="65DBD030">
            <wp:extent cx="1984820" cy="2157413"/>
            <wp:effectExtent l="0" t="0" r="0" b="0"/>
            <wp:docPr id="20" name="image40.png"/>
            <wp:cNvGraphicFramePr/>
            <a:graphic xmlns:a="http://schemas.openxmlformats.org/drawingml/2006/main">
              <a:graphicData uri="http://schemas.openxmlformats.org/drawingml/2006/picture">
                <pic:pic xmlns:pic="http://schemas.openxmlformats.org/drawingml/2006/picture">
                  <pic:nvPicPr>
                    <pic:cNvPr id="0" name="image40.png"/>
                    <pic:cNvPicPr preferRelativeResize="0"/>
                  </pic:nvPicPr>
                  <pic:blipFill>
                    <a:blip r:embed="rId39"/>
                    <a:srcRect/>
                    <a:stretch>
                      <a:fillRect/>
                    </a:stretch>
                  </pic:blipFill>
                  <pic:spPr>
                    <a:xfrm>
                      <a:off x="0" y="0"/>
                      <a:ext cx="1984820" cy="2157413"/>
                    </a:xfrm>
                    <a:prstGeom prst="rect">
                      <a:avLst/>
                    </a:prstGeom>
                    <a:ln/>
                  </pic:spPr>
                </pic:pic>
              </a:graphicData>
            </a:graphic>
          </wp:inline>
        </w:drawing>
      </w:r>
    </w:p>
    <w:p w14:paraId="67038629" w14:textId="77777777" w:rsidR="004D0AB6" w:rsidRPr="000B5082" w:rsidRDefault="000B5082">
      <w:pPr>
        <w:numPr>
          <w:ilvl w:val="0"/>
          <w:numId w:val="18"/>
        </w:numPr>
        <w:ind w:hanging="360"/>
        <w:contextualSpacing/>
        <w:jc w:val="both"/>
        <w:rPr>
          <w:rFonts w:ascii="Times New Roman" w:eastAsia="Times New Roman" w:hAnsi="Times New Roman" w:cs="Times New Roman"/>
          <w:color w:val="212121"/>
          <w:lang w:val="fr-CA"/>
        </w:rPr>
      </w:pPr>
      <w:r w:rsidRPr="000B5082">
        <w:rPr>
          <w:rFonts w:ascii="Times New Roman" w:eastAsia="Times New Roman" w:hAnsi="Times New Roman" w:cs="Times New Roman"/>
          <w:color w:val="212121"/>
          <w:u w:val="single"/>
          <w:lang w:val="fr-CA"/>
        </w:rPr>
        <w:t>Autophagie:</w:t>
      </w:r>
      <w:r w:rsidRPr="000B5082">
        <w:rPr>
          <w:rFonts w:ascii="Times New Roman" w:eastAsia="Times New Roman" w:hAnsi="Times New Roman" w:cs="Times New Roman"/>
          <w:color w:val="212121"/>
          <w:lang w:val="fr-CA"/>
        </w:rPr>
        <w:t xml:space="preserve"> Autodigestion d’un nombre de composantes cellulaires trop nombreuses pour survivre. Il n’y a généralement pas de déversement du contenu de la cellule à l'extérieur et do</w:t>
      </w:r>
      <w:r w:rsidRPr="000B5082">
        <w:rPr>
          <w:rFonts w:ascii="Times New Roman" w:eastAsia="Times New Roman" w:hAnsi="Times New Roman" w:cs="Times New Roman"/>
          <w:color w:val="212121"/>
          <w:lang w:val="fr-CA"/>
        </w:rPr>
        <w:t xml:space="preserve">nc pas d’inflammation. </w:t>
      </w:r>
    </w:p>
    <w:p w14:paraId="0D3ECD68" w14:textId="77777777" w:rsidR="004D0AB6" w:rsidRPr="000B5082" w:rsidRDefault="004D0AB6">
      <w:pPr>
        <w:ind w:right="40"/>
        <w:jc w:val="both"/>
        <w:rPr>
          <w:rFonts w:ascii="Times New Roman" w:eastAsia="Times New Roman" w:hAnsi="Times New Roman" w:cs="Times New Roman"/>
          <w:color w:val="212121"/>
          <w:highlight w:val="white"/>
          <w:lang w:val="fr-CA"/>
        </w:rPr>
      </w:pPr>
    </w:p>
    <w:p w14:paraId="3D5AC195" w14:textId="77777777" w:rsidR="004D0AB6" w:rsidRPr="000B5082" w:rsidRDefault="000B5082">
      <w:pPr>
        <w:jc w:val="both"/>
        <w:rPr>
          <w:rFonts w:ascii="Times New Roman" w:eastAsia="Times New Roman" w:hAnsi="Times New Roman" w:cs="Times New Roman"/>
          <w:u w:val="single"/>
          <w:lang w:val="fr-CA"/>
        </w:rPr>
      </w:pPr>
      <w:r w:rsidRPr="000B5082">
        <w:rPr>
          <w:rFonts w:ascii="Times New Roman" w:eastAsia="Times New Roman" w:hAnsi="Times New Roman" w:cs="Times New Roman"/>
          <w:u w:val="single"/>
          <w:lang w:val="fr-CA"/>
        </w:rPr>
        <w:t xml:space="preserve">Certain signaux de survie font l’opposition aux signaux apoptotique: </w:t>
      </w:r>
    </w:p>
    <w:p w14:paraId="5DC150D0" w14:textId="77777777" w:rsidR="004D0AB6" w:rsidRPr="000B5082" w:rsidRDefault="000B5082">
      <w:pPr>
        <w:numPr>
          <w:ilvl w:val="0"/>
          <w:numId w:val="5"/>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 xml:space="preserve">La radiation induit l’activation des récepteurs HER, une famille de récepteur de facteurs de croissance dont EGFR fait partie. </w:t>
      </w:r>
    </w:p>
    <w:p w14:paraId="5C4613AD" w14:textId="77777777" w:rsidR="004D0AB6" w:rsidRPr="000B5082" w:rsidRDefault="000B5082">
      <w:pPr>
        <w:numPr>
          <w:ilvl w:val="0"/>
          <w:numId w:val="5"/>
        </w:numPr>
        <w:ind w:hanging="360"/>
        <w:contextualSpacing/>
        <w:jc w:val="both"/>
        <w:rPr>
          <w:rFonts w:ascii="Times New Roman" w:eastAsia="Times New Roman" w:hAnsi="Times New Roman" w:cs="Times New Roman"/>
          <w:lang w:val="fr-CA"/>
        </w:rPr>
      </w:pPr>
      <w:r w:rsidRPr="000B5082">
        <w:rPr>
          <w:rFonts w:ascii="Times New Roman" w:eastAsia="Times New Roman" w:hAnsi="Times New Roman" w:cs="Times New Roman"/>
          <w:lang w:val="fr-CA"/>
        </w:rPr>
        <w:t xml:space="preserve">Cette radiation conduit à l’activation des voies de signalisation PI3K/AKT et RAS/RAF/MEK/ERK qui favorisent la survie cellulaire. </w:t>
      </w:r>
    </w:p>
    <w:p w14:paraId="076DC511" w14:textId="77777777" w:rsidR="004D0AB6" w:rsidRPr="000B5082" w:rsidRDefault="000B5082">
      <w:pPr>
        <w:rPr>
          <w:rFonts w:ascii="Times New Roman" w:eastAsia="Times New Roman" w:hAnsi="Times New Roman" w:cs="Times New Roman"/>
          <w:b/>
          <w:lang w:val="fr-CA"/>
        </w:rPr>
      </w:pPr>
      <w:r w:rsidRPr="000B5082">
        <w:rPr>
          <w:rFonts w:ascii="Times New Roman" w:eastAsia="Times New Roman" w:hAnsi="Times New Roman" w:cs="Times New Roman"/>
          <w:color w:val="212121"/>
          <w:lang w:val="fr-CA"/>
        </w:rPr>
        <w:br/>
      </w:r>
      <w:bookmarkStart w:id="0" w:name="_GoBack"/>
      <w:bookmarkEnd w:id="0"/>
    </w:p>
    <w:sectPr w:rsidR="004D0AB6" w:rsidRPr="000B5082">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Calibri Light">
    <w:panose1 w:val="020F0302020204030204"/>
    <w:charset w:val="00"/>
    <w:family w:val="auto"/>
    <w:pitch w:val="variable"/>
    <w:sig w:usb0="A00002EF" w:usb1="4000207B"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DA6CD2"/>
    <w:multiLevelType w:val="multilevel"/>
    <w:tmpl w:val="1BBE91C6"/>
    <w:lvl w:ilvl="0">
      <w:start w:val="1"/>
      <w:numFmt w:val="bullet"/>
      <w:lvlText w:val="●"/>
      <w:lvlJc w:val="left"/>
      <w:pPr>
        <w:ind w:left="2160" w:firstLine="1800"/>
      </w:pPr>
      <w:rPr>
        <w:u w:val="none"/>
      </w:rPr>
    </w:lvl>
    <w:lvl w:ilvl="1">
      <w:start w:val="1"/>
      <w:numFmt w:val="bullet"/>
      <w:lvlText w:val="○"/>
      <w:lvlJc w:val="left"/>
      <w:pPr>
        <w:ind w:left="2880" w:firstLine="2520"/>
      </w:pPr>
      <w:rPr>
        <w:u w:val="none"/>
      </w:rPr>
    </w:lvl>
    <w:lvl w:ilvl="2">
      <w:start w:val="1"/>
      <w:numFmt w:val="bullet"/>
      <w:lvlText w:val="■"/>
      <w:lvlJc w:val="left"/>
      <w:pPr>
        <w:ind w:left="3600" w:firstLine="3240"/>
      </w:pPr>
      <w:rPr>
        <w:u w:val="none"/>
      </w:rPr>
    </w:lvl>
    <w:lvl w:ilvl="3">
      <w:start w:val="1"/>
      <w:numFmt w:val="bullet"/>
      <w:lvlText w:val="●"/>
      <w:lvlJc w:val="left"/>
      <w:pPr>
        <w:ind w:left="4320" w:firstLine="3960"/>
      </w:pPr>
      <w:rPr>
        <w:u w:val="none"/>
      </w:rPr>
    </w:lvl>
    <w:lvl w:ilvl="4">
      <w:start w:val="1"/>
      <w:numFmt w:val="bullet"/>
      <w:lvlText w:val="○"/>
      <w:lvlJc w:val="left"/>
      <w:pPr>
        <w:ind w:left="5040" w:firstLine="4680"/>
      </w:pPr>
      <w:rPr>
        <w:u w:val="none"/>
      </w:rPr>
    </w:lvl>
    <w:lvl w:ilvl="5">
      <w:start w:val="1"/>
      <w:numFmt w:val="bullet"/>
      <w:lvlText w:val="■"/>
      <w:lvlJc w:val="left"/>
      <w:pPr>
        <w:ind w:left="5760" w:firstLine="5400"/>
      </w:pPr>
      <w:rPr>
        <w:u w:val="none"/>
      </w:rPr>
    </w:lvl>
    <w:lvl w:ilvl="6">
      <w:start w:val="1"/>
      <w:numFmt w:val="bullet"/>
      <w:lvlText w:val="●"/>
      <w:lvlJc w:val="left"/>
      <w:pPr>
        <w:ind w:left="6480" w:firstLine="6120"/>
      </w:pPr>
      <w:rPr>
        <w:u w:val="none"/>
      </w:rPr>
    </w:lvl>
    <w:lvl w:ilvl="7">
      <w:start w:val="1"/>
      <w:numFmt w:val="bullet"/>
      <w:lvlText w:val="○"/>
      <w:lvlJc w:val="left"/>
      <w:pPr>
        <w:ind w:left="7200" w:firstLine="6840"/>
      </w:pPr>
      <w:rPr>
        <w:u w:val="none"/>
      </w:rPr>
    </w:lvl>
    <w:lvl w:ilvl="8">
      <w:start w:val="1"/>
      <w:numFmt w:val="bullet"/>
      <w:lvlText w:val="■"/>
      <w:lvlJc w:val="left"/>
      <w:pPr>
        <w:ind w:left="7920" w:firstLine="7560"/>
      </w:pPr>
      <w:rPr>
        <w:u w:val="none"/>
      </w:rPr>
    </w:lvl>
  </w:abstractNum>
  <w:abstractNum w:abstractNumId="1">
    <w:nsid w:val="0A760EE1"/>
    <w:multiLevelType w:val="multilevel"/>
    <w:tmpl w:val="F9BC31A6"/>
    <w:lvl w:ilvl="0">
      <w:start w:val="1"/>
      <w:numFmt w:val="bullet"/>
      <w:lvlText w:val="●"/>
      <w:lvlJc w:val="left"/>
      <w:pPr>
        <w:ind w:left="720" w:firstLine="360"/>
      </w:pPr>
      <w:rPr>
        <w:rFonts w:ascii="Arial" w:eastAsia="Arial" w:hAnsi="Arial" w:cs="Arial"/>
        <w:b w:val="0"/>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nsid w:val="0BFC7648"/>
    <w:multiLevelType w:val="multilevel"/>
    <w:tmpl w:val="F23EDD8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nsid w:val="0EA21A6D"/>
    <w:multiLevelType w:val="multilevel"/>
    <w:tmpl w:val="DFB022F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4">
    <w:nsid w:val="13044226"/>
    <w:multiLevelType w:val="multilevel"/>
    <w:tmpl w:val="DC321924"/>
    <w:lvl w:ilvl="0">
      <w:start w:val="1"/>
      <w:numFmt w:val="bullet"/>
      <w:lvlText w:val="●"/>
      <w:lvlJc w:val="left"/>
      <w:pPr>
        <w:ind w:left="2160" w:firstLine="1800"/>
      </w:pPr>
      <w:rPr>
        <w:u w:val="none"/>
      </w:rPr>
    </w:lvl>
    <w:lvl w:ilvl="1">
      <w:start w:val="1"/>
      <w:numFmt w:val="bullet"/>
      <w:lvlText w:val="○"/>
      <w:lvlJc w:val="left"/>
      <w:pPr>
        <w:ind w:left="2880" w:firstLine="2520"/>
      </w:pPr>
      <w:rPr>
        <w:u w:val="none"/>
      </w:rPr>
    </w:lvl>
    <w:lvl w:ilvl="2">
      <w:start w:val="1"/>
      <w:numFmt w:val="bullet"/>
      <w:lvlText w:val="■"/>
      <w:lvlJc w:val="left"/>
      <w:pPr>
        <w:ind w:left="3600" w:firstLine="3240"/>
      </w:pPr>
      <w:rPr>
        <w:u w:val="none"/>
      </w:rPr>
    </w:lvl>
    <w:lvl w:ilvl="3">
      <w:start w:val="1"/>
      <w:numFmt w:val="bullet"/>
      <w:lvlText w:val="●"/>
      <w:lvlJc w:val="left"/>
      <w:pPr>
        <w:ind w:left="4320" w:firstLine="3960"/>
      </w:pPr>
      <w:rPr>
        <w:u w:val="none"/>
      </w:rPr>
    </w:lvl>
    <w:lvl w:ilvl="4">
      <w:start w:val="1"/>
      <w:numFmt w:val="bullet"/>
      <w:lvlText w:val="○"/>
      <w:lvlJc w:val="left"/>
      <w:pPr>
        <w:ind w:left="5040" w:firstLine="4680"/>
      </w:pPr>
      <w:rPr>
        <w:u w:val="none"/>
      </w:rPr>
    </w:lvl>
    <w:lvl w:ilvl="5">
      <w:start w:val="1"/>
      <w:numFmt w:val="bullet"/>
      <w:lvlText w:val="■"/>
      <w:lvlJc w:val="left"/>
      <w:pPr>
        <w:ind w:left="5760" w:firstLine="5400"/>
      </w:pPr>
      <w:rPr>
        <w:u w:val="none"/>
      </w:rPr>
    </w:lvl>
    <w:lvl w:ilvl="6">
      <w:start w:val="1"/>
      <w:numFmt w:val="bullet"/>
      <w:lvlText w:val="●"/>
      <w:lvlJc w:val="left"/>
      <w:pPr>
        <w:ind w:left="6480" w:firstLine="6120"/>
      </w:pPr>
      <w:rPr>
        <w:u w:val="none"/>
      </w:rPr>
    </w:lvl>
    <w:lvl w:ilvl="7">
      <w:start w:val="1"/>
      <w:numFmt w:val="bullet"/>
      <w:lvlText w:val="○"/>
      <w:lvlJc w:val="left"/>
      <w:pPr>
        <w:ind w:left="7200" w:firstLine="6840"/>
      </w:pPr>
      <w:rPr>
        <w:u w:val="none"/>
      </w:rPr>
    </w:lvl>
    <w:lvl w:ilvl="8">
      <w:start w:val="1"/>
      <w:numFmt w:val="bullet"/>
      <w:lvlText w:val="■"/>
      <w:lvlJc w:val="left"/>
      <w:pPr>
        <w:ind w:left="7920" w:firstLine="7560"/>
      </w:pPr>
      <w:rPr>
        <w:u w:val="none"/>
      </w:rPr>
    </w:lvl>
  </w:abstractNum>
  <w:abstractNum w:abstractNumId="5">
    <w:nsid w:val="142F0E7D"/>
    <w:multiLevelType w:val="multilevel"/>
    <w:tmpl w:val="F6385B48"/>
    <w:lvl w:ilvl="0">
      <w:start w:val="1"/>
      <w:numFmt w:val="decimal"/>
      <w:lvlText w:val="%1."/>
      <w:lvlJc w:val="left"/>
      <w:pPr>
        <w:ind w:left="1440" w:firstLine="1080"/>
      </w:pPr>
      <w:rPr>
        <w:u w:val="none"/>
      </w:rPr>
    </w:lvl>
    <w:lvl w:ilvl="1">
      <w:start w:val="1"/>
      <w:numFmt w:val="lowerLetter"/>
      <w:lvlText w:val="%2."/>
      <w:lvlJc w:val="left"/>
      <w:pPr>
        <w:ind w:left="2160" w:firstLine="1800"/>
      </w:pPr>
      <w:rPr>
        <w:u w:val="none"/>
      </w:rPr>
    </w:lvl>
    <w:lvl w:ilvl="2">
      <w:start w:val="1"/>
      <w:numFmt w:val="lowerRoman"/>
      <w:lvlText w:val="%3."/>
      <w:lvlJc w:val="right"/>
      <w:pPr>
        <w:ind w:left="2880" w:firstLine="2520"/>
      </w:pPr>
      <w:rPr>
        <w:u w:val="none"/>
      </w:rPr>
    </w:lvl>
    <w:lvl w:ilvl="3">
      <w:start w:val="1"/>
      <w:numFmt w:val="decimal"/>
      <w:lvlText w:val="%4."/>
      <w:lvlJc w:val="left"/>
      <w:pPr>
        <w:ind w:left="3600" w:firstLine="3240"/>
      </w:pPr>
      <w:rPr>
        <w:u w:val="none"/>
      </w:rPr>
    </w:lvl>
    <w:lvl w:ilvl="4">
      <w:start w:val="1"/>
      <w:numFmt w:val="lowerLetter"/>
      <w:lvlText w:val="%5."/>
      <w:lvlJc w:val="left"/>
      <w:pPr>
        <w:ind w:left="4320" w:firstLine="3960"/>
      </w:pPr>
      <w:rPr>
        <w:u w:val="none"/>
      </w:rPr>
    </w:lvl>
    <w:lvl w:ilvl="5">
      <w:start w:val="1"/>
      <w:numFmt w:val="lowerRoman"/>
      <w:lvlText w:val="%6."/>
      <w:lvlJc w:val="right"/>
      <w:pPr>
        <w:ind w:left="5040" w:firstLine="4680"/>
      </w:pPr>
      <w:rPr>
        <w:u w:val="none"/>
      </w:rPr>
    </w:lvl>
    <w:lvl w:ilvl="6">
      <w:start w:val="1"/>
      <w:numFmt w:val="decimal"/>
      <w:lvlText w:val="%7."/>
      <w:lvlJc w:val="left"/>
      <w:pPr>
        <w:ind w:left="5760" w:firstLine="5400"/>
      </w:pPr>
      <w:rPr>
        <w:u w:val="none"/>
      </w:rPr>
    </w:lvl>
    <w:lvl w:ilvl="7">
      <w:start w:val="1"/>
      <w:numFmt w:val="lowerLetter"/>
      <w:lvlText w:val="%8."/>
      <w:lvlJc w:val="left"/>
      <w:pPr>
        <w:ind w:left="6480" w:firstLine="6120"/>
      </w:pPr>
      <w:rPr>
        <w:u w:val="none"/>
      </w:rPr>
    </w:lvl>
    <w:lvl w:ilvl="8">
      <w:start w:val="1"/>
      <w:numFmt w:val="lowerRoman"/>
      <w:lvlText w:val="%9."/>
      <w:lvlJc w:val="right"/>
      <w:pPr>
        <w:ind w:left="7200" w:firstLine="6840"/>
      </w:pPr>
      <w:rPr>
        <w:u w:val="none"/>
      </w:rPr>
    </w:lvl>
  </w:abstractNum>
  <w:abstractNum w:abstractNumId="6">
    <w:nsid w:val="149377E4"/>
    <w:multiLevelType w:val="multilevel"/>
    <w:tmpl w:val="583441E0"/>
    <w:lvl w:ilvl="0">
      <w:start w:val="1"/>
      <w:numFmt w:val="bullet"/>
      <w:lvlText w:val="●"/>
      <w:lvlJc w:val="left"/>
      <w:pPr>
        <w:ind w:left="2160" w:firstLine="1800"/>
      </w:pPr>
      <w:rPr>
        <w:u w:val="none"/>
      </w:rPr>
    </w:lvl>
    <w:lvl w:ilvl="1">
      <w:start w:val="1"/>
      <w:numFmt w:val="bullet"/>
      <w:lvlText w:val="○"/>
      <w:lvlJc w:val="left"/>
      <w:pPr>
        <w:ind w:left="2880" w:firstLine="2520"/>
      </w:pPr>
      <w:rPr>
        <w:u w:val="none"/>
      </w:rPr>
    </w:lvl>
    <w:lvl w:ilvl="2">
      <w:start w:val="1"/>
      <w:numFmt w:val="bullet"/>
      <w:lvlText w:val="■"/>
      <w:lvlJc w:val="left"/>
      <w:pPr>
        <w:ind w:left="3600" w:firstLine="3240"/>
      </w:pPr>
      <w:rPr>
        <w:u w:val="none"/>
      </w:rPr>
    </w:lvl>
    <w:lvl w:ilvl="3">
      <w:start w:val="1"/>
      <w:numFmt w:val="bullet"/>
      <w:lvlText w:val="●"/>
      <w:lvlJc w:val="left"/>
      <w:pPr>
        <w:ind w:left="4320" w:firstLine="3960"/>
      </w:pPr>
      <w:rPr>
        <w:u w:val="none"/>
      </w:rPr>
    </w:lvl>
    <w:lvl w:ilvl="4">
      <w:start w:val="1"/>
      <w:numFmt w:val="bullet"/>
      <w:lvlText w:val="○"/>
      <w:lvlJc w:val="left"/>
      <w:pPr>
        <w:ind w:left="5040" w:firstLine="4680"/>
      </w:pPr>
      <w:rPr>
        <w:u w:val="none"/>
      </w:rPr>
    </w:lvl>
    <w:lvl w:ilvl="5">
      <w:start w:val="1"/>
      <w:numFmt w:val="bullet"/>
      <w:lvlText w:val="■"/>
      <w:lvlJc w:val="left"/>
      <w:pPr>
        <w:ind w:left="5760" w:firstLine="5400"/>
      </w:pPr>
      <w:rPr>
        <w:u w:val="none"/>
      </w:rPr>
    </w:lvl>
    <w:lvl w:ilvl="6">
      <w:start w:val="1"/>
      <w:numFmt w:val="bullet"/>
      <w:lvlText w:val="●"/>
      <w:lvlJc w:val="left"/>
      <w:pPr>
        <w:ind w:left="6480" w:firstLine="6120"/>
      </w:pPr>
      <w:rPr>
        <w:u w:val="none"/>
      </w:rPr>
    </w:lvl>
    <w:lvl w:ilvl="7">
      <w:start w:val="1"/>
      <w:numFmt w:val="bullet"/>
      <w:lvlText w:val="○"/>
      <w:lvlJc w:val="left"/>
      <w:pPr>
        <w:ind w:left="7200" w:firstLine="6840"/>
      </w:pPr>
      <w:rPr>
        <w:u w:val="none"/>
      </w:rPr>
    </w:lvl>
    <w:lvl w:ilvl="8">
      <w:start w:val="1"/>
      <w:numFmt w:val="bullet"/>
      <w:lvlText w:val="■"/>
      <w:lvlJc w:val="left"/>
      <w:pPr>
        <w:ind w:left="7920" w:firstLine="7560"/>
      </w:pPr>
      <w:rPr>
        <w:u w:val="none"/>
      </w:rPr>
    </w:lvl>
  </w:abstractNum>
  <w:abstractNum w:abstractNumId="7">
    <w:nsid w:val="1C4B1F3D"/>
    <w:multiLevelType w:val="multilevel"/>
    <w:tmpl w:val="5DC00AF2"/>
    <w:lvl w:ilvl="0">
      <w:start w:val="1"/>
      <w:numFmt w:val="bullet"/>
      <w:lvlText w:val="-"/>
      <w:lvlJc w:val="left"/>
      <w:pPr>
        <w:ind w:left="720" w:firstLine="360"/>
      </w:pPr>
      <w:rPr>
        <w:u w:val="none"/>
      </w:rPr>
    </w:lvl>
    <w:lvl w:ilvl="1">
      <w:start w:val="1"/>
      <w:numFmt w:val="lowerLetter"/>
      <w:lvlText w:val="%2."/>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nsid w:val="1F280A63"/>
    <w:multiLevelType w:val="multilevel"/>
    <w:tmpl w:val="6A4083AE"/>
    <w:lvl w:ilvl="0">
      <w:start w:val="1"/>
      <w:numFmt w:val="bullet"/>
      <w:lvlText w:val="●"/>
      <w:lvlJc w:val="left"/>
      <w:pPr>
        <w:ind w:left="2160" w:firstLine="1800"/>
      </w:pPr>
      <w:rPr>
        <w:u w:val="none"/>
      </w:rPr>
    </w:lvl>
    <w:lvl w:ilvl="1">
      <w:start w:val="1"/>
      <w:numFmt w:val="bullet"/>
      <w:lvlText w:val="○"/>
      <w:lvlJc w:val="left"/>
      <w:pPr>
        <w:ind w:left="2880" w:firstLine="2520"/>
      </w:pPr>
      <w:rPr>
        <w:u w:val="none"/>
      </w:rPr>
    </w:lvl>
    <w:lvl w:ilvl="2">
      <w:start w:val="1"/>
      <w:numFmt w:val="bullet"/>
      <w:lvlText w:val="■"/>
      <w:lvlJc w:val="left"/>
      <w:pPr>
        <w:ind w:left="3600" w:firstLine="3240"/>
      </w:pPr>
      <w:rPr>
        <w:u w:val="none"/>
      </w:rPr>
    </w:lvl>
    <w:lvl w:ilvl="3">
      <w:start w:val="1"/>
      <w:numFmt w:val="bullet"/>
      <w:lvlText w:val="●"/>
      <w:lvlJc w:val="left"/>
      <w:pPr>
        <w:ind w:left="4320" w:firstLine="3960"/>
      </w:pPr>
      <w:rPr>
        <w:u w:val="none"/>
      </w:rPr>
    </w:lvl>
    <w:lvl w:ilvl="4">
      <w:start w:val="1"/>
      <w:numFmt w:val="bullet"/>
      <w:lvlText w:val="○"/>
      <w:lvlJc w:val="left"/>
      <w:pPr>
        <w:ind w:left="5040" w:firstLine="4680"/>
      </w:pPr>
      <w:rPr>
        <w:u w:val="none"/>
      </w:rPr>
    </w:lvl>
    <w:lvl w:ilvl="5">
      <w:start w:val="1"/>
      <w:numFmt w:val="bullet"/>
      <w:lvlText w:val="■"/>
      <w:lvlJc w:val="left"/>
      <w:pPr>
        <w:ind w:left="5760" w:firstLine="5400"/>
      </w:pPr>
      <w:rPr>
        <w:u w:val="none"/>
      </w:rPr>
    </w:lvl>
    <w:lvl w:ilvl="6">
      <w:start w:val="1"/>
      <w:numFmt w:val="bullet"/>
      <w:lvlText w:val="●"/>
      <w:lvlJc w:val="left"/>
      <w:pPr>
        <w:ind w:left="6480" w:firstLine="6120"/>
      </w:pPr>
      <w:rPr>
        <w:u w:val="none"/>
      </w:rPr>
    </w:lvl>
    <w:lvl w:ilvl="7">
      <w:start w:val="1"/>
      <w:numFmt w:val="bullet"/>
      <w:lvlText w:val="○"/>
      <w:lvlJc w:val="left"/>
      <w:pPr>
        <w:ind w:left="7200" w:firstLine="6840"/>
      </w:pPr>
      <w:rPr>
        <w:u w:val="none"/>
      </w:rPr>
    </w:lvl>
    <w:lvl w:ilvl="8">
      <w:start w:val="1"/>
      <w:numFmt w:val="bullet"/>
      <w:lvlText w:val="■"/>
      <w:lvlJc w:val="left"/>
      <w:pPr>
        <w:ind w:left="7920" w:firstLine="7560"/>
      </w:pPr>
      <w:rPr>
        <w:u w:val="none"/>
      </w:rPr>
    </w:lvl>
  </w:abstractNum>
  <w:abstractNum w:abstractNumId="9">
    <w:nsid w:val="20D53172"/>
    <w:multiLevelType w:val="multilevel"/>
    <w:tmpl w:val="20F0F978"/>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10">
    <w:nsid w:val="234C4A63"/>
    <w:multiLevelType w:val="multilevel"/>
    <w:tmpl w:val="F6D8856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nsid w:val="29F12C6E"/>
    <w:multiLevelType w:val="multilevel"/>
    <w:tmpl w:val="76F29E26"/>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2">
    <w:nsid w:val="2B1B6FA8"/>
    <w:multiLevelType w:val="multilevel"/>
    <w:tmpl w:val="AD60E770"/>
    <w:lvl w:ilvl="0">
      <w:start w:val="1"/>
      <w:numFmt w:val="bullet"/>
      <w:lvlText w:val="●"/>
      <w:lvlJc w:val="left"/>
      <w:pPr>
        <w:ind w:left="2160" w:firstLine="1800"/>
      </w:pPr>
      <w:rPr>
        <w:u w:val="none"/>
      </w:rPr>
    </w:lvl>
    <w:lvl w:ilvl="1">
      <w:start w:val="1"/>
      <w:numFmt w:val="bullet"/>
      <w:lvlText w:val="○"/>
      <w:lvlJc w:val="left"/>
      <w:pPr>
        <w:ind w:left="2880" w:firstLine="2520"/>
      </w:pPr>
      <w:rPr>
        <w:u w:val="none"/>
      </w:rPr>
    </w:lvl>
    <w:lvl w:ilvl="2">
      <w:start w:val="1"/>
      <w:numFmt w:val="bullet"/>
      <w:lvlText w:val="■"/>
      <w:lvlJc w:val="left"/>
      <w:pPr>
        <w:ind w:left="3600" w:firstLine="3240"/>
      </w:pPr>
      <w:rPr>
        <w:u w:val="none"/>
      </w:rPr>
    </w:lvl>
    <w:lvl w:ilvl="3">
      <w:start w:val="1"/>
      <w:numFmt w:val="bullet"/>
      <w:lvlText w:val="●"/>
      <w:lvlJc w:val="left"/>
      <w:pPr>
        <w:ind w:left="4320" w:firstLine="3960"/>
      </w:pPr>
      <w:rPr>
        <w:u w:val="none"/>
      </w:rPr>
    </w:lvl>
    <w:lvl w:ilvl="4">
      <w:start w:val="1"/>
      <w:numFmt w:val="bullet"/>
      <w:lvlText w:val="○"/>
      <w:lvlJc w:val="left"/>
      <w:pPr>
        <w:ind w:left="5040" w:firstLine="4680"/>
      </w:pPr>
      <w:rPr>
        <w:u w:val="none"/>
      </w:rPr>
    </w:lvl>
    <w:lvl w:ilvl="5">
      <w:start w:val="1"/>
      <w:numFmt w:val="bullet"/>
      <w:lvlText w:val="■"/>
      <w:lvlJc w:val="left"/>
      <w:pPr>
        <w:ind w:left="5760" w:firstLine="5400"/>
      </w:pPr>
      <w:rPr>
        <w:u w:val="none"/>
      </w:rPr>
    </w:lvl>
    <w:lvl w:ilvl="6">
      <w:start w:val="1"/>
      <w:numFmt w:val="bullet"/>
      <w:lvlText w:val="●"/>
      <w:lvlJc w:val="left"/>
      <w:pPr>
        <w:ind w:left="6480" w:firstLine="6120"/>
      </w:pPr>
      <w:rPr>
        <w:u w:val="none"/>
      </w:rPr>
    </w:lvl>
    <w:lvl w:ilvl="7">
      <w:start w:val="1"/>
      <w:numFmt w:val="bullet"/>
      <w:lvlText w:val="○"/>
      <w:lvlJc w:val="left"/>
      <w:pPr>
        <w:ind w:left="7200" w:firstLine="6840"/>
      </w:pPr>
      <w:rPr>
        <w:u w:val="none"/>
      </w:rPr>
    </w:lvl>
    <w:lvl w:ilvl="8">
      <w:start w:val="1"/>
      <w:numFmt w:val="bullet"/>
      <w:lvlText w:val="■"/>
      <w:lvlJc w:val="left"/>
      <w:pPr>
        <w:ind w:left="7920" w:firstLine="7560"/>
      </w:pPr>
      <w:rPr>
        <w:u w:val="none"/>
      </w:rPr>
    </w:lvl>
  </w:abstractNum>
  <w:abstractNum w:abstractNumId="13">
    <w:nsid w:val="2E220A8C"/>
    <w:multiLevelType w:val="multilevel"/>
    <w:tmpl w:val="BF4E8CE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nsid w:val="45AA4178"/>
    <w:multiLevelType w:val="multilevel"/>
    <w:tmpl w:val="B18E4AC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5">
    <w:nsid w:val="4F5D6D23"/>
    <w:multiLevelType w:val="multilevel"/>
    <w:tmpl w:val="3C6A1130"/>
    <w:lvl w:ilvl="0">
      <w:start w:val="1"/>
      <w:numFmt w:val="bullet"/>
      <w:lvlText w:val="●"/>
      <w:lvlJc w:val="left"/>
      <w:pPr>
        <w:ind w:left="2160" w:firstLine="1800"/>
      </w:pPr>
      <w:rPr>
        <w:u w:val="none"/>
      </w:rPr>
    </w:lvl>
    <w:lvl w:ilvl="1">
      <w:start w:val="1"/>
      <w:numFmt w:val="bullet"/>
      <w:lvlText w:val="○"/>
      <w:lvlJc w:val="left"/>
      <w:pPr>
        <w:ind w:left="2880" w:firstLine="2520"/>
      </w:pPr>
      <w:rPr>
        <w:u w:val="none"/>
      </w:rPr>
    </w:lvl>
    <w:lvl w:ilvl="2">
      <w:start w:val="1"/>
      <w:numFmt w:val="bullet"/>
      <w:lvlText w:val="■"/>
      <w:lvlJc w:val="left"/>
      <w:pPr>
        <w:ind w:left="3600" w:firstLine="3240"/>
      </w:pPr>
      <w:rPr>
        <w:u w:val="none"/>
      </w:rPr>
    </w:lvl>
    <w:lvl w:ilvl="3">
      <w:start w:val="1"/>
      <w:numFmt w:val="bullet"/>
      <w:lvlText w:val="●"/>
      <w:lvlJc w:val="left"/>
      <w:pPr>
        <w:ind w:left="4320" w:firstLine="3960"/>
      </w:pPr>
      <w:rPr>
        <w:u w:val="none"/>
      </w:rPr>
    </w:lvl>
    <w:lvl w:ilvl="4">
      <w:start w:val="1"/>
      <w:numFmt w:val="bullet"/>
      <w:lvlText w:val="○"/>
      <w:lvlJc w:val="left"/>
      <w:pPr>
        <w:ind w:left="5040" w:firstLine="4680"/>
      </w:pPr>
      <w:rPr>
        <w:u w:val="none"/>
      </w:rPr>
    </w:lvl>
    <w:lvl w:ilvl="5">
      <w:start w:val="1"/>
      <w:numFmt w:val="bullet"/>
      <w:lvlText w:val="■"/>
      <w:lvlJc w:val="left"/>
      <w:pPr>
        <w:ind w:left="5760" w:firstLine="5400"/>
      </w:pPr>
      <w:rPr>
        <w:u w:val="none"/>
      </w:rPr>
    </w:lvl>
    <w:lvl w:ilvl="6">
      <w:start w:val="1"/>
      <w:numFmt w:val="bullet"/>
      <w:lvlText w:val="●"/>
      <w:lvlJc w:val="left"/>
      <w:pPr>
        <w:ind w:left="6480" w:firstLine="6120"/>
      </w:pPr>
      <w:rPr>
        <w:u w:val="none"/>
      </w:rPr>
    </w:lvl>
    <w:lvl w:ilvl="7">
      <w:start w:val="1"/>
      <w:numFmt w:val="bullet"/>
      <w:lvlText w:val="○"/>
      <w:lvlJc w:val="left"/>
      <w:pPr>
        <w:ind w:left="7200" w:firstLine="6840"/>
      </w:pPr>
      <w:rPr>
        <w:u w:val="none"/>
      </w:rPr>
    </w:lvl>
    <w:lvl w:ilvl="8">
      <w:start w:val="1"/>
      <w:numFmt w:val="bullet"/>
      <w:lvlText w:val="■"/>
      <w:lvlJc w:val="left"/>
      <w:pPr>
        <w:ind w:left="7920" w:firstLine="7560"/>
      </w:pPr>
      <w:rPr>
        <w:u w:val="none"/>
      </w:rPr>
    </w:lvl>
  </w:abstractNum>
  <w:abstractNum w:abstractNumId="16">
    <w:nsid w:val="51032EA8"/>
    <w:multiLevelType w:val="multilevel"/>
    <w:tmpl w:val="4434105C"/>
    <w:lvl w:ilvl="0">
      <w:start w:val="1"/>
      <w:numFmt w:val="bullet"/>
      <w:lvlText w:val="●"/>
      <w:lvlJc w:val="left"/>
      <w:pPr>
        <w:ind w:left="2160" w:firstLine="1800"/>
      </w:pPr>
      <w:rPr>
        <w:u w:val="none"/>
      </w:rPr>
    </w:lvl>
    <w:lvl w:ilvl="1">
      <w:start w:val="1"/>
      <w:numFmt w:val="bullet"/>
      <w:lvlText w:val="○"/>
      <w:lvlJc w:val="left"/>
      <w:pPr>
        <w:ind w:left="2880" w:firstLine="2520"/>
      </w:pPr>
      <w:rPr>
        <w:u w:val="none"/>
      </w:rPr>
    </w:lvl>
    <w:lvl w:ilvl="2">
      <w:start w:val="1"/>
      <w:numFmt w:val="bullet"/>
      <w:lvlText w:val="■"/>
      <w:lvlJc w:val="left"/>
      <w:pPr>
        <w:ind w:left="3600" w:firstLine="3240"/>
      </w:pPr>
      <w:rPr>
        <w:u w:val="none"/>
      </w:rPr>
    </w:lvl>
    <w:lvl w:ilvl="3">
      <w:start w:val="1"/>
      <w:numFmt w:val="bullet"/>
      <w:lvlText w:val="●"/>
      <w:lvlJc w:val="left"/>
      <w:pPr>
        <w:ind w:left="4320" w:firstLine="3960"/>
      </w:pPr>
      <w:rPr>
        <w:u w:val="none"/>
      </w:rPr>
    </w:lvl>
    <w:lvl w:ilvl="4">
      <w:start w:val="1"/>
      <w:numFmt w:val="bullet"/>
      <w:lvlText w:val="○"/>
      <w:lvlJc w:val="left"/>
      <w:pPr>
        <w:ind w:left="5040" w:firstLine="4680"/>
      </w:pPr>
      <w:rPr>
        <w:u w:val="none"/>
      </w:rPr>
    </w:lvl>
    <w:lvl w:ilvl="5">
      <w:start w:val="1"/>
      <w:numFmt w:val="bullet"/>
      <w:lvlText w:val="■"/>
      <w:lvlJc w:val="left"/>
      <w:pPr>
        <w:ind w:left="5760" w:firstLine="5400"/>
      </w:pPr>
      <w:rPr>
        <w:u w:val="none"/>
      </w:rPr>
    </w:lvl>
    <w:lvl w:ilvl="6">
      <w:start w:val="1"/>
      <w:numFmt w:val="bullet"/>
      <w:lvlText w:val="●"/>
      <w:lvlJc w:val="left"/>
      <w:pPr>
        <w:ind w:left="6480" w:firstLine="6120"/>
      </w:pPr>
      <w:rPr>
        <w:u w:val="none"/>
      </w:rPr>
    </w:lvl>
    <w:lvl w:ilvl="7">
      <w:start w:val="1"/>
      <w:numFmt w:val="bullet"/>
      <w:lvlText w:val="○"/>
      <w:lvlJc w:val="left"/>
      <w:pPr>
        <w:ind w:left="7200" w:firstLine="6840"/>
      </w:pPr>
      <w:rPr>
        <w:u w:val="none"/>
      </w:rPr>
    </w:lvl>
    <w:lvl w:ilvl="8">
      <w:start w:val="1"/>
      <w:numFmt w:val="bullet"/>
      <w:lvlText w:val="■"/>
      <w:lvlJc w:val="left"/>
      <w:pPr>
        <w:ind w:left="7920" w:firstLine="7560"/>
      </w:pPr>
      <w:rPr>
        <w:u w:val="none"/>
      </w:rPr>
    </w:lvl>
  </w:abstractNum>
  <w:abstractNum w:abstractNumId="17">
    <w:nsid w:val="56387156"/>
    <w:multiLevelType w:val="multilevel"/>
    <w:tmpl w:val="799CDE46"/>
    <w:lvl w:ilvl="0">
      <w:start w:val="1"/>
      <w:numFmt w:val="decimal"/>
      <w:lvlText w:val="%1."/>
      <w:lvlJc w:val="left"/>
      <w:pPr>
        <w:ind w:left="1440" w:firstLine="1080"/>
      </w:pPr>
      <w:rPr>
        <w:u w:val="none"/>
      </w:rPr>
    </w:lvl>
    <w:lvl w:ilvl="1">
      <w:start w:val="1"/>
      <w:numFmt w:val="lowerLetter"/>
      <w:lvlText w:val="%2."/>
      <w:lvlJc w:val="left"/>
      <w:pPr>
        <w:ind w:left="2160" w:firstLine="1800"/>
      </w:pPr>
      <w:rPr>
        <w:u w:val="none"/>
      </w:rPr>
    </w:lvl>
    <w:lvl w:ilvl="2">
      <w:start w:val="1"/>
      <w:numFmt w:val="lowerRoman"/>
      <w:lvlText w:val="%3."/>
      <w:lvlJc w:val="right"/>
      <w:pPr>
        <w:ind w:left="2880" w:firstLine="2520"/>
      </w:pPr>
      <w:rPr>
        <w:u w:val="none"/>
      </w:rPr>
    </w:lvl>
    <w:lvl w:ilvl="3">
      <w:start w:val="1"/>
      <w:numFmt w:val="decimal"/>
      <w:lvlText w:val="%4."/>
      <w:lvlJc w:val="left"/>
      <w:pPr>
        <w:ind w:left="3600" w:firstLine="3240"/>
      </w:pPr>
      <w:rPr>
        <w:u w:val="none"/>
      </w:rPr>
    </w:lvl>
    <w:lvl w:ilvl="4">
      <w:start w:val="1"/>
      <w:numFmt w:val="lowerLetter"/>
      <w:lvlText w:val="%5."/>
      <w:lvlJc w:val="left"/>
      <w:pPr>
        <w:ind w:left="4320" w:firstLine="3960"/>
      </w:pPr>
      <w:rPr>
        <w:u w:val="none"/>
      </w:rPr>
    </w:lvl>
    <w:lvl w:ilvl="5">
      <w:start w:val="1"/>
      <w:numFmt w:val="lowerRoman"/>
      <w:lvlText w:val="%6."/>
      <w:lvlJc w:val="right"/>
      <w:pPr>
        <w:ind w:left="5040" w:firstLine="4680"/>
      </w:pPr>
      <w:rPr>
        <w:u w:val="none"/>
      </w:rPr>
    </w:lvl>
    <w:lvl w:ilvl="6">
      <w:start w:val="1"/>
      <w:numFmt w:val="decimal"/>
      <w:lvlText w:val="%7."/>
      <w:lvlJc w:val="left"/>
      <w:pPr>
        <w:ind w:left="5760" w:firstLine="5400"/>
      </w:pPr>
      <w:rPr>
        <w:u w:val="none"/>
      </w:rPr>
    </w:lvl>
    <w:lvl w:ilvl="7">
      <w:start w:val="1"/>
      <w:numFmt w:val="lowerLetter"/>
      <w:lvlText w:val="%8."/>
      <w:lvlJc w:val="left"/>
      <w:pPr>
        <w:ind w:left="6480" w:firstLine="6120"/>
      </w:pPr>
      <w:rPr>
        <w:u w:val="none"/>
      </w:rPr>
    </w:lvl>
    <w:lvl w:ilvl="8">
      <w:start w:val="1"/>
      <w:numFmt w:val="lowerRoman"/>
      <w:lvlText w:val="%9."/>
      <w:lvlJc w:val="right"/>
      <w:pPr>
        <w:ind w:left="7200" w:firstLine="6840"/>
      </w:pPr>
      <w:rPr>
        <w:u w:val="none"/>
      </w:rPr>
    </w:lvl>
  </w:abstractNum>
  <w:abstractNum w:abstractNumId="18">
    <w:nsid w:val="5B36612B"/>
    <w:multiLevelType w:val="multilevel"/>
    <w:tmpl w:val="1424088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
    <w:nsid w:val="5BDE2F1F"/>
    <w:multiLevelType w:val="multilevel"/>
    <w:tmpl w:val="FF68BBA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
    <w:nsid w:val="5E99670C"/>
    <w:multiLevelType w:val="multilevel"/>
    <w:tmpl w:val="E3746F7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1">
    <w:nsid w:val="6A26066C"/>
    <w:multiLevelType w:val="multilevel"/>
    <w:tmpl w:val="314ED0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
    <w:nsid w:val="6BB83D9B"/>
    <w:multiLevelType w:val="multilevel"/>
    <w:tmpl w:val="4240E510"/>
    <w:lvl w:ilvl="0">
      <w:start w:val="1"/>
      <w:numFmt w:val="decimal"/>
      <w:lvlText w:val="%1."/>
      <w:lvlJc w:val="left"/>
      <w:pPr>
        <w:ind w:left="1440" w:firstLine="1080"/>
      </w:pPr>
      <w:rPr>
        <w:u w:val="none"/>
      </w:rPr>
    </w:lvl>
    <w:lvl w:ilvl="1">
      <w:start w:val="1"/>
      <w:numFmt w:val="lowerLetter"/>
      <w:lvlText w:val="%2."/>
      <w:lvlJc w:val="left"/>
      <w:pPr>
        <w:ind w:left="2160" w:firstLine="1800"/>
      </w:pPr>
      <w:rPr>
        <w:u w:val="none"/>
      </w:rPr>
    </w:lvl>
    <w:lvl w:ilvl="2">
      <w:start w:val="1"/>
      <w:numFmt w:val="lowerRoman"/>
      <w:lvlText w:val="%3."/>
      <w:lvlJc w:val="right"/>
      <w:pPr>
        <w:ind w:left="2880" w:firstLine="2520"/>
      </w:pPr>
      <w:rPr>
        <w:u w:val="none"/>
      </w:rPr>
    </w:lvl>
    <w:lvl w:ilvl="3">
      <w:start w:val="1"/>
      <w:numFmt w:val="decimal"/>
      <w:lvlText w:val="%4."/>
      <w:lvlJc w:val="left"/>
      <w:pPr>
        <w:ind w:left="3600" w:firstLine="3240"/>
      </w:pPr>
      <w:rPr>
        <w:u w:val="none"/>
      </w:rPr>
    </w:lvl>
    <w:lvl w:ilvl="4">
      <w:start w:val="1"/>
      <w:numFmt w:val="lowerLetter"/>
      <w:lvlText w:val="%5."/>
      <w:lvlJc w:val="left"/>
      <w:pPr>
        <w:ind w:left="4320" w:firstLine="3960"/>
      </w:pPr>
      <w:rPr>
        <w:u w:val="none"/>
      </w:rPr>
    </w:lvl>
    <w:lvl w:ilvl="5">
      <w:start w:val="1"/>
      <w:numFmt w:val="lowerRoman"/>
      <w:lvlText w:val="%6."/>
      <w:lvlJc w:val="right"/>
      <w:pPr>
        <w:ind w:left="5040" w:firstLine="4680"/>
      </w:pPr>
      <w:rPr>
        <w:u w:val="none"/>
      </w:rPr>
    </w:lvl>
    <w:lvl w:ilvl="6">
      <w:start w:val="1"/>
      <w:numFmt w:val="decimal"/>
      <w:lvlText w:val="%7."/>
      <w:lvlJc w:val="left"/>
      <w:pPr>
        <w:ind w:left="5760" w:firstLine="5400"/>
      </w:pPr>
      <w:rPr>
        <w:u w:val="none"/>
      </w:rPr>
    </w:lvl>
    <w:lvl w:ilvl="7">
      <w:start w:val="1"/>
      <w:numFmt w:val="lowerLetter"/>
      <w:lvlText w:val="%8."/>
      <w:lvlJc w:val="left"/>
      <w:pPr>
        <w:ind w:left="6480" w:firstLine="6120"/>
      </w:pPr>
      <w:rPr>
        <w:u w:val="none"/>
      </w:rPr>
    </w:lvl>
    <w:lvl w:ilvl="8">
      <w:start w:val="1"/>
      <w:numFmt w:val="lowerRoman"/>
      <w:lvlText w:val="%9."/>
      <w:lvlJc w:val="right"/>
      <w:pPr>
        <w:ind w:left="7200" w:firstLine="6840"/>
      </w:pPr>
      <w:rPr>
        <w:u w:val="none"/>
      </w:rPr>
    </w:lvl>
  </w:abstractNum>
  <w:abstractNum w:abstractNumId="23">
    <w:nsid w:val="6E1B5299"/>
    <w:multiLevelType w:val="multilevel"/>
    <w:tmpl w:val="DB420968"/>
    <w:lvl w:ilvl="0">
      <w:start w:val="1"/>
      <w:numFmt w:val="bullet"/>
      <w:lvlText w:val="●"/>
      <w:lvlJc w:val="left"/>
      <w:pPr>
        <w:ind w:left="2160" w:firstLine="1800"/>
      </w:pPr>
      <w:rPr>
        <w:u w:val="none"/>
      </w:rPr>
    </w:lvl>
    <w:lvl w:ilvl="1">
      <w:start w:val="1"/>
      <w:numFmt w:val="bullet"/>
      <w:lvlText w:val="○"/>
      <w:lvlJc w:val="left"/>
      <w:pPr>
        <w:ind w:left="2880" w:firstLine="2520"/>
      </w:pPr>
      <w:rPr>
        <w:u w:val="none"/>
      </w:rPr>
    </w:lvl>
    <w:lvl w:ilvl="2">
      <w:start w:val="1"/>
      <w:numFmt w:val="bullet"/>
      <w:lvlText w:val="■"/>
      <w:lvlJc w:val="left"/>
      <w:pPr>
        <w:ind w:left="3600" w:firstLine="3240"/>
      </w:pPr>
      <w:rPr>
        <w:u w:val="none"/>
      </w:rPr>
    </w:lvl>
    <w:lvl w:ilvl="3">
      <w:start w:val="1"/>
      <w:numFmt w:val="bullet"/>
      <w:lvlText w:val="●"/>
      <w:lvlJc w:val="left"/>
      <w:pPr>
        <w:ind w:left="4320" w:firstLine="3960"/>
      </w:pPr>
      <w:rPr>
        <w:u w:val="none"/>
      </w:rPr>
    </w:lvl>
    <w:lvl w:ilvl="4">
      <w:start w:val="1"/>
      <w:numFmt w:val="bullet"/>
      <w:lvlText w:val="○"/>
      <w:lvlJc w:val="left"/>
      <w:pPr>
        <w:ind w:left="5040" w:firstLine="4680"/>
      </w:pPr>
      <w:rPr>
        <w:u w:val="none"/>
      </w:rPr>
    </w:lvl>
    <w:lvl w:ilvl="5">
      <w:start w:val="1"/>
      <w:numFmt w:val="bullet"/>
      <w:lvlText w:val="■"/>
      <w:lvlJc w:val="left"/>
      <w:pPr>
        <w:ind w:left="5760" w:firstLine="5400"/>
      </w:pPr>
      <w:rPr>
        <w:u w:val="none"/>
      </w:rPr>
    </w:lvl>
    <w:lvl w:ilvl="6">
      <w:start w:val="1"/>
      <w:numFmt w:val="bullet"/>
      <w:lvlText w:val="●"/>
      <w:lvlJc w:val="left"/>
      <w:pPr>
        <w:ind w:left="6480" w:firstLine="6120"/>
      </w:pPr>
      <w:rPr>
        <w:u w:val="none"/>
      </w:rPr>
    </w:lvl>
    <w:lvl w:ilvl="7">
      <w:start w:val="1"/>
      <w:numFmt w:val="bullet"/>
      <w:lvlText w:val="○"/>
      <w:lvlJc w:val="left"/>
      <w:pPr>
        <w:ind w:left="7200" w:firstLine="6840"/>
      </w:pPr>
      <w:rPr>
        <w:u w:val="none"/>
      </w:rPr>
    </w:lvl>
    <w:lvl w:ilvl="8">
      <w:start w:val="1"/>
      <w:numFmt w:val="bullet"/>
      <w:lvlText w:val="■"/>
      <w:lvlJc w:val="left"/>
      <w:pPr>
        <w:ind w:left="7920" w:firstLine="7560"/>
      </w:pPr>
      <w:rPr>
        <w:u w:val="none"/>
      </w:rPr>
    </w:lvl>
  </w:abstractNum>
  <w:abstractNum w:abstractNumId="24">
    <w:nsid w:val="770D7EA5"/>
    <w:multiLevelType w:val="multilevel"/>
    <w:tmpl w:val="A57611B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5">
    <w:nsid w:val="7A031675"/>
    <w:multiLevelType w:val="multilevel"/>
    <w:tmpl w:val="8E105EF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24"/>
  </w:num>
  <w:num w:numId="2">
    <w:abstractNumId w:val="17"/>
  </w:num>
  <w:num w:numId="3">
    <w:abstractNumId w:val="22"/>
  </w:num>
  <w:num w:numId="4">
    <w:abstractNumId w:val="10"/>
  </w:num>
  <w:num w:numId="5">
    <w:abstractNumId w:val="13"/>
  </w:num>
  <w:num w:numId="6">
    <w:abstractNumId w:val="5"/>
  </w:num>
  <w:num w:numId="7">
    <w:abstractNumId w:val="9"/>
  </w:num>
  <w:num w:numId="8">
    <w:abstractNumId w:val="7"/>
  </w:num>
  <w:num w:numId="9">
    <w:abstractNumId w:val="4"/>
  </w:num>
  <w:num w:numId="10">
    <w:abstractNumId w:val="20"/>
  </w:num>
  <w:num w:numId="11">
    <w:abstractNumId w:val="6"/>
  </w:num>
  <w:num w:numId="12">
    <w:abstractNumId w:val="19"/>
  </w:num>
  <w:num w:numId="13">
    <w:abstractNumId w:val="23"/>
  </w:num>
  <w:num w:numId="14">
    <w:abstractNumId w:val="8"/>
  </w:num>
  <w:num w:numId="15">
    <w:abstractNumId w:val="3"/>
  </w:num>
  <w:num w:numId="16">
    <w:abstractNumId w:val="16"/>
  </w:num>
  <w:num w:numId="17">
    <w:abstractNumId w:val="1"/>
  </w:num>
  <w:num w:numId="18">
    <w:abstractNumId w:val="25"/>
  </w:num>
  <w:num w:numId="19">
    <w:abstractNumId w:val="2"/>
  </w:num>
  <w:num w:numId="20">
    <w:abstractNumId w:val="21"/>
  </w:num>
  <w:num w:numId="21">
    <w:abstractNumId w:val="15"/>
  </w:num>
  <w:num w:numId="22">
    <w:abstractNumId w:val="18"/>
  </w:num>
  <w:num w:numId="23">
    <w:abstractNumId w:val="12"/>
  </w:num>
  <w:num w:numId="24">
    <w:abstractNumId w:val="11"/>
  </w:num>
  <w:num w:numId="25">
    <w:abstractNumId w:val="14"/>
  </w:num>
  <w:num w:numId="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characterSpacingControl w:val="doNotCompress"/>
  <w:compat>
    <w:compatSetting w:name="compatibilityMode" w:uri="http://schemas.microsoft.com/office/word" w:val="14"/>
  </w:compat>
  <w:rsids>
    <w:rsidRoot w:val="004D0AB6"/>
    <w:rsid w:val="000B5082"/>
    <w:rsid w:val="004D0AB6"/>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5EE5506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6.png"/><Relationship Id="rId21" Type="http://schemas.openxmlformats.org/officeDocument/2006/relationships/image" Target="media/image17.png"/><Relationship Id="rId22" Type="http://schemas.openxmlformats.org/officeDocument/2006/relationships/image" Target="media/image18.png"/><Relationship Id="rId23" Type="http://schemas.openxmlformats.org/officeDocument/2006/relationships/image" Target="media/image19.png"/><Relationship Id="rId24" Type="http://schemas.openxmlformats.org/officeDocument/2006/relationships/image" Target="media/image20.png"/><Relationship Id="rId25" Type="http://schemas.openxmlformats.org/officeDocument/2006/relationships/hyperlink" Target="https://fr.wikipedia.org/wiki/Endocytose" TargetMode="External"/><Relationship Id="rId26" Type="http://schemas.openxmlformats.org/officeDocument/2006/relationships/hyperlink" Target="https://fr.wikipedia.org/wiki/R%C3%A9cepteurs_membranaires" TargetMode="External"/><Relationship Id="rId27" Type="http://schemas.openxmlformats.org/officeDocument/2006/relationships/hyperlink" Target="https://fr.wikipedia.org/wiki/Mol%C3%A9cules" TargetMode="External"/><Relationship Id="rId28" Type="http://schemas.openxmlformats.org/officeDocument/2006/relationships/hyperlink" Target="https://fr.wikipedia.org/wiki/Lipoprot%C3%A9ine_de_basse_densit%C3%A9" TargetMode="External"/><Relationship Id="rId29" Type="http://schemas.openxmlformats.org/officeDocument/2006/relationships/hyperlink" Target="https://fr.wikipedia.org/wiki/Cholest%C3%A9rols"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30" Type="http://schemas.openxmlformats.org/officeDocument/2006/relationships/hyperlink" Target="https://fr.wikipedia.org/wiki/Cytosol" TargetMode="External"/><Relationship Id="rId31" Type="http://schemas.openxmlformats.org/officeDocument/2006/relationships/hyperlink" Target="https://fr.wikipedia.org/wiki/Cytosquelette" TargetMode="External"/><Relationship Id="rId32" Type="http://schemas.openxmlformats.org/officeDocument/2006/relationships/hyperlink" Target="https://fr.wikipedia.org/wiki/Moteurs_prot%C3%A9iques" TargetMode="External"/><Relationship Id="rId9" Type="http://schemas.openxmlformats.org/officeDocument/2006/relationships/image" Target="media/image5.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33" Type="http://schemas.openxmlformats.org/officeDocument/2006/relationships/hyperlink" Target="https://fr.wikipedia.org/wiki/Dyn%C3%A9ines" TargetMode="External"/><Relationship Id="rId34" Type="http://schemas.openxmlformats.org/officeDocument/2006/relationships/hyperlink" Target="https://fr.wikipedia.org/wiki/Microtubules" TargetMode="External"/><Relationship Id="rId35" Type="http://schemas.openxmlformats.org/officeDocument/2006/relationships/hyperlink" Target="https://fr.wikipedia.org/wiki/Cellule_(biologie)" TargetMode="External"/><Relationship Id="rId36" Type="http://schemas.openxmlformats.org/officeDocument/2006/relationships/hyperlink" Target="https://fr.wikipedia.org/wiki/Hormones" TargetMode="External"/><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image" Target="media/image10.png"/><Relationship Id="rId15" Type="http://schemas.openxmlformats.org/officeDocument/2006/relationships/image" Target="media/image11.png"/><Relationship Id="rId16" Type="http://schemas.openxmlformats.org/officeDocument/2006/relationships/image" Target="media/image12.png"/><Relationship Id="rId17" Type="http://schemas.openxmlformats.org/officeDocument/2006/relationships/image" Target="media/image13.png"/><Relationship Id="rId18" Type="http://schemas.openxmlformats.org/officeDocument/2006/relationships/image" Target="media/image14.png"/><Relationship Id="rId19" Type="http://schemas.openxmlformats.org/officeDocument/2006/relationships/image" Target="media/image15.png"/><Relationship Id="rId37" Type="http://schemas.openxmlformats.org/officeDocument/2006/relationships/hyperlink" Target="https://fr.wikipedia.org/wiki/St%C3%A9ro%C3%AFdes" TargetMode="External"/><Relationship Id="rId38" Type="http://schemas.openxmlformats.org/officeDocument/2006/relationships/hyperlink" Target="https://fr.wikipedia.org/wiki/Testost%C3%A9rone" TargetMode="External"/><Relationship Id="rId39" Type="http://schemas.openxmlformats.org/officeDocument/2006/relationships/image" Target="media/image21.png"/><Relationship Id="rId40" Type="http://schemas.openxmlformats.org/officeDocument/2006/relationships/fontTable" Target="fontTable.xml"/><Relationship Id="rId4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3449</Words>
  <Characters>19660</Characters>
  <Application>Microsoft Macintosh Word</Application>
  <DocSecurity>0</DocSecurity>
  <Lines>163</Lines>
  <Paragraphs>46</Paragraphs>
  <ScaleCrop>false</ScaleCrop>
  <LinksUpToDate>false</LinksUpToDate>
  <CharactersWithSpaces>23063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2017-04-23T14:57:00Z</dcterms:created>
  <dcterms:modified xsi:type="dcterms:W3CDTF">2017-04-23T14:58:00Z</dcterms:modified>
</cp:coreProperties>
</file>