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jc w:val="center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Origins of the Genus </w:t>
      </w:r>
      <w:r w:rsidDel="00000000" w:rsidR="00000000" w:rsidRPr="00000000">
        <w:rPr>
          <w:rFonts w:ascii="Cambria" w:cs="Cambria" w:eastAsia="Cambria" w:hAnsi="Cambria"/>
          <w:i w:val="1"/>
          <w:rtl w:val="0"/>
        </w:rPr>
        <w:t xml:space="preserve">Homo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left"/>
        <w:rPr>
          <w:rFonts w:ascii="Cambria" w:cs="Cambria" w:eastAsia="Cambria" w:hAnsi="Cambr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left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Olduwan tools (from Olduvai Gorge)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Mary Leakey 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The lower Pelolithic 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The first part of the Old Stone Age 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(paleo=old ; lithic = stone) 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It is marked by the appearance 2.6 million years ago from Oldowan tools, the earliest stone tool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The percussion method </w:t>
      </w:r>
    </w:p>
    <w:p w:rsidR="00000000" w:rsidDel="00000000" w:rsidP="00000000" w:rsidRDefault="00000000" w:rsidRPr="00000000">
      <w:pPr>
        <w:numPr>
          <w:ilvl w:val="3"/>
          <w:numId w:val="9"/>
        </w:numPr>
        <w:ind w:left="288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By 2.5 mya, early </w:t>
      </w:r>
      <w:r w:rsidDel="00000000" w:rsidR="00000000" w:rsidRPr="00000000">
        <w:rPr>
          <w:rFonts w:ascii="Cambria" w:cs="Cambria" w:eastAsia="Cambria" w:hAnsi="Cambria"/>
          <w:i w:val="1"/>
          <w:rtl w:val="0"/>
        </w:rPr>
        <w:t xml:space="preserve">Homo 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in Africa had invented the percussion method of stone tool manufacture </w:t>
      </w:r>
    </w:p>
    <w:p w:rsidR="00000000" w:rsidDel="00000000" w:rsidP="00000000" w:rsidRDefault="00000000" w:rsidRPr="00000000">
      <w:pPr>
        <w:numPr>
          <w:ilvl w:val="3"/>
          <w:numId w:val="9"/>
        </w:numPr>
        <w:ind w:left="288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This technological breakthrough, which is associated with a significant increase in brain size, made possible the butchering of meat from scavenged carcasses </w:t>
      </w:r>
    </w:p>
    <w:p w:rsidR="00000000" w:rsidDel="00000000" w:rsidP="00000000" w:rsidRDefault="00000000" w:rsidRPr="00000000">
      <w:pPr>
        <w:contextualSpacing w:val="0"/>
        <w:jc w:val="left"/>
        <w:rPr>
          <w:rFonts w:ascii="Cambria" w:cs="Cambria" w:eastAsia="Cambria" w:hAnsi="Cambr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left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Killer ape or prey? 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Raymond Dart proposed that A.</w:t>
      </w:r>
      <w:r w:rsidDel="00000000" w:rsidR="00000000" w:rsidRPr="00000000">
        <w:rPr>
          <w:rFonts w:ascii="Cambria" w:cs="Cambria" w:eastAsia="Cambria" w:hAnsi="Cambria"/>
          <w:i w:val="1"/>
          <w:rtl w:val="0"/>
        </w:rPr>
        <w:t xml:space="preserve"> africanus 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was killer ape</w:t>
      </w:r>
    </w:p>
    <w:p w:rsidR="00000000" w:rsidDel="00000000" w:rsidP="00000000" w:rsidRDefault="00000000" w:rsidRPr="00000000">
      <w:pPr>
        <w:contextualSpacing w:val="0"/>
        <w:jc w:val="left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Hunter or scavenger 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Tertiary scavenger (after other scavengers gnaw bones) 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Hunted the prey initially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Not thought to be superb hunters </w:t>
      </w:r>
    </w:p>
    <w:p w:rsidR="00000000" w:rsidDel="00000000" w:rsidP="00000000" w:rsidRDefault="00000000" w:rsidRPr="00000000">
      <w:pPr>
        <w:contextualSpacing w:val="0"/>
        <w:jc w:val="left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Critical though 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In this reconstruction of the activities of early </w:t>
      </w:r>
      <w:r w:rsidDel="00000000" w:rsidR="00000000" w:rsidRPr="00000000">
        <w:rPr>
          <w:rFonts w:ascii="Cambria" w:cs="Cambria" w:eastAsia="Cambria" w:hAnsi="Cambria"/>
          <w:i w:val="1"/>
          <w:rtl w:val="0"/>
        </w:rPr>
        <w:t xml:space="preserve">Homo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, the artist depicts a gendered division of labor 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Instead of only men hunting; it is possible that both men and women hunted </w:t>
      </w:r>
    </w:p>
    <w:p w:rsidR="00000000" w:rsidDel="00000000" w:rsidP="00000000" w:rsidRDefault="00000000" w:rsidRPr="00000000">
      <w:pPr>
        <w:numPr>
          <w:ilvl w:val="3"/>
          <w:numId w:val="5"/>
        </w:numPr>
        <w:ind w:left="288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Women hunted with the smaller gain as the larger gain take longer and must leave the family 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Women foraged as well as hunted </w:t>
      </w:r>
    </w:p>
    <w:p w:rsidR="00000000" w:rsidDel="00000000" w:rsidP="00000000" w:rsidRDefault="00000000" w:rsidRPr="00000000">
      <w:pPr>
        <w:contextualSpacing w:val="0"/>
        <w:jc w:val="left"/>
        <w:rPr>
          <w:rFonts w:ascii="Cambria" w:cs="Cambria" w:eastAsia="Cambria" w:hAnsi="Cambria"/>
          <w:i w:val="1"/>
        </w:rPr>
      </w:pPr>
      <w:r w:rsidDel="00000000" w:rsidR="00000000" w:rsidRPr="00000000">
        <w:rPr>
          <w:rFonts w:ascii="Cambria" w:cs="Cambria" w:eastAsia="Cambria" w:hAnsi="Cambria"/>
          <w:i w:val="1"/>
          <w:rtl w:val="0"/>
        </w:rPr>
        <w:t xml:space="preserve">Homo erectus 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Evolved from </w:t>
      </w:r>
      <w:r w:rsidDel="00000000" w:rsidR="00000000" w:rsidRPr="00000000">
        <w:rPr>
          <w:rFonts w:ascii="Cambria" w:cs="Cambria" w:eastAsia="Cambria" w:hAnsi="Cambria"/>
          <w:i w:val="1"/>
          <w:rtl w:val="0"/>
        </w:rPr>
        <w:t xml:space="preserve">Homo habilis, 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contemporary of later forms of Australopithecines, which lasted until 1mya 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margin">
              <wp:posOffset>3095625</wp:posOffset>
            </wp:positionH>
            <wp:positionV relativeFrom="paragraph">
              <wp:posOffset>228600</wp:posOffset>
            </wp:positionV>
            <wp:extent cx="3100388" cy="2487277"/>
            <wp:effectExtent b="0" l="0" r="0" t="0"/>
            <wp:wrapSquare wrapText="bothSides" distB="114300" distT="114300" distL="114300" distR="11430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00388" cy="248727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2mya 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Expanded out of Africa by 1.8mya 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Overlapping species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1981 Eugene Dubois - “Java Man” (Trinil skull) </w:t>
      </w:r>
      <w:r w:rsidDel="00000000" w:rsidR="00000000" w:rsidRPr="00000000">
        <w:rPr>
          <w:rFonts w:ascii="Cambria" w:cs="Cambria" w:eastAsia="Cambria" w:hAnsi="Cambria"/>
          <w:i w:val="1"/>
          <w:rtl w:val="0"/>
        </w:rPr>
        <w:t xml:space="preserve">Pithecanthropus erectus 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1920’s Davidson Black - “Peking Man Sinanthropus Pekinensis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i w:val="1"/>
          <w:rtl w:val="0"/>
        </w:rPr>
        <w:t xml:space="preserve">Homo erectus 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in Africa 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Nariokotome boy (1.6 mya) </w:t>
      </w:r>
    </w:p>
    <w:p w:rsidR="00000000" w:rsidDel="00000000" w:rsidP="00000000" w:rsidRDefault="00000000" w:rsidRPr="00000000">
      <w:pPr>
        <w:numPr>
          <w:ilvl w:val="3"/>
          <w:numId w:val="1"/>
        </w:numPr>
        <w:ind w:left="288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Olduvai Gorge </w:t>
      </w:r>
    </w:p>
    <w:p w:rsidR="00000000" w:rsidDel="00000000" w:rsidP="00000000" w:rsidRDefault="00000000" w:rsidRPr="00000000">
      <w:pPr>
        <w:numPr>
          <w:ilvl w:val="3"/>
          <w:numId w:val="1"/>
        </w:numPr>
        <w:ind w:left="288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12 year old boy 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Physical traits of </w:t>
      </w:r>
      <w:r w:rsidDel="00000000" w:rsidR="00000000" w:rsidRPr="00000000">
        <w:rPr>
          <w:rFonts w:ascii="Cambria" w:cs="Cambria" w:eastAsia="Cambria" w:hAnsi="Cambria"/>
          <w:i w:val="1"/>
          <w:rtl w:val="0"/>
        </w:rPr>
        <w:t xml:space="preserve">Homo erectus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7"/>
        </w:numPr>
        <w:ind w:left="144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Occipital or Nuchal torus (projection t the back of the skull </w:t>
      </w:r>
    </w:p>
    <w:p w:rsidR="00000000" w:rsidDel="00000000" w:rsidP="00000000" w:rsidRDefault="00000000" w:rsidRPr="00000000">
      <w:pPr>
        <w:numPr>
          <w:ilvl w:val="1"/>
          <w:numId w:val="7"/>
        </w:numPr>
        <w:ind w:left="144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Supraorbital torus (brow ridge) </w:t>
      </w:r>
    </w:p>
    <w:p w:rsidR="00000000" w:rsidDel="00000000" w:rsidP="00000000" w:rsidRDefault="00000000" w:rsidRPr="00000000">
      <w:pPr>
        <w:numPr>
          <w:ilvl w:val="1"/>
          <w:numId w:val="7"/>
        </w:numPr>
        <w:ind w:left="144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Postorbital constriction (skull comes inwards behind the eye) </w:t>
      </w:r>
    </w:p>
    <w:p w:rsidR="00000000" w:rsidDel="00000000" w:rsidP="00000000" w:rsidRDefault="00000000" w:rsidRPr="00000000">
      <w:pPr>
        <w:numPr>
          <w:ilvl w:val="1"/>
          <w:numId w:val="7"/>
        </w:numPr>
        <w:ind w:left="144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Lower facial prognathism (larger longer face) </w:t>
      </w:r>
    </w:p>
    <w:p w:rsidR="00000000" w:rsidDel="00000000" w:rsidP="00000000" w:rsidRDefault="00000000" w:rsidRPr="00000000">
      <w:pPr>
        <w:numPr>
          <w:ilvl w:val="1"/>
          <w:numId w:val="7"/>
        </w:numPr>
        <w:ind w:left="144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Thick cranial bones (skull more higher and rounded) 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Acheulean Hand-Axe (bi-Face_ </w:t>
      </w:r>
    </w:p>
    <w:p w:rsidR="00000000" w:rsidDel="00000000" w:rsidP="00000000" w:rsidRDefault="00000000" w:rsidRPr="00000000">
      <w:pPr>
        <w:numPr>
          <w:ilvl w:val="1"/>
          <w:numId w:val="7"/>
        </w:numPr>
        <w:ind w:left="144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To fabricate this Acheulean hand-axe from flint, the toolmaker imposed a standardized arbitrary form on the naturally occurring raw material </w:t>
      </w:r>
    </w:p>
    <w:p w:rsidR="00000000" w:rsidDel="00000000" w:rsidP="00000000" w:rsidRDefault="00000000" w:rsidRPr="00000000">
      <w:pPr>
        <w:numPr>
          <w:ilvl w:val="1"/>
          <w:numId w:val="7"/>
        </w:numPr>
        <w:ind w:left="144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Considered to be the all purpose tool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The Hypoglossal canal </w:t>
      </w:r>
    </w:p>
    <w:p w:rsidR="00000000" w:rsidDel="00000000" w:rsidP="00000000" w:rsidRDefault="00000000" w:rsidRPr="00000000">
      <w:pPr>
        <w:numPr>
          <w:ilvl w:val="1"/>
          <w:numId w:val="7"/>
        </w:numPr>
        <w:ind w:left="144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The nerve that passes through the hypoglossal canal controls tongue movement, and complex tongue movements are involved in spoken language </w:t>
      </w:r>
    </w:p>
    <w:p w:rsidR="00000000" w:rsidDel="00000000" w:rsidP="00000000" w:rsidRDefault="00000000" w:rsidRPr="00000000">
      <w:pPr>
        <w:numPr>
          <w:ilvl w:val="1"/>
          <w:numId w:val="7"/>
        </w:numPr>
        <w:ind w:left="144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Members of the genus Homo after about 500,000 years ago have an enlarged hypoglossal canal </w:t>
      </w:r>
    </w:p>
    <w:p w:rsidR="00000000" w:rsidDel="00000000" w:rsidP="00000000" w:rsidRDefault="00000000" w:rsidRPr="00000000">
      <w:pPr>
        <w:contextualSpacing w:val="0"/>
        <w:jc w:val="left"/>
        <w:rPr>
          <w:rFonts w:ascii="Cambria" w:cs="Cambria" w:eastAsia="Cambria" w:hAnsi="Cambr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left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Expansion of Hominin populations 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jc w:val="left"/>
        <w:rPr>
          <w:rFonts w:ascii="Cambria" w:cs="Cambria" w:eastAsia="Cambria" w:hAnsi="Cambria"/>
          <w:i w:val="1"/>
        </w:rPr>
      </w:pPr>
      <w:r w:rsidDel="00000000" w:rsidR="00000000" w:rsidRPr="00000000">
        <w:rPr>
          <w:rFonts w:ascii="Cambria" w:cs="Cambria" w:eastAsia="Cambria" w:hAnsi="Cambria"/>
          <w:i w:val="1"/>
          <w:rtl w:val="0"/>
        </w:rPr>
        <w:t xml:space="preserve">Homo Erectus 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was first to leave Africa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Some qualities that allowed them to leave the african cradle </w:t>
      </w:r>
    </w:p>
    <w:p w:rsidR="00000000" w:rsidDel="00000000" w:rsidP="00000000" w:rsidRDefault="00000000" w:rsidRPr="00000000">
      <w:pPr>
        <w:numPr>
          <w:ilvl w:val="3"/>
          <w:numId w:val="2"/>
        </w:numPr>
        <w:ind w:left="288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In Africa, </w:t>
      </w:r>
      <w:r w:rsidDel="00000000" w:rsidR="00000000" w:rsidRPr="00000000">
        <w:rPr>
          <w:rFonts w:ascii="Cambria" w:cs="Cambria" w:eastAsia="Cambria" w:hAnsi="Cambria"/>
          <w:i w:val="1"/>
          <w:rtl w:val="0"/>
        </w:rPr>
        <w:t xml:space="preserve">Homo Erectus 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had a warm tropical environment</w:t>
      </w:r>
    </w:p>
    <w:p w:rsidR="00000000" w:rsidDel="00000000" w:rsidP="00000000" w:rsidRDefault="00000000" w:rsidRPr="00000000">
      <w:pPr>
        <w:numPr>
          <w:ilvl w:val="4"/>
          <w:numId w:val="2"/>
        </w:numPr>
        <w:ind w:left="360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Insinuating a loss of hair with evolution </w:t>
      </w:r>
    </w:p>
    <w:p w:rsidR="00000000" w:rsidDel="00000000" w:rsidP="00000000" w:rsidRDefault="00000000" w:rsidRPr="00000000">
      <w:pPr>
        <w:numPr>
          <w:ilvl w:val="3"/>
          <w:numId w:val="2"/>
        </w:numPr>
        <w:ind w:left="288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Fire and clothing to keep warm instead of fur </w:t>
      </w:r>
    </w:p>
    <w:p w:rsidR="00000000" w:rsidDel="00000000" w:rsidP="00000000" w:rsidRDefault="00000000" w:rsidRPr="00000000">
      <w:pPr>
        <w:numPr>
          <w:ilvl w:val="4"/>
          <w:numId w:val="2"/>
        </w:numPr>
        <w:ind w:left="360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Allowed them to move farther north to colder environments </w:t>
      </w:r>
    </w:p>
    <w:p w:rsidR="00000000" w:rsidDel="00000000" w:rsidP="00000000" w:rsidRDefault="00000000" w:rsidRPr="00000000">
      <w:pPr>
        <w:numPr>
          <w:ilvl w:val="4"/>
          <w:numId w:val="2"/>
        </w:numPr>
        <w:ind w:left="360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Significance of fire; </w:t>
      </w:r>
    </w:p>
    <w:p w:rsidR="00000000" w:rsidDel="00000000" w:rsidP="00000000" w:rsidRDefault="00000000" w:rsidRPr="00000000">
      <w:pPr>
        <w:numPr>
          <w:ilvl w:val="6"/>
          <w:numId w:val="2"/>
        </w:numPr>
        <w:ind w:left="504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Not only heat, but allowed for more food options ; cooked meat; helps predigest many foods </w:t>
      </w:r>
    </w:p>
    <w:p w:rsidR="00000000" w:rsidDel="00000000" w:rsidP="00000000" w:rsidRDefault="00000000" w:rsidRPr="00000000">
      <w:pPr>
        <w:contextualSpacing w:val="0"/>
        <w:jc w:val="left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The middle Paleolithic : Archaic </w:t>
      </w:r>
      <w:r w:rsidDel="00000000" w:rsidR="00000000" w:rsidRPr="00000000">
        <w:rPr>
          <w:rFonts w:ascii="Cambria" w:cs="Cambria" w:eastAsia="Cambria" w:hAnsi="Cambria"/>
          <w:i w:val="1"/>
          <w:rtl w:val="0"/>
        </w:rPr>
        <w:t xml:space="preserve">Homo sapiens 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and Homo sapiens neanderthalensis 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Late specialization of Homo in Europe and Middle East 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125,000 ya to 35,000 ya (survived to possible 15,000 ya in Gibraltar)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Neandertals; Homo sapien Neanderthalensis 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Levalloisian Technique 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Tool-making technique by which three or four triangular flakes were detached from a core (chip parts of rocks) 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Physical features of Neanderthals 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Occipital burn (large projection at the back of the skull) 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Supraorbital torus (brow ridge) 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Low forehead 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Mid-facial prognathism 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Barrel-shaped rib cage and robust limbs suggest cole climate adaption 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Culture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The capacity for cultural adaption 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Mousterian Tradition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Tool-making tradition of the Neandertals and their contemporaries of Europe, western asia, and northern africa 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Named after the </w:t>
      </w:r>
      <w:r w:rsidDel="00000000" w:rsidR="00000000" w:rsidRPr="00000000">
        <w:rPr>
          <w:rFonts w:ascii="Cambria" w:cs="Cambria" w:eastAsia="Cambria" w:hAnsi="Cambria"/>
          <w:i w:val="1"/>
          <w:rtl w:val="0"/>
        </w:rPr>
        <w:t xml:space="preserve">Neandertal 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site of the Le Moustier, France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Tools were lighter and smaller than the Levalloisian and included handaxes, flakes, scraper, borers, wood shavers and spears 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Culture of Neandertals 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Made a variety of tools for special purposes 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Cared for the old and disabled 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Burials, perhaps with a ceremony </w:t>
      </w:r>
    </w:p>
    <w:p w:rsidR="00000000" w:rsidDel="00000000" w:rsidP="00000000" w:rsidRDefault="00000000" w:rsidRPr="00000000">
      <w:pPr>
        <w:numPr>
          <w:ilvl w:val="3"/>
          <w:numId w:val="8"/>
        </w:numPr>
        <w:ind w:left="288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Remnants of pollen in the burials 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First musical instrument?</w:t>
      </w:r>
    </w:p>
    <w:p w:rsidR="00000000" w:rsidDel="00000000" w:rsidP="00000000" w:rsidRDefault="00000000" w:rsidRPr="00000000">
      <w:pPr>
        <w:numPr>
          <w:ilvl w:val="3"/>
          <w:numId w:val="8"/>
        </w:numPr>
        <w:ind w:left="288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There is a strong possibility that this object, found in trash left by neanderthals, is the remains of a flute made of bone 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jc w:val="left"/>
        <w:rPr>
          <w:rFonts w:ascii="Cambria" w:cs="Cambria" w:eastAsia="Cambria" w:hAnsi="Cambria"/>
          <w:u w:val="none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Scanning Electron Microscope used to analyze marks on fossiles </w:t>
      </w:r>
    </w:p>
    <w:p w:rsidR="00000000" w:rsidDel="00000000" w:rsidP="00000000" w:rsidRDefault="00000000" w:rsidRPr="00000000">
      <w:pPr>
        <w:contextualSpacing w:val="0"/>
        <w:jc w:val="left"/>
        <w:rPr>
          <w:rFonts w:ascii="Cambria" w:cs="Cambria" w:eastAsia="Cambria" w:hAnsi="Cambr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left"/>
        <w:rPr>
          <w:rFonts w:ascii="Cambria" w:cs="Cambria" w:eastAsia="Cambria" w:hAnsi="Cambria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Cambr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en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