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65D9" w:rsidRPr="006065D9" w:rsidRDefault="006065D9" w:rsidP="006065D9">
      <w:pPr>
        <w:spacing w:after="0" w:line="240" w:lineRule="auto"/>
        <w:rPr>
          <w:rFonts w:ascii="Arial" w:eastAsia="Times New Roman" w:hAnsi="Arial" w:cs="Arial"/>
          <w:b/>
          <w:sz w:val="24"/>
          <w:szCs w:val="24"/>
          <w:lang w:val="fr-CA"/>
        </w:rPr>
      </w:pPr>
    </w:p>
    <w:p w:rsidR="006065D9" w:rsidRPr="006065D9" w:rsidRDefault="006065D9" w:rsidP="006065D9">
      <w:pPr>
        <w:spacing w:after="0" w:line="240" w:lineRule="auto"/>
        <w:jc w:val="center"/>
        <w:rPr>
          <w:rFonts w:ascii="Arial" w:eastAsia="Times New Roman" w:hAnsi="Arial" w:cs="Arial"/>
          <w:b/>
          <w:sz w:val="24"/>
          <w:szCs w:val="24"/>
          <w:lang w:val="en-US"/>
        </w:rPr>
      </w:pPr>
      <w:r w:rsidRPr="006065D9">
        <w:rPr>
          <w:rFonts w:ascii="Arial" w:eastAsia="Times New Roman" w:hAnsi="Arial" w:cs="Arial"/>
          <w:b/>
          <w:sz w:val="24"/>
          <w:szCs w:val="24"/>
          <w:lang w:val="en-US"/>
        </w:rPr>
        <w:t>ADM 4342</w:t>
      </w:r>
    </w:p>
    <w:p w:rsidR="006065D9" w:rsidRPr="006065D9" w:rsidRDefault="006065D9" w:rsidP="006065D9">
      <w:pPr>
        <w:spacing w:after="0" w:line="240" w:lineRule="auto"/>
        <w:jc w:val="center"/>
        <w:rPr>
          <w:rFonts w:ascii="Arial" w:eastAsia="Times New Roman" w:hAnsi="Arial" w:cs="Arial"/>
          <w:b/>
          <w:sz w:val="24"/>
          <w:szCs w:val="24"/>
          <w:lang w:val="en-US"/>
        </w:rPr>
      </w:pPr>
      <w:r w:rsidRPr="006065D9">
        <w:rPr>
          <w:rFonts w:ascii="Arial" w:eastAsia="Times New Roman" w:hAnsi="Arial" w:cs="Arial"/>
          <w:b/>
          <w:sz w:val="24"/>
          <w:szCs w:val="24"/>
          <w:lang w:val="en-US"/>
        </w:rPr>
        <w:t>Seminar in Accounting Theory</w:t>
      </w:r>
    </w:p>
    <w:p w:rsidR="006065D9" w:rsidRPr="006065D9" w:rsidRDefault="006065D9" w:rsidP="006065D9">
      <w:pPr>
        <w:spacing w:after="0" w:line="240" w:lineRule="auto"/>
        <w:jc w:val="center"/>
        <w:rPr>
          <w:rFonts w:ascii="Arial" w:eastAsia="Times New Roman" w:hAnsi="Arial" w:cs="Arial"/>
          <w:b/>
          <w:sz w:val="24"/>
          <w:szCs w:val="24"/>
          <w:lang w:val="en-US"/>
        </w:rPr>
      </w:pPr>
      <w:r w:rsidRPr="006065D9">
        <w:rPr>
          <w:rFonts w:ascii="Arial" w:eastAsia="Times New Roman" w:hAnsi="Arial" w:cs="Arial"/>
          <w:b/>
          <w:sz w:val="24"/>
          <w:szCs w:val="24"/>
          <w:lang w:val="en-US"/>
        </w:rPr>
        <w:t xml:space="preserve">Winter, 2018 </w:t>
      </w:r>
    </w:p>
    <w:p w:rsidR="006065D9" w:rsidRDefault="006065D9" w:rsidP="006065D9">
      <w:pPr>
        <w:spacing w:after="0" w:line="240" w:lineRule="auto"/>
        <w:jc w:val="center"/>
        <w:rPr>
          <w:rFonts w:ascii="Arial" w:hAnsi="Arial" w:cs="Arial"/>
          <w:b/>
          <w:sz w:val="24"/>
          <w:szCs w:val="24"/>
        </w:rPr>
      </w:pPr>
    </w:p>
    <w:p w:rsidR="00B96B82" w:rsidRDefault="006065D9" w:rsidP="006065D9">
      <w:pPr>
        <w:spacing w:after="0" w:line="240" w:lineRule="auto"/>
        <w:jc w:val="center"/>
        <w:rPr>
          <w:rFonts w:ascii="Arial" w:hAnsi="Arial" w:cs="Arial"/>
          <w:b/>
          <w:sz w:val="24"/>
          <w:szCs w:val="24"/>
        </w:rPr>
      </w:pPr>
      <w:r>
        <w:rPr>
          <w:rFonts w:ascii="Arial" w:hAnsi="Arial" w:cs="Arial"/>
          <w:b/>
          <w:sz w:val="24"/>
          <w:szCs w:val="24"/>
        </w:rPr>
        <w:t xml:space="preserve">Notes: Scott, </w:t>
      </w:r>
      <w:r w:rsidRPr="006065D9">
        <w:rPr>
          <w:rFonts w:ascii="Arial" w:hAnsi="Arial" w:cs="Arial"/>
          <w:b/>
          <w:sz w:val="24"/>
          <w:szCs w:val="24"/>
        </w:rPr>
        <w:t>Chapter 1</w:t>
      </w:r>
    </w:p>
    <w:p w:rsidR="006065D9" w:rsidRDefault="006065D9" w:rsidP="006065D9">
      <w:pPr>
        <w:spacing w:after="0" w:line="240" w:lineRule="auto"/>
        <w:jc w:val="center"/>
        <w:rPr>
          <w:rFonts w:ascii="Arial" w:hAnsi="Arial" w:cs="Arial"/>
          <w:b/>
          <w:sz w:val="24"/>
          <w:szCs w:val="24"/>
        </w:rPr>
      </w:pPr>
      <w:r>
        <w:rPr>
          <w:rFonts w:ascii="Arial" w:hAnsi="Arial" w:cs="Arial"/>
          <w:b/>
          <w:sz w:val="24"/>
          <w:szCs w:val="24"/>
        </w:rPr>
        <w:t>Introduction to Dimensions of Accounting Theory</w:t>
      </w:r>
    </w:p>
    <w:p w:rsidR="008E0337" w:rsidRDefault="008E0337" w:rsidP="006065D9">
      <w:pPr>
        <w:spacing w:after="0" w:line="240" w:lineRule="auto"/>
        <w:jc w:val="center"/>
        <w:rPr>
          <w:rFonts w:ascii="Arial" w:hAnsi="Arial" w:cs="Arial"/>
          <w:b/>
          <w:sz w:val="24"/>
          <w:szCs w:val="24"/>
        </w:rPr>
      </w:pPr>
    </w:p>
    <w:p w:rsidR="008E0337" w:rsidRPr="006065D9" w:rsidRDefault="008E0337" w:rsidP="008E0337">
      <w:pPr>
        <w:spacing w:after="0" w:line="240" w:lineRule="auto"/>
        <w:rPr>
          <w:rFonts w:ascii="Arial" w:hAnsi="Arial" w:cs="Arial"/>
          <w:b/>
          <w:sz w:val="24"/>
          <w:szCs w:val="24"/>
        </w:rPr>
      </w:pPr>
      <w:r>
        <w:rPr>
          <w:rFonts w:ascii="Arial" w:hAnsi="Arial" w:cs="Arial"/>
          <w:b/>
          <w:sz w:val="24"/>
          <w:szCs w:val="24"/>
        </w:rPr>
        <w:t>Dr. B. La Rochelle</w:t>
      </w:r>
      <w:bookmarkStart w:id="0" w:name="_GoBack"/>
      <w:bookmarkEnd w:id="0"/>
    </w:p>
    <w:p w:rsidR="006065D9" w:rsidRDefault="006065D9" w:rsidP="006065D9"/>
    <w:p w:rsidR="006065D9" w:rsidRDefault="006065D9" w:rsidP="006065D9">
      <w:pPr>
        <w:spacing w:after="0" w:line="240" w:lineRule="auto"/>
        <w:rPr>
          <w:rFonts w:ascii="Arial" w:eastAsia="Times New Roman" w:hAnsi="Arial" w:cs="Arial"/>
          <w:sz w:val="24"/>
          <w:szCs w:val="24"/>
          <w:u w:val="single"/>
        </w:rPr>
      </w:pPr>
      <w:r w:rsidRPr="006065D9">
        <w:rPr>
          <w:rFonts w:ascii="Arial" w:eastAsia="Times New Roman" w:hAnsi="Arial" w:cs="Arial"/>
          <w:sz w:val="24"/>
          <w:szCs w:val="24"/>
        </w:rPr>
        <w:t xml:space="preserve">Scott:  book is based on </w:t>
      </w:r>
      <w:r w:rsidRPr="006065D9">
        <w:rPr>
          <w:rFonts w:ascii="Arial" w:eastAsia="Times New Roman" w:hAnsi="Arial" w:cs="Arial"/>
          <w:sz w:val="24"/>
          <w:szCs w:val="24"/>
          <w:u w:val="single"/>
        </w:rPr>
        <w:t>information economics</w:t>
      </w:r>
    </w:p>
    <w:p w:rsidR="00B31BAB" w:rsidRDefault="00B31BAB" w:rsidP="006065D9">
      <w:pPr>
        <w:spacing w:after="0" w:line="240" w:lineRule="auto"/>
        <w:rPr>
          <w:rFonts w:ascii="Arial" w:eastAsia="Times New Roman" w:hAnsi="Arial" w:cs="Arial"/>
          <w:sz w:val="24"/>
          <w:szCs w:val="24"/>
          <w:u w:val="single"/>
        </w:rPr>
      </w:pPr>
    </w:p>
    <w:p w:rsidR="00B31BAB" w:rsidRPr="00B31BAB" w:rsidRDefault="00B31BAB" w:rsidP="00B31BAB">
      <w:pPr>
        <w:spacing w:after="0" w:line="240" w:lineRule="auto"/>
        <w:rPr>
          <w:rFonts w:ascii="Arial" w:eastAsia="Times New Roman" w:hAnsi="Arial" w:cs="Arial"/>
          <w:sz w:val="24"/>
          <w:szCs w:val="24"/>
        </w:rPr>
      </w:pPr>
      <w:r w:rsidRPr="00B31BAB">
        <w:rPr>
          <w:rFonts w:ascii="Arial" w:eastAsia="Times New Roman" w:hAnsi="Arial" w:cs="Arial"/>
          <w:sz w:val="24"/>
          <w:szCs w:val="24"/>
        </w:rPr>
        <w:t>Information economics and behavioural issues—where do they intersect</w:t>
      </w:r>
    </w:p>
    <w:p w:rsidR="00B31BAB" w:rsidRPr="006065D9" w:rsidRDefault="00B31BAB" w:rsidP="006065D9">
      <w:pPr>
        <w:spacing w:after="0" w:line="240" w:lineRule="auto"/>
        <w:rPr>
          <w:rFonts w:ascii="Arial" w:eastAsia="Times New Roman" w:hAnsi="Arial" w:cs="Arial"/>
          <w:sz w:val="24"/>
          <w:szCs w:val="24"/>
          <w:u w:val="single"/>
        </w:rPr>
      </w:pPr>
    </w:p>
    <w:p w:rsidR="004F5D1F" w:rsidRPr="004F5D1F" w:rsidRDefault="004F5D1F" w:rsidP="004F5D1F">
      <w:pPr>
        <w:spacing w:after="0" w:line="240" w:lineRule="auto"/>
        <w:rPr>
          <w:rFonts w:ascii="Arial" w:eastAsia="Times New Roman" w:hAnsi="Arial" w:cs="Arial"/>
          <w:sz w:val="24"/>
          <w:szCs w:val="24"/>
        </w:rPr>
      </w:pPr>
      <w:r w:rsidRPr="004F5D1F">
        <w:rPr>
          <w:rFonts w:ascii="Arial" w:eastAsia="Times New Roman" w:hAnsi="Arial" w:cs="Arial"/>
          <w:sz w:val="24"/>
          <w:szCs w:val="24"/>
        </w:rPr>
        <w:t xml:space="preserve">First principles that </w:t>
      </w:r>
      <w:r w:rsidRPr="004F5D1F">
        <w:rPr>
          <w:rFonts w:ascii="Arial" w:eastAsia="Times New Roman" w:hAnsi="Arial" w:cs="Arial"/>
          <w:sz w:val="24"/>
          <w:szCs w:val="24"/>
          <w:u w:val="single"/>
        </w:rPr>
        <w:t>go largely unquestioned</w:t>
      </w:r>
      <w:r w:rsidRPr="004F5D1F">
        <w:rPr>
          <w:rFonts w:ascii="Arial" w:eastAsia="Times New Roman" w:hAnsi="Arial" w:cs="Arial"/>
          <w:sz w:val="24"/>
          <w:szCs w:val="24"/>
        </w:rPr>
        <w:t>—compare Charter of Rights, religious first principles, Conceptual Framework in Accounting</w:t>
      </w:r>
    </w:p>
    <w:p w:rsidR="004F5D1F" w:rsidRPr="004F5D1F" w:rsidRDefault="004F5D1F" w:rsidP="004F5D1F">
      <w:pPr>
        <w:spacing w:after="0" w:line="240" w:lineRule="auto"/>
        <w:rPr>
          <w:rFonts w:ascii="Arial" w:eastAsia="Times New Roman" w:hAnsi="Arial" w:cs="Arial"/>
          <w:sz w:val="24"/>
          <w:szCs w:val="24"/>
        </w:rPr>
      </w:pPr>
    </w:p>
    <w:p w:rsidR="004F5D1F" w:rsidRPr="004F5D1F" w:rsidRDefault="004F5D1F" w:rsidP="004F5D1F">
      <w:pPr>
        <w:spacing w:after="0" w:line="240" w:lineRule="auto"/>
        <w:rPr>
          <w:rFonts w:ascii="Arial" w:eastAsia="Times New Roman" w:hAnsi="Arial" w:cs="Arial"/>
          <w:sz w:val="24"/>
          <w:szCs w:val="24"/>
        </w:rPr>
      </w:pPr>
      <w:r w:rsidRPr="004F5D1F">
        <w:rPr>
          <w:rFonts w:ascii="Arial" w:eastAsia="Times New Roman" w:hAnsi="Arial" w:cs="Arial"/>
          <w:sz w:val="24"/>
          <w:szCs w:val="24"/>
        </w:rPr>
        <w:t>--Conceptual framework versus industry-based GAAP</w:t>
      </w:r>
    </w:p>
    <w:p w:rsidR="004F5D1F" w:rsidRPr="004F5D1F" w:rsidRDefault="004F5D1F" w:rsidP="004F5D1F">
      <w:pPr>
        <w:spacing w:after="0" w:line="240" w:lineRule="auto"/>
        <w:rPr>
          <w:rFonts w:ascii="Arial" w:eastAsia="Times New Roman" w:hAnsi="Arial" w:cs="Arial"/>
          <w:sz w:val="24"/>
          <w:szCs w:val="24"/>
        </w:rPr>
      </w:pPr>
      <w:r w:rsidRPr="004F5D1F">
        <w:rPr>
          <w:rFonts w:ascii="Arial" w:eastAsia="Times New Roman" w:hAnsi="Arial" w:cs="Arial"/>
          <w:sz w:val="24"/>
          <w:szCs w:val="24"/>
        </w:rPr>
        <w:t xml:space="preserve">--consider the </w:t>
      </w:r>
      <w:r w:rsidRPr="004F5D1F">
        <w:rPr>
          <w:rFonts w:ascii="Arial" w:eastAsia="Times New Roman" w:hAnsi="Arial" w:cs="Arial"/>
          <w:sz w:val="24"/>
          <w:szCs w:val="24"/>
          <w:u w:val="single"/>
        </w:rPr>
        <w:t>effects of market forces</w:t>
      </w:r>
    </w:p>
    <w:p w:rsidR="004F5D1F" w:rsidRPr="004F5D1F" w:rsidRDefault="004F5D1F" w:rsidP="004F5D1F">
      <w:pPr>
        <w:spacing w:after="0" w:line="240" w:lineRule="auto"/>
        <w:rPr>
          <w:rFonts w:ascii="Arial" w:eastAsia="Times New Roman" w:hAnsi="Arial" w:cs="Arial"/>
          <w:sz w:val="24"/>
          <w:szCs w:val="24"/>
        </w:rPr>
      </w:pPr>
    </w:p>
    <w:p w:rsidR="004F5D1F" w:rsidRPr="004F5D1F" w:rsidRDefault="004F5D1F" w:rsidP="004F5D1F">
      <w:pPr>
        <w:spacing w:after="0" w:line="240" w:lineRule="auto"/>
        <w:rPr>
          <w:rFonts w:ascii="Arial" w:eastAsia="Times New Roman" w:hAnsi="Arial" w:cs="Arial"/>
          <w:sz w:val="24"/>
          <w:szCs w:val="24"/>
        </w:rPr>
      </w:pPr>
      <w:r w:rsidRPr="004F5D1F">
        <w:rPr>
          <w:rFonts w:ascii="Arial" w:eastAsia="Times New Roman" w:hAnsi="Arial" w:cs="Arial"/>
          <w:sz w:val="24"/>
          <w:szCs w:val="24"/>
        </w:rPr>
        <w:t xml:space="preserve">--Accounting information should be useful to investors, creditors and other users (then discussed) – two directions:  backwards (evaluation of managerial </w:t>
      </w:r>
      <w:proofErr w:type="gramStart"/>
      <w:r w:rsidRPr="004F5D1F">
        <w:rPr>
          <w:rFonts w:ascii="Arial" w:eastAsia="Times New Roman" w:hAnsi="Arial" w:cs="Arial"/>
          <w:sz w:val="24"/>
          <w:szCs w:val="24"/>
        </w:rPr>
        <w:t>performance)  and</w:t>
      </w:r>
      <w:proofErr w:type="gramEnd"/>
      <w:r w:rsidRPr="004F5D1F">
        <w:rPr>
          <w:rFonts w:ascii="Arial" w:eastAsia="Times New Roman" w:hAnsi="Arial" w:cs="Arial"/>
          <w:sz w:val="24"/>
          <w:szCs w:val="24"/>
        </w:rPr>
        <w:t xml:space="preserve"> forwards (predictive)</w:t>
      </w:r>
    </w:p>
    <w:p w:rsidR="004F5D1F" w:rsidRPr="004F5D1F" w:rsidRDefault="004F5D1F" w:rsidP="004F5D1F">
      <w:pPr>
        <w:spacing w:after="0" w:line="240" w:lineRule="auto"/>
        <w:rPr>
          <w:rFonts w:ascii="Arial" w:eastAsia="Times New Roman" w:hAnsi="Arial" w:cs="Arial"/>
          <w:sz w:val="24"/>
          <w:szCs w:val="24"/>
        </w:rPr>
      </w:pPr>
    </w:p>
    <w:p w:rsidR="004F5D1F" w:rsidRPr="004F5D1F" w:rsidRDefault="004F5D1F" w:rsidP="004F5D1F">
      <w:pPr>
        <w:spacing w:after="0" w:line="240" w:lineRule="auto"/>
        <w:rPr>
          <w:rFonts w:ascii="Arial" w:eastAsia="Times New Roman" w:hAnsi="Arial" w:cs="Arial"/>
          <w:sz w:val="24"/>
          <w:szCs w:val="24"/>
        </w:rPr>
      </w:pPr>
      <w:r w:rsidRPr="004F5D1F">
        <w:rPr>
          <w:rFonts w:ascii="Arial" w:eastAsia="Times New Roman" w:hAnsi="Arial" w:cs="Arial"/>
          <w:sz w:val="24"/>
          <w:szCs w:val="24"/>
        </w:rPr>
        <w:t>--deductive versus inductive reasoning</w:t>
      </w:r>
    </w:p>
    <w:p w:rsidR="004F5D1F" w:rsidRPr="004F5D1F" w:rsidRDefault="004F5D1F" w:rsidP="004F5D1F">
      <w:pPr>
        <w:spacing w:after="0" w:line="240" w:lineRule="auto"/>
        <w:rPr>
          <w:rFonts w:ascii="Arial" w:eastAsia="Times New Roman" w:hAnsi="Arial" w:cs="Arial"/>
          <w:sz w:val="24"/>
          <w:szCs w:val="24"/>
        </w:rPr>
      </w:pPr>
    </w:p>
    <w:p w:rsidR="004F5D1F" w:rsidRPr="004F5D1F" w:rsidRDefault="004F5D1F" w:rsidP="004F5D1F">
      <w:pPr>
        <w:spacing w:after="0" w:line="240" w:lineRule="auto"/>
        <w:rPr>
          <w:rFonts w:ascii="Arial" w:eastAsia="Times New Roman" w:hAnsi="Arial" w:cs="Arial"/>
          <w:sz w:val="24"/>
          <w:szCs w:val="24"/>
        </w:rPr>
      </w:pPr>
      <w:r w:rsidRPr="004F5D1F">
        <w:rPr>
          <w:rFonts w:ascii="Arial" w:eastAsia="Times New Roman" w:hAnsi="Arial" w:cs="Arial"/>
          <w:sz w:val="24"/>
          <w:szCs w:val="24"/>
        </w:rPr>
        <w:t>--deductive reasoning is generally considered to be superior</w:t>
      </w:r>
    </w:p>
    <w:p w:rsidR="004F5D1F" w:rsidRPr="004F5D1F" w:rsidRDefault="004F5D1F" w:rsidP="004F5D1F">
      <w:pPr>
        <w:spacing w:after="0" w:line="240" w:lineRule="auto"/>
        <w:rPr>
          <w:rFonts w:ascii="Arial" w:eastAsia="Times New Roman" w:hAnsi="Arial" w:cs="Arial"/>
          <w:b/>
          <w:sz w:val="24"/>
          <w:szCs w:val="24"/>
        </w:rPr>
      </w:pPr>
    </w:p>
    <w:p w:rsidR="00B96F5D" w:rsidRPr="00B96F5D" w:rsidRDefault="00B96F5D" w:rsidP="00B96F5D">
      <w:pPr>
        <w:spacing w:after="0" w:line="240" w:lineRule="auto"/>
        <w:rPr>
          <w:rFonts w:ascii="Arial" w:eastAsia="Times New Roman" w:hAnsi="Arial" w:cs="Arial"/>
          <w:b/>
          <w:sz w:val="24"/>
          <w:szCs w:val="24"/>
        </w:rPr>
      </w:pP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Regulated in the public interest.</w:t>
      </w: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Deregulation movement of the 1980s (Reagan, Thatcher)</w:t>
      </w: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 xml:space="preserve">Businesses control the behaviour of each other </w:t>
      </w:r>
      <w:proofErr w:type="gramStart"/>
      <w:r w:rsidRPr="008B428E">
        <w:rPr>
          <w:rFonts w:ascii="Arial" w:eastAsia="Times New Roman" w:hAnsi="Arial" w:cs="Arial"/>
          <w:sz w:val="24"/>
          <w:szCs w:val="24"/>
        </w:rPr>
        <w:t>in order to</w:t>
      </w:r>
      <w:proofErr w:type="gramEnd"/>
      <w:r w:rsidRPr="008B428E">
        <w:rPr>
          <w:rFonts w:ascii="Arial" w:eastAsia="Times New Roman" w:hAnsi="Arial" w:cs="Arial"/>
          <w:sz w:val="24"/>
          <w:szCs w:val="24"/>
        </w:rPr>
        <w:t xml:space="preserve"> avoid regulation.  Identification of bad actors</w:t>
      </w: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p>
    <w:p w:rsidR="00B96F5D"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 xml:space="preserve">From a business perspective—the less regulation, the better, </w:t>
      </w:r>
      <w:proofErr w:type="gramStart"/>
      <w:r w:rsidRPr="008B428E">
        <w:rPr>
          <w:rFonts w:ascii="Arial" w:eastAsia="Times New Roman" w:hAnsi="Arial" w:cs="Arial"/>
          <w:sz w:val="24"/>
          <w:szCs w:val="24"/>
        </w:rPr>
        <w:t>in order to</w:t>
      </w:r>
      <w:proofErr w:type="gramEnd"/>
      <w:r w:rsidRPr="008B428E">
        <w:rPr>
          <w:rFonts w:ascii="Arial" w:eastAsia="Times New Roman" w:hAnsi="Arial" w:cs="Arial"/>
          <w:sz w:val="24"/>
          <w:szCs w:val="24"/>
        </w:rPr>
        <w:t xml:space="preserve"> act in individual or collective self-interest—benefit the public to the extent necessary to avoid regulatory intervention.</w:t>
      </w:r>
      <w:r w:rsidR="00472B4D">
        <w:rPr>
          <w:rFonts w:ascii="Arial" w:eastAsia="Times New Roman" w:hAnsi="Arial" w:cs="Arial"/>
          <w:sz w:val="24"/>
          <w:szCs w:val="24"/>
        </w:rPr>
        <w:t xml:space="preserve">  Relate to Merino and </w:t>
      </w:r>
      <w:proofErr w:type="spellStart"/>
      <w:r w:rsidR="00472B4D">
        <w:rPr>
          <w:rFonts w:ascii="Arial" w:eastAsia="Times New Roman" w:hAnsi="Arial" w:cs="Arial"/>
          <w:sz w:val="24"/>
          <w:szCs w:val="24"/>
        </w:rPr>
        <w:t>Neimark</w:t>
      </w:r>
      <w:proofErr w:type="spellEnd"/>
      <w:r w:rsidR="00472B4D">
        <w:rPr>
          <w:rFonts w:ascii="Arial" w:eastAsia="Times New Roman" w:hAnsi="Arial" w:cs="Arial"/>
          <w:sz w:val="24"/>
          <w:szCs w:val="24"/>
        </w:rPr>
        <w:t xml:space="preserve"> (text, p. 5)</w:t>
      </w:r>
    </w:p>
    <w:p w:rsidR="00472B4D" w:rsidRPr="008B428E" w:rsidRDefault="00472B4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proofErr w:type="spellStart"/>
      <w:r w:rsidRPr="008B428E">
        <w:rPr>
          <w:rFonts w:ascii="Arial" w:eastAsia="Times New Roman" w:hAnsi="Arial" w:cs="Arial"/>
          <w:sz w:val="24"/>
          <w:szCs w:val="24"/>
        </w:rPr>
        <w:t>Worldcom</w:t>
      </w:r>
      <w:proofErr w:type="spellEnd"/>
      <w:r w:rsidRPr="008B428E">
        <w:rPr>
          <w:rFonts w:ascii="Arial" w:eastAsia="Times New Roman" w:hAnsi="Arial" w:cs="Arial"/>
          <w:sz w:val="24"/>
          <w:szCs w:val="24"/>
        </w:rPr>
        <w:t xml:space="preserve"> and Enron—special purpose entities—avoiding consolidation so that the debt position of the companies seemed to be much less than the level of debt </w:t>
      </w:r>
      <w:proofErr w:type="gramStart"/>
      <w:r w:rsidRPr="008B428E">
        <w:rPr>
          <w:rFonts w:ascii="Arial" w:eastAsia="Times New Roman" w:hAnsi="Arial" w:cs="Arial"/>
          <w:sz w:val="24"/>
          <w:szCs w:val="24"/>
        </w:rPr>
        <w:t>actually was</w:t>
      </w:r>
      <w:proofErr w:type="gramEnd"/>
      <w:r w:rsidRPr="008B428E">
        <w:rPr>
          <w:rFonts w:ascii="Arial" w:eastAsia="Times New Roman" w:hAnsi="Arial" w:cs="Arial"/>
          <w:sz w:val="24"/>
          <w:szCs w:val="24"/>
        </w:rPr>
        <w:t>.</w:t>
      </w: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lastRenderedPageBreak/>
        <w:t xml:space="preserve">--What about market efficiency and Enron and </w:t>
      </w:r>
      <w:proofErr w:type="spellStart"/>
      <w:r w:rsidRPr="008B428E">
        <w:rPr>
          <w:rFonts w:ascii="Arial" w:eastAsia="Times New Roman" w:hAnsi="Arial" w:cs="Arial"/>
          <w:sz w:val="24"/>
          <w:szCs w:val="24"/>
        </w:rPr>
        <w:t>Worldcom</w:t>
      </w:r>
      <w:proofErr w:type="spellEnd"/>
      <w:r w:rsidRPr="008B428E">
        <w:rPr>
          <w:rFonts w:ascii="Arial" w:eastAsia="Times New Roman" w:hAnsi="Arial" w:cs="Arial"/>
          <w:sz w:val="24"/>
          <w:szCs w:val="24"/>
        </w:rPr>
        <w:t xml:space="preserve"> (compare Nortel)</w:t>
      </w: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--Public and politicians blaming accounting regulation and auditors</w:t>
      </w: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 xml:space="preserve">--Rules-based versus principles-based accounting principles – </w:t>
      </w: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 xml:space="preserve">--Consider history of the development of accounting principles in Canada and compare to the United States—developments were very close until early 2000s. </w:t>
      </w: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--Issue relates more to how the principles are applied and how such application is being monitored by standard-setters to determine if intervention is required.  Proactive rather than reactive behaviours.</w:t>
      </w: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--History of major changes in accounting principles (such as mandatory risk disclosure) is largely reactionary.</w:t>
      </w: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--How can the auditor be faulted if someone is applying accounting standards aggressively</w:t>
      </w: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--Consider current tax changes controversy in Canada</w:t>
      </w: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Financial Meltdowns of the late 2000s</w:t>
      </w: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--development of shadow banking system</w:t>
      </w: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--shadow banking system largely unregulated.</w:t>
      </w:r>
    </w:p>
    <w:p w:rsidR="00B96F5D" w:rsidRPr="008B428E" w:rsidRDefault="00B96F5D" w:rsidP="00B96F5D">
      <w:pPr>
        <w:spacing w:after="0" w:line="240" w:lineRule="auto"/>
        <w:rPr>
          <w:rFonts w:ascii="Arial" w:eastAsia="Times New Roman" w:hAnsi="Arial" w:cs="Arial"/>
          <w:sz w:val="24"/>
          <w:szCs w:val="24"/>
        </w:rPr>
      </w:pPr>
      <w:r w:rsidRPr="008B428E">
        <w:rPr>
          <w:rFonts w:ascii="Arial" w:eastAsia="Times New Roman" w:hAnsi="Arial" w:cs="Arial"/>
          <w:sz w:val="24"/>
          <w:szCs w:val="24"/>
        </w:rPr>
        <w:t>--Collapse was largely a surprise to those who favoured market forces as the primary regulator</w:t>
      </w:r>
    </w:p>
    <w:p w:rsidR="00B96F5D" w:rsidRPr="008B428E" w:rsidRDefault="00B96F5D" w:rsidP="00B96F5D">
      <w:pPr>
        <w:spacing w:after="0" w:line="240" w:lineRule="auto"/>
        <w:rPr>
          <w:rFonts w:ascii="Arial" w:eastAsia="Times New Roman" w:hAnsi="Arial" w:cs="Arial"/>
          <w:sz w:val="24"/>
          <w:szCs w:val="24"/>
        </w:rPr>
      </w:pPr>
    </w:p>
    <w:p w:rsidR="00B96F5D" w:rsidRPr="008B428E" w:rsidRDefault="00B96F5D" w:rsidP="00B96F5D">
      <w:pPr>
        <w:spacing w:after="0" w:line="240" w:lineRule="auto"/>
        <w:rPr>
          <w:rFonts w:ascii="Arial" w:eastAsia="Times New Roman" w:hAnsi="Arial" w:cs="Arial"/>
          <w:sz w:val="24"/>
          <w:szCs w:val="24"/>
        </w:rPr>
      </w:pPr>
    </w:p>
    <w:p w:rsidR="00B96F5D" w:rsidRPr="00B96F5D" w:rsidRDefault="00B96F5D" w:rsidP="00B96F5D">
      <w:pPr>
        <w:spacing w:after="0" w:line="240" w:lineRule="auto"/>
        <w:rPr>
          <w:rFonts w:ascii="Arial" w:eastAsia="Times New Roman" w:hAnsi="Arial" w:cs="Arial"/>
          <w:b/>
          <w:sz w:val="24"/>
          <w:szCs w:val="24"/>
          <w:lang w:val="en-US"/>
        </w:rPr>
      </w:pPr>
      <w:r w:rsidRPr="00B96F5D">
        <w:rPr>
          <w:rFonts w:ascii="Arial" w:eastAsia="Times New Roman" w:hAnsi="Arial" w:cs="Arial"/>
          <w:b/>
          <w:sz w:val="24"/>
          <w:szCs w:val="24"/>
          <w:lang w:val="en-US"/>
        </w:rPr>
        <w:t>Economic History, Social History and Accounting History</w:t>
      </w:r>
    </w:p>
    <w:p w:rsidR="00B96F5D" w:rsidRPr="00B96F5D" w:rsidRDefault="00B96F5D" w:rsidP="00B96F5D">
      <w:pPr>
        <w:spacing w:after="0" w:line="240" w:lineRule="auto"/>
        <w:rPr>
          <w:rFonts w:ascii="Arial" w:eastAsia="Times New Roman" w:hAnsi="Arial" w:cs="Arial"/>
          <w:b/>
          <w:sz w:val="24"/>
          <w:szCs w:val="24"/>
          <w:lang w:val="en-US"/>
        </w:rPr>
      </w:pPr>
    </w:p>
    <w:p w:rsidR="00B96F5D" w:rsidRPr="00B96F5D" w:rsidRDefault="00B96F5D" w:rsidP="00B96F5D">
      <w:pPr>
        <w:numPr>
          <w:ilvl w:val="0"/>
          <w:numId w:val="1"/>
        </w:numPr>
        <w:spacing w:after="0" w:line="240" w:lineRule="auto"/>
        <w:contextualSpacing/>
        <w:rPr>
          <w:rFonts w:ascii="Arial" w:eastAsia="Times New Roman" w:hAnsi="Arial" w:cs="Arial"/>
          <w:b/>
          <w:sz w:val="24"/>
          <w:szCs w:val="24"/>
        </w:rPr>
      </w:pPr>
      <w:r w:rsidRPr="00B96F5D">
        <w:rPr>
          <w:rFonts w:ascii="Arial" w:eastAsia="Times New Roman" w:hAnsi="Arial" w:cs="Arial"/>
          <w:sz w:val="24"/>
          <w:szCs w:val="24"/>
        </w:rPr>
        <w:t>When there weren’t formalized accounting principles (pre 20</w:t>
      </w:r>
      <w:r w:rsidRPr="00B96F5D">
        <w:rPr>
          <w:rFonts w:ascii="Arial" w:eastAsia="Times New Roman" w:hAnsi="Arial" w:cs="Arial"/>
          <w:sz w:val="24"/>
          <w:szCs w:val="24"/>
          <w:vertAlign w:val="superscript"/>
        </w:rPr>
        <w:t>th</w:t>
      </w:r>
      <w:r w:rsidRPr="00B96F5D">
        <w:rPr>
          <w:rFonts w:ascii="Arial" w:eastAsia="Times New Roman" w:hAnsi="Arial" w:cs="Arial"/>
          <w:sz w:val="24"/>
          <w:szCs w:val="24"/>
        </w:rPr>
        <w:t xml:space="preserve"> century), how did accounting evolve?  Accounting evolved as a necessary means of communication of common understandings as to economic events.   As trade and commerce evolved, so did accounting.</w:t>
      </w:r>
    </w:p>
    <w:p w:rsidR="00B96F5D" w:rsidRPr="00B96F5D" w:rsidRDefault="00B96F5D" w:rsidP="00B96F5D">
      <w:pPr>
        <w:spacing w:after="0" w:line="240" w:lineRule="auto"/>
        <w:ind w:left="360"/>
        <w:rPr>
          <w:rFonts w:ascii="Arial" w:eastAsia="Times New Roman" w:hAnsi="Arial" w:cs="Arial"/>
          <w:b/>
          <w:sz w:val="24"/>
          <w:szCs w:val="24"/>
        </w:rPr>
      </w:pPr>
      <w:r w:rsidRPr="00B96F5D">
        <w:rPr>
          <w:rFonts w:ascii="Arial" w:eastAsia="Times New Roman" w:hAnsi="Arial" w:cs="Arial"/>
          <w:sz w:val="24"/>
          <w:szCs w:val="24"/>
        </w:rPr>
        <w:t xml:space="preserve"> </w:t>
      </w:r>
    </w:p>
    <w:p w:rsidR="00B96F5D" w:rsidRPr="00B96F5D" w:rsidRDefault="00B96F5D" w:rsidP="00B96F5D">
      <w:pPr>
        <w:numPr>
          <w:ilvl w:val="0"/>
          <w:numId w:val="1"/>
        </w:numPr>
        <w:spacing w:after="0" w:line="240" w:lineRule="auto"/>
        <w:contextualSpacing/>
        <w:rPr>
          <w:rFonts w:ascii="Arial" w:eastAsia="Times New Roman" w:hAnsi="Arial" w:cs="Arial"/>
          <w:bCs/>
          <w:sz w:val="24"/>
          <w:szCs w:val="24"/>
        </w:rPr>
      </w:pPr>
      <w:r w:rsidRPr="00B96F5D">
        <w:rPr>
          <w:rFonts w:ascii="Arial" w:eastAsia="Times New Roman" w:hAnsi="Arial" w:cs="Arial"/>
          <w:sz w:val="24"/>
          <w:szCs w:val="24"/>
        </w:rPr>
        <w:t xml:space="preserve">Prior to development of formalized accounting principles, accounting developed in a more evolutionary manner, as referenced to </w:t>
      </w:r>
      <w:proofErr w:type="gramStart"/>
      <w:r w:rsidRPr="00B96F5D">
        <w:rPr>
          <w:rFonts w:ascii="Arial" w:eastAsia="Times New Roman" w:hAnsi="Arial" w:cs="Arial"/>
          <w:sz w:val="24"/>
          <w:szCs w:val="24"/>
        </w:rPr>
        <w:t>particular types</w:t>
      </w:r>
      <w:proofErr w:type="gramEnd"/>
      <w:r w:rsidRPr="00B96F5D">
        <w:rPr>
          <w:rFonts w:ascii="Arial" w:eastAsia="Times New Roman" w:hAnsi="Arial" w:cs="Arial"/>
          <w:sz w:val="24"/>
          <w:szCs w:val="24"/>
        </w:rPr>
        <w:t xml:space="preserve"> of business growth.   </w:t>
      </w:r>
    </w:p>
    <w:p w:rsidR="00B96F5D" w:rsidRPr="00B96F5D" w:rsidRDefault="00B96F5D" w:rsidP="00B96F5D">
      <w:pPr>
        <w:spacing w:after="0" w:line="240" w:lineRule="auto"/>
        <w:rPr>
          <w:rFonts w:ascii="Arial" w:eastAsia="Times New Roman" w:hAnsi="Arial" w:cs="Arial"/>
          <w:sz w:val="24"/>
          <w:szCs w:val="24"/>
          <w:lang w:val="en-US"/>
        </w:rPr>
      </w:pPr>
    </w:p>
    <w:p w:rsidR="00B96F5D" w:rsidRPr="00B96F5D" w:rsidRDefault="00B96F5D" w:rsidP="00B96F5D">
      <w:pPr>
        <w:numPr>
          <w:ilvl w:val="0"/>
          <w:numId w:val="3"/>
        </w:numPr>
        <w:spacing w:after="0" w:line="240" w:lineRule="auto"/>
        <w:rPr>
          <w:rFonts w:ascii="Arial" w:eastAsia="Times New Roman" w:hAnsi="Arial" w:cs="Arial"/>
          <w:sz w:val="24"/>
          <w:szCs w:val="24"/>
          <w:lang w:val="en-US"/>
        </w:rPr>
      </w:pPr>
      <w:r w:rsidRPr="00B96F5D">
        <w:rPr>
          <w:rFonts w:ascii="Arial" w:eastAsia="Times New Roman" w:hAnsi="Arial" w:cs="Arial"/>
          <w:sz w:val="24"/>
          <w:szCs w:val="24"/>
          <w:lang w:val="en-US"/>
        </w:rPr>
        <w:t xml:space="preserve">Consider how economic events impact on developments in accounting.  The 1929 stock market crash resulted in many questions being raised as to the quality of financial and other representations made to the investing public.  The </w:t>
      </w:r>
      <w:smartTag w:uri="urn:schemas-microsoft-com:office:smarttags" w:element="place">
        <w:smartTag w:uri="urn:schemas-microsoft-com:office:smarttags" w:element="country-region">
          <w:r w:rsidRPr="00B96F5D">
            <w:rPr>
              <w:rFonts w:ascii="Arial" w:eastAsia="Times New Roman" w:hAnsi="Arial" w:cs="Arial"/>
              <w:sz w:val="24"/>
              <w:szCs w:val="24"/>
              <w:lang w:val="en-US"/>
            </w:rPr>
            <w:t>U.S.</w:t>
          </w:r>
        </w:smartTag>
      </w:smartTag>
      <w:r w:rsidRPr="00B96F5D">
        <w:rPr>
          <w:rFonts w:ascii="Arial" w:eastAsia="Times New Roman" w:hAnsi="Arial" w:cs="Arial"/>
          <w:sz w:val="24"/>
          <w:szCs w:val="24"/>
          <w:lang w:val="en-US"/>
        </w:rPr>
        <w:t xml:space="preserve"> Securities and Exchange Commission was established in the mid-1930s to regulate disclosure of publicly-traded companies.  Reactive, rather than proactive approaches.</w:t>
      </w:r>
    </w:p>
    <w:p w:rsidR="00B96F5D" w:rsidRPr="00B96F5D" w:rsidRDefault="00B96F5D" w:rsidP="00B96F5D">
      <w:pPr>
        <w:spacing w:after="0" w:line="240" w:lineRule="auto"/>
        <w:rPr>
          <w:rFonts w:ascii="Arial" w:eastAsia="Times New Roman" w:hAnsi="Arial" w:cs="Arial"/>
          <w:sz w:val="24"/>
          <w:szCs w:val="24"/>
          <w:lang w:val="en-US"/>
        </w:rPr>
      </w:pPr>
    </w:p>
    <w:p w:rsidR="00B96F5D" w:rsidRPr="00B96F5D" w:rsidRDefault="00B96F5D" w:rsidP="00B96F5D">
      <w:pPr>
        <w:spacing w:after="0" w:line="240" w:lineRule="auto"/>
        <w:ind w:left="360"/>
        <w:rPr>
          <w:rFonts w:ascii="Arial" w:eastAsia="Times New Roman" w:hAnsi="Arial" w:cs="Arial"/>
          <w:sz w:val="24"/>
          <w:szCs w:val="24"/>
          <w:lang w:val="en-US"/>
        </w:rPr>
      </w:pPr>
    </w:p>
    <w:p w:rsidR="00B96F5D" w:rsidRPr="00B96F5D" w:rsidRDefault="00B96F5D" w:rsidP="00B96F5D">
      <w:pPr>
        <w:spacing w:after="0" w:line="240" w:lineRule="auto"/>
        <w:rPr>
          <w:rFonts w:ascii="Arial" w:eastAsia="Times New Roman" w:hAnsi="Arial" w:cs="Arial"/>
          <w:b/>
          <w:bCs/>
          <w:sz w:val="24"/>
          <w:szCs w:val="24"/>
        </w:rPr>
      </w:pPr>
    </w:p>
    <w:p w:rsidR="00B96F5D" w:rsidRPr="00B96F5D" w:rsidRDefault="00B96F5D" w:rsidP="00B96F5D">
      <w:pPr>
        <w:spacing w:after="0" w:line="240" w:lineRule="auto"/>
        <w:rPr>
          <w:rFonts w:ascii="Arial" w:eastAsia="Times New Roman" w:hAnsi="Arial" w:cs="Arial"/>
          <w:b/>
          <w:bCs/>
          <w:sz w:val="24"/>
          <w:szCs w:val="24"/>
        </w:rPr>
      </w:pPr>
    </w:p>
    <w:p w:rsidR="00B96F5D" w:rsidRPr="00B96F5D" w:rsidRDefault="00B96F5D" w:rsidP="00B96F5D">
      <w:pPr>
        <w:spacing w:after="0" w:line="240" w:lineRule="auto"/>
        <w:rPr>
          <w:rFonts w:ascii="Arial" w:eastAsia="Times New Roman" w:hAnsi="Arial" w:cs="Arial"/>
          <w:b/>
          <w:bCs/>
          <w:sz w:val="24"/>
          <w:szCs w:val="24"/>
        </w:rPr>
      </w:pPr>
    </w:p>
    <w:p w:rsidR="00B96F5D" w:rsidRPr="00B96F5D" w:rsidRDefault="00B96F5D" w:rsidP="00B96F5D">
      <w:pPr>
        <w:spacing w:after="0" w:line="240" w:lineRule="auto"/>
        <w:rPr>
          <w:rFonts w:ascii="Arial" w:eastAsia="Times New Roman" w:hAnsi="Arial" w:cs="Arial"/>
          <w:b/>
          <w:bCs/>
          <w:sz w:val="24"/>
          <w:szCs w:val="24"/>
        </w:rPr>
      </w:pPr>
    </w:p>
    <w:p w:rsidR="00B96F5D" w:rsidRPr="00B96F5D" w:rsidRDefault="00B96F5D" w:rsidP="00B96F5D">
      <w:pPr>
        <w:spacing w:after="0" w:line="240" w:lineRule="auto"/>
        <w:rPr>
          <w:rFonts w:ascii="Arial" w:eastAsia="Times New Roman" w:hAnsi="Arial" w:cs="Arial"/>
          <w:b/>
          <w:bCs/>
          <w:sz w:val="24"/>
          <w:szCs w:val="24"/>
        </w:rPr>
      </w:pPr>
      <w:r w:rsidRPr="00B96F5D">
        <w:rPr>
          <w:rFonts w:ascii="Arial" w:eastAsia="Times New Roman" w:hAnsi="Arial" w:cs="Arial"/>
          <w:b/>
          <w:bCs/>
          <w:sz w:val="24"/>
          <w:szCs w:val="24"/>
        </w:rPr>
        <w:t>Stewardship and Predictive Elements of Accounting Information</w:t>
      </w:r>
    </w:p>
    <w:p w:rsidR="00B96F5D" w:rsidRPr="00B96F5D" w:rsidRDefault="00B96F5D" w:rsidP="00B96F5D">
      <w:pPr>
        <w:spacing w:after="0" w:line="240" w:lineRule="auto"/>
        <w:rPr>
          <w:rFonts w:ascii="Arial" w:eastAsia="Times New Roman" w:hAnsi="Arial" w:cs="Arial"/>
          <w:b/>
          <w:bCs/>
          <w:sz w:val="24"/>
          <w:szCs w:val="24"/>
        </w:rPr>
      </w:pPr>
    </w:p>
    <w:p w:rsidR="00B96F5D" w:rsidRPr="00B96F5D" w:rsidRDefault="00B96F5D" w:rsidP="00B96F5D">
      <w:pPr>
        <w:numPr>
          <w:ilvl w:val="0"/>
          <w:numId w:val="4"/>
        </w:numPr>
        <w:spacing w:after="0" w:line="240" w:lineRule="auto"/>
        <w:contextualSpacing/>
        <w:rPr>
          <w:rFonts w:ascii="Arial" w:eastAsia="Times New Roman" w:hAnsi="Arial" w:cs="Arial"/>
          <w:b/>
          <w:bCs/>
          <w:sz w:val="24"/>
          <w:szCs w:val="24"/>
        </w:rPr>
      </w:pPr>
      <w:r w:rsidRPr="00B96F5D">
        <w:rPr>
          <w:rFonts w:ascii="Arial" w:eastAsia="Times New Roman" w:hAnsi="Arial" w:cs="Arial"/>
          <w:bCs/>
          <w:sz w:val="24"/>
          <w:szCs w:val="24"/>
        </w:rPr>
        <w:t>Relates to whether accounting is primarily “backward looking” or “forward looking”.   Should accounting information prepared in accordance with Generally Accepted Accounting Principles be regarded as having a predictive value?</w:t>
      </w:r>
    </w:p>
    <w:p w:rsidR="00B96F5D" w:rsidRPr="00B96F5D" w:rsidRDefault="00B96F5D" w:rsidP="00B96F5D">
      <w:pPr>
        <w:spacing w:after="0" w:line="240" w:lineRule="auto"/>
        <w:ind w:left="720"/>
        <w:rPr>
          <w:rFonts w:ascii="Arial" w:eastAsia="Times New Roman" w:hAnsi="Arial" w:cs="Arial"/>
          <w:b/>
          <w:bCs/>
          <w:sz w:val="24"/>
          <w:szCs w:val="24"/>
        </w:rPr>
      </w:pPr>
    </w:p>
    <w:p w:rsidR="00B96F5D" w:rsidRPr="00B96F5D" w:rsidRDefault="00B96F5D" w:rsidP="00B96F5D">
      <w:pPr>
        <w:numPr>
          <w:ilvl w:val="0"/>
          <w:numId w:val="4"/>
        </w:numPr>
        <w:spacing w:after="0" w:line="240" w:lineRule="auto"/>
        <w:contextualSpacing/>
        <w:rPr>
          <w:rFonts w:ascii="Arial" w:eastAsia="Times New Roman" w:hAnsi="Arial" w:cs="Arial"/>
          <w:b/>
          <w:bCs/>
          <w:sz w:val="24"/>
          <w:szCs w:val="24"/>
        </w:rPr>
      </w:pPr>
      <w:r w:rsidRPr="00B96F5D">
        <w:rPr>
          <w:rFonts w:ascii="Arial" w:eastAsia="Times New Roman" w:hAnsi="Arial" w:cs="Arial"/>
          <w:bCs/>
          <w:sz w:val="24"/>
          <w:szCs w:val="24"/>
        </w:rPr>
        <w:t xml:space="preserve">General view, until quite recently, was that accounting was primarily concerned with stewardship reporting:  reporting on the past.   </w:t>
      </w:r>
      <w:proofErr w:type="gramStart"/>
      <w:r w:rsidRPr="00B96F5D">
        <w:rPr>
          <w:rFonts w:ascii="Arial" w:eastAsia="Times New Roman" w:hAnsi="Arial" w:cs="Arial"/>
          <w:bCs/>
          <w:sz w:val="24"/>
          <w:szCs w:val="24"/>
        </w:rPr>
        <w:t>In particular, giving</w:t>
      </w:r>
      <w:proofErr w:type="gramEnd"/>
      <w:r w:rsidRPr="00B96F5D">
        <w:rPr>
          <w:rFonts w:ascii="Arial" w:eastAsia="Times New Roman" w:hAnsi="Arial" w:cs="Arial"/>
          <w:bCs/>
          <w:sz w:val="24"/>
          <w:szCs w:val="24"/>
        </w:rPr>
        <w:t xml:space="preserve"> investors and creditors information as to how their financial resources had been managed.  Such information would assist investors and creditors in determining whether to leave their resources in the business, or to withdraw them and invest elsewhere.</w:t>
      </w:r>
    </w:p>
    <w:p w:rsidR="00B96F5D" w:rsidRPr="00B96F5D" w:rsidRDefault="00B96F5D" w:rsidP="00B96F5D">
      <w:pPr>
        <w:spacing w:after="0" w:line="240" w:lineRule="auto"/>
        <w:rPr>
          <w:rFonts w:ascii="Arial" w:eastAsia="Times New Roman" w:hAnsi="Arial" w:cs="Arial"/>
          <w:b/>
          <w:bCs/>
          <w:sz w:val="24"/>
          <w:szCs w:val="24"/>
        </w:rPr>
      </w:pPr>
      <w:r w:rsidRPr="00B96F5D">
        <w:rPr>
          <w:rFonts w:ascii="Arial" w:eastAsia="Times New Roman" w:hAnsi="Arial" w:cs="Arial"/>
          <w:bCs/>
          <w:sz w:val="24"/>
          <w:szCs w:val="24"/>
        </w:rPr>
        <w:t xml:space="preserve">  </w:t>
      </w:r>
    </w:p>
    <w:p w:rsidR="00B96F5D" w:rsidRPr="00B96F5D" w:rsidRDefault="00B96F5D" w:rsidP="00B96F5D">
      <w:pPr>
        <w:numPr>
          <w:ilvl w:val="0"/>
          <w:numId w:val="4"/>
        </w:numPr>
        <w:spacing w:after="0" w:line="240" w:lineRule="auto"/>
        <w:contextualSpacing/>
        <w:rPr>
          <w:rFonts w:ascii="Arial" w:eastAsia="Times New Roman" w:hAnsi="Arial" w:cs="Arial"/>
          <w:b/>
          <w:bCs/>
          <w:sz w:val="24"/>
          <w:szCs w:val="24"/>
        </w:rPr>
      </w:pPr>
      <w:r w:rsidRPr="00B96F5D">
        <w:rPr>
          <w:rFonts w:ascii="Arial" w:eastAsia="Times New Roman" w:hAnsi="Arial" w:cs="Arial"/>
          <w:bCs/>
          <w:sz w:val="24"/>
          <w:szCs w:val="24"/>
        </w:rPr>
        <w:t xml:space="preserve">A decision to invest elsewhere or to increase an investment in given company, in this view, was </w:t>
      </w:r>
      <w:r w:rsidRPr="00B96F5D">
        <w:rPr>
          <w:rFonts w:ascii="Arial" w:eastAsia="Times New Roman" w:hAnsi="Arial" w:cs="Arial"/>
          <w:bCs/>
          <w:sz w:val="24"/>
          <w:szCs w:val="24"/>
          <w:u w:val="single"/>
        </w:rPr>
        <w:t>not</w:t>
      </w:r>
      <w:r w:rsidRPr="00B96F5D">
        <w:rPr>
          <w:rFonts w:ascii="Arial" w:eastAsia="Times New Roman" w:hAnsi="Arial" w:cs="Arial"/>
          <w:bCs/>
          <w:sz w:val="24"/>
          <w:szCs w:val="24"/>
        </w:rPr>
        <w:t xml:space="preserve"> particularly assisted by any predictions through accounting.  In fact, as has been discussed in class, an initial decision to invest (or, in a related sense, a decision to increase the amount of an investment) involves much more information than that which is provided by accounting.</w:t>
      </w:r>
    </w:p>
    <w:p w:rsidR="00B96F5D" w:rsidRPr="00B96F5D" w:rsidRDefault="00B96F5D" w:rsidP="00B96F5D">
      <w:pPr>
        <w:spacing w:after="0" w:line="240" w:lineRule="auto"/>
        <w:rPr>
          <w:rFonts w:ascii="Arial" w:eastAsia="Times New Roman" w:hAnsi="Arial" w:cs="Arial"/>
          <w:b/>
          <w:bCs/>
          <w:sz w:val="24"/>
          <w:szCs w:val="24"/>
        </w:rPr>
      </w:pPr>
      <w:r w:rsidRPr="00B96F5D">
        <w:rPr>
          <w:rFonts w:ascii="Arial" w:eastAsia="Times New Roman" w:hAnsi="Arial" w:cs="Arial"/>
          <w:bCs/>
          <w:sz w:val="24"/>
          <w:szCs w:val="24"/>
        </w:rPr>
        <w:t xml:space="preserve">  </w:t>
      </w:r>
    </w:p>
    <w:p w:rsidR="00B96F5D" w:rsidRPr="00B96F5D" w:rsidRDefault="00B96F5D" w:rsidP="00B96F5D">
      <w:pPr>
        <w:numPr>
          <w:ilvl w:val="0"/>
          <w:numId w:val="4"/>
        </w:numPr>
        <w:spacing w:after="0" w:line="240" w:lineRule="auto"/>
        <w:contextualSpacing/>
        <w:rPr>
          <w:rFonts w:ascii="Arial" w:eastAsia="Times New Roman" w:hAnsi="Arial" w:cs="Arial"/>
          <w:b/>
          <w:bCs/>
          <w:sz w:val="24"/>
          <w:szCs w:val="24"/>
        </w:rPr>
      </w:pPr>
      <w:r w:rsidRPr="00B96F5D">
        <w:rPr>
          <w:rFonts w:ascii="Arial" w:eastAsia="Times New Roman" w:hAnsi="Arial" w:cs="Arial"/>
          <w:bCs/>
          <w:sz w:val="24"/>
          <w:szCs w:val="24"/>
        </w:rPr>
        <w:t>Whether a series of numbers can be predictive of the future is a matter of significant debate.  Why must events from the past have a necessary impact on the future?  Since accounting representations are imprecise in many respects, how can they be significantly predictive?</w:t>
      </w:r>
    </w:p>
    <w:p w:rsidR="00B96F5D" w:rsidRPr="00B96F5D" w:rsidRDefault="00B96F5D" w:rsidP="00B96F5D">
      <w:pPr>
        <w:spacing w:after="0" w:line="240" w:lineRule="auto"/>
        <w:rPr>
          <w:rFonts w:ascii="Arial" w:eastAsia="Times New Roman" w:hAnsi="Arial" w:cs="Arial"/>
          <w:b/>
          <w:bCs/>
          <w:sz w:val="24"/>
          <w:szCs w:val="24"/>
        </w:rPr>
      </w:pPr>
    </w:p>
    <w:p w:rsidR="00B96F5D" w:rsidRPr="00B96F5D" w:rsidRDefault="00B96F5D" w:rsidP="00B96F5D">
      <w:pPr>
        <w:spacing w:after="0" w:line="240" w:lineRule="auto"/>
        <w:rPr>
          <w:rFonts w:ascii="Arial" w:eastAsia="Times New Roman" w:hAnsi="Arial" w:cs="Arial"/>
          <w:b/>
          <w:bCs/>
          <w:sz w:val="24"/>
          <w:szCs w:val="24"/>
        </w:rPr>
      </w:pPr>
      <w:r w:rsidRPr="00B96F5D">
        <w:rPr>
          <w:rFonts w:ascii="Arial" w:eastAsia="Times New Roman" w:hAnsi="Arial" w:cs="Arial"/>
          <w:b/>
          <w:bCs/>
          <w:sz w:val="24"/>
          <w:szCs w:val="24"/>
        </w:rPr>
        <w:t>Investor Indifference to Accounting Information: A Rational Explanation?</w:t>
      </w:r>
    </w:p>
    <w:p w:rsidR="00B96F5D" w:rsidRPr="00B96F5D" w:rsidRDefault="00B96F5D" w:rsidP="00B96F5D">
      <w:pPr>
        <w:spacing w:after="0" w:line="240" w:lineRule="auto"/>
        <w:rPr>
          <w:rFonts w:ascii="Arial" w:eastAsia="Times New Roman" w:hAnsi="Arial" w:cs="Arial"/>
          <w:b/>
          <w:bCs/>
          <w:sz w:val="24"/>
          <w:szCs w:val="24"/>
        </w:rPr>
      </w:pPr>
    </w:p>
    <w:p w:rsidR="00B96F5D" w:rsidRPr="00B96F5D" w:rsidRDefault="00B96F5D" w:rsidP="00B96F5D">
      <w:pPr>
        <w:numPr>
          <w:ilvl w:val="0"/>
          <w:numId w:val="5"/>
        </w:numPr>
        <w:spacing w:after="0" w:line="240" w:lineRule="auto"/>
        <w:contextualSpacing/>
        <w:rPr>
          <w:rFonts w:ascii="Arial" w:eastAsia="Times New Roman" w:hAnsi="Arial" w:cs="Arial"/>
          <w:b/>
          <w:bCs/>
          <w:sz w:val="24"/>
          <w:szCs w:val="24"/>
        </w:rPr>
      </w:pPr>
      <w:r w:rsidRPr="00B96F5D">
        <w:rPr>
          <w:rFonts w:ascii="Arial" w:eastAsia="Times New Roman" w:hAnsi="Arial" w:cs="Arial"/>
          <w:bCs/>
          <w:sz w:val="24"/>
          <w:szCs w:val="24"/>
        </w:rPr>
        <w:t xml:space="preserve">Stock market reactions in relation to Nortel financial disclosures in early 2000s cited as example of apparent investor irrationality.   Nortel clearly showed that it had minimal cash, as of the early 2000s, yet investors continued to bid up the stock.  Ignoring the financial information, or instead recognizing that financial disclosures had little predictive value?  If the latter, any assessment of investor rationality </w:t>
      </w:r>
      <w:proofErr w:type="gramStart"/>
      <w:r w:rsidRPr="00B96F5D">
        <w:rPr>
          <w:rFonts w:ascii="Arial" w:eastAsia="Times New Roman" w:hAnsi="Arial" w:cs="Arial"/>
          <w:bCs/>
          <w:sz w:val="24"/>
          <w:szCs w:val="24"/>
        </w:rPr>
        <w:t>has to</w:t>
      </w:r>
      <w:proofErr w:type="gramEnd"/>
      <w:r w:rsidRPr="00B96F5D">
        <w:rPr>
          <w:rFonts w:ascii="Arial" w:eastAsia="Times New Roman" w:hAnsi="Arial" w:cs="Arial"/>
          <w:bCs/>
          <w:sz w:val="24"/>
          <w:szCs w:val="24"/>
        </w:rPr>
        <w:t xml:space="preserve"> be separate from the financial disclosures in any event?</w:t>
      </w:r>
    </w:p>
    <w:p w:rsidR="00B96F5D" w:rsidRPr="00B96F5D" w:rsidRDefault="00B96F5D" w:rsidP="00B96F5D">
      <w:pPr>
        <w:spacing w:after="0" w:line="240" w:lineRule="auto"/>
        <w:rPr>
          <w:rFonts w:ascii="Arial" w:eastAsia="Times New Roman" w:hAnsi="Arial" w:cs="Arial"/>
          <w:sz w:val="24"/>
          <w:szCs w:val="24"/>
        </w:rPr>
      </w:pPr>
    </w:p>
    <w:p w:rsidR="00B96F5D" w:rsidRPr="00B96F5D" w:rsidRDefault="00B96F5D" w:rsidP="00B96F5D">
      <w:pPr>
        <w:spacing w:after="0" w:line="240" w:lineRule="auto"/>
        <w:rPr>
          <w:rFonts w:ascii="Arial" w:eastAsia="Times New Roman" w:hAnsi="Arial" w:cs="Arial"/>
          <w:sz w:val="24"/>
          <w:szCs w:val="24"/>
        </w:rPr>
      </w:pPr>
    </w:p>
    <w:p w:rsidR="00B96F5D" w:rsidRPr="00B96F5D" w:rsidRDefault="00B96F5D" w:rsidP="00B96F5D">
      <w:pPr>
        <w:spacing w:after="0" w:line="240" w:lineRule="auto"/>
        <w:rPr>
          <w:rFonts w:ascii="Arial" w:eastAsia="Times New Roman" w:hAnsi="Arial" w:cs="Arial"/>
          <w:sz w:val="24"/>
          <w:szCs w:val="24"/>
        </w:rPr>
      </w:pPr>
      <w:r w:rsidRPr="00B96F5D">
        <w:rPr>
          <w:rFonts w:ascii="Arial" w:eastAsia="Times New Roman" w:hAnsi="Arial" w:cs="Arial"/>
          <w:sz w:val="24"/>
          <w:szCs w:val="24"/>
        </w:rPr>
        <w:t xml:space="preserve">. </w:t>
      </w:r>
    </w:p>
    <w:p w:rsidR="00B96F5D" w:rsidRPr="00B96F5D" w:rsidRDefault="00B96F5D" w:rsidP="00B96F5D">
      <w:pPr>
        <w:spacing w:after="0" w:line="240" w:lineRule="auto"/>
        <w:rPr>
          <w:rFonts w:ascii="Arial" w:eastAsia="Times New Roman" w:hAnsi="Arial" w:cs="Arial"/>
          <w:b/>
          <w:sz w:val="24"/>
          <w:szCs w:val="24"/>
          <w:lang w:val="en-US"/>
        </w:rPr>
      </w:pPr>
    </w:p>
    <w:p w:rsidR="00B96F5D" w:rsidRPr="00B96F5D" w:rsidRDefault="00B96F5D" w:rsidP="00B96F5D">
      <w:pPr>
        <w:spacing w:after="0" w:line="240" w:lineRule="auto"/>
        <w:rPr>
          <w:rFonts w:ascii="Arial" w:eastAsia="Times New Roman" w:hAnsi="Arial" w:cs="Arial"/>
          <w:b/>
          <w:sz w:val="24"/>
          <w:szCs w:val="24"/>
          <w:lang w:val="en-US"/>
        </w:rPr>
      </w:pPr>
    </w:p>
    <w:p w:rsidR="00B96F5D" w:rsidRPr="00B96F5D" w:rsidRDefault="00B96F5D" w:rsidP="00B96F5D">
      <w:pPr>
        <w:spacing w:after="0" w:line="240" w:lineRule="auto"/>
        <w:rPr>
          <w:rFonts w:ascii="Arial" w:eastAsia="Times New Roman" w:hAnsi="Arial" w:cs="Arial"/>
          <w:b/>
          <w:sz w:val="24"/>
          <w:szCs w:val="24"/>
          <w:lang w:val="en-US"/>
        </w:rPr>
      </w:pPr>
    </w:p>
    <w:p w:rsidR="00B96F5D" w:rsidRPr="00B96F5D" w:rsidRDefault="00B96F5D" w:rsidP="00B96F5D">
      <w:pPr>
        <w:spacing w:after="0" w:line="240" w:lineRule="auto"/>
        <w:rPr>
          <w:rFonts w:ascii="Arial" w:eastAsia="Times New Roman" w:hAnsi="Arial" w:cs="Arial"/>
          <w:b/>
          <w:sz w:val="24"/>
          <w:szCs w:val="24"/>
          <w:lang w:val="en-US"/>
        </w:rPr>
      </w:pPr>
      <w:r w:rsidRPr="00B96F5D">
        <w:rPr>
          <w:rFonts w:ascii="Arial" w:eastAsia="Times New Roman" w:hAnsi="Arial" w:cs="Arial"/>
          <w:b/>
          <w:sz w:val="24"/>
          <w:szCs w:val="24"/>
          <w:lang w:val="en-US"/>
        </w:rPr>
        <w:t>Globalization and Accounting: IFRS and Role of IASB</w:t>
      </w:r>
    </w:p>
    <w:p w:rsidR="00B96F5D" w:rsidRPr="00B96F5D" w:rsidRDefault="00B96F5D" w:rsidP="00B96F5D">
      <w:pPr>
        <w:spacing w:after="0" w:line="240" w:lineRule="auto"/>
        <w:rPr>
          <w:rFonts w:ascii="Arial" w:eastAsia="Times New Roman" w:hAnsi="Arial" w:cs="Arial"/>
          <w:sz w:val="24"/>
          <w:szCs w:val="24"/>
          <w:lang w:val="en-US"/>
        </w:rPr>
      </w:pPr>
    </w:p>
    <w:p w:rsidR="00B96F5D" w:rsidRPr="00B96F5D" w:rsidRDefault="00B96F5D" w:rsidP="00B96F5D">
      <w:pPr>
        <w:numPr>
          <w:ilvl w:val="0"/>
          <w:numId w:val="2"/>
        </w:numPr>
        <w:spacing w:after="0" w:line="240" w:lineRule="auto"/>
        <w:contextualSpacing/>
        <w:rPr>
          <w:rFonts w:ascii="Arial" w:eastAsia="Times New Roman" w:hAnsi="Arial" w:cs="Arial"/>
          <w:sz w:val="24"/>
          <w:szCs w:val="24"/>
          <w:lang w:val="en-US"/>
        </w:rPr>
      </w:pPr>
      <w:r w:rsidRPr="00B96F5D">
        <w:rPr>
          <w:rFonts w:ascii="Arial" w:eastAsia="Times New Roman" w:hAnsi="Arial" w:cs="Arial"/>
          <w:sz w:val="24"/>
          <w:szCs w:val="24"/>
        </w:rPr>
        <w:t>Consider how globalization affects the development of accounting principles—IFRS</w:t>
      </w:r>
    </w:p>
    <w:p w:rsidR="00B96F5D" w:rsidRPr="00B96F5D" w:rsidRDefault="00B96F5D" w:rsidP="00B96F5D">
      <w:pPr>
        <w:spacing w:after="0" w:line="240" w:lineRule="auto"/>
        <w:ind w:left="360"/>
        <w:rPr>
          <w:rFonts w:ascii="Arial" w:eastAsia="Times New Roman" w:hAnsi="Arial" w:cs="Arial"/>
          <w:sz w:val="24"/>
          <w:szCs w:val="24"/>
          <w:lang w:val="en-US"/>
        </w:rPr>
      </w:pPr>
    </w:p>
    <w:p w:rsidR="00B96F5D" w:rsidRPr="00B96F5D" w:rsidRDefault="00B96F5D" w:rsidP="00B96F5D">
      <w:pPr>
        <w:numPr>
          <w:ilvl w:val="0"/>
          <w:numId w:val="2"/>
        </w:numPr>
        <w:spacing w:after="0" w:line="240" w:lineRule="auto"/>
        <w:rPr>
          <w:rFonts w:ascii="Arial" w:eastAsia="Times New Roman" w:hAnsi="Arial" w:cs="Arial"/>
          <w:sz w:val="24"/>
          <w:szCs w:val="24"/>
          <w:lang w:val="en-US"/>
        </w:rPr>
      </w:pPr>
      <w:r w:rsidRPr="00B96F5D">
        <w:rPr>
          <w:rFonts w:ascii="Arial" w:eastAsia="Times New Roman" w:hAnsi="Arial" w:cs="Arial"/>
          <w:sz w:val="24"/>
          <w:szCs w:val="24"/>
          <w:lang w:val="en-US"/>
        </w:rPr>
        <w:lastRenderedPageBreak/>
        <w:t>Issue of international harmonization in accounting.</w:t>
      </w:r>
    </w:p>
    <w:p w:rsidR="00B96F5D" w:rsidRPr="00B96F5D" w:rsidRDefault="00B96F5D" w:rsidP="00B96F5D">
      <w:pPr>
        <w:spacing w:after="0" w:line="240" w:lineRule="auto"/>
        <w:rPr>
          <w:rFonts w:ascii="Arial" w:eastAsia="Times New Roman" w:hAnsi="Arial" w:cs="Arial"/>
          <w:sz w:val="24"/>
          <w:szCs w:val="24"/>
          <w:lang w:val="en-US"/>
        </w:rPr>
      </w:pPr>
    </w:p>
    <w:p w:rsidR="00B96F5D" w:rsidRPr="00B96F5D" w:rsidRDefault="00B96F5D" w:rsidP="00B96F5D">
      <w:pPr>
        <w:numPr>
          <w:ilvl w:val="0"/>
          <w:numId w:val="2"/>
        </w:numPr>
        <w:spacing w:after="0" w:line="240" w:lineRule="auto"/>
        <w:rPr>
          <w:rFonts w:ascii="Arial" w:eastAsia="Times New Roman" w:hAnsi="Arial" w:cs="Arial"/>
          <w:sz w:val="24"/>
          <w:szCs w:val="24"/>
          <w:lang w:val="en-US"/>
        </w:rPr>
      </w:pPr>
      <w:r w:rsidRPr="00B96F5D">
        <w:rPr>
          <w:rFonts w:ascii="Arial" w:eastAsia="Times New Roman" w:hAnsi="Arial" w:cs="Arial"/>
          <w:sz w:val="24"/>
          <w:szCs w:val="24"/>
          <w:lang w:val="en-US"/>
        </w:rPr>
        <w:t>Globalization issues driven by need for “common international language” in accounting, due to enhanced global trade, including free trade agreements—e.g. North American Free Trade Agreement.</w:t>
      </w:r>
    </w:p>
    <w:p w:rsidR="00B96F5D" w:rsidRPr="00B96F5D" w:rsidRDefault="00B96F5D" w:rsidP="00B96F5D">
      <w:pPr>
        <w:spacing w:after="0" w:line="240" w:lineRule="auto"/>
        <w:rPr>
          <w:rFonts w:ascii="Arial" w:eastAsia="Times New Roman" w:hAnsi="Arial" w:cs="Arial"/>
          <w:sz w:val="24"/>
          <w:szCs w:val="24"/>
          <w:lang w:val="en-US"/>
        </w:rPr>
      </w:pPr>
    </w:p>
    <w:p w:rsidR="00B96F5D" w:rsidRPr="00B96F5D" w:rsidRDefault="00B96F5D" w:rsidP="00B96F5D">
      <w:pPr>
        <w:numPr>
          <w:ilvl w:val="0"/>
          <w:numId w:val="2"/>
        </w:numPr>
        <w:spacing w:after="0" w:line="240" w:lineRule="auto"/>
        <w:rPr>
          <w:rFonts w:ascii="Arial" w:eastAsia="Times New Roman" w:hAnsi="Arial" w:cs="Arial"/>
          <w:sz w:val="24"/>
          <w:szCs w:val="24"/>
          <w:lang w:val="en-US"/>
        </w:rPr>
      </w:pPr>
      <w:r w:rsidRPr="00B96F5D">
        <w:rPr>
          <w:rFonts w:ascii="Arial" w:eastAsia="Times New Roman" w:hAnsi="Arial" w:cs="Arial"/>
          <w:sz w:val="24"/>
          <w:szCs w:val="24"/>
          <w:lang w:val="en-US"/>
        </w:rPr>
        <w:t>Globalization issues also driven by international crises in business ethics, resulting in global considerations of the nature and use of accounting.</w:t>
      </w:r>
    </w:p>
    <w:p w:rsidR="00B96F5D" w:rsidRPr="00B96F5D" w:rsidRDefault="00B96F5D" w:rsidP="00B96F5D">
      <w:pPr>
        <w:spacing w:after="0" w:line="240" w:lineRule="auto"/>
        <w:rPr>
          <w:rFonts w:ascii="Arial" w:eastAsia="Times New Roman" w:hAnsi="Arial" w:cs="Arial"/>
          <w:sz w:val="24"/>
          <w:szCs w:val="24"/>
          <w:lang w:val="en-US"/>
        </w:rPr>
      </w:pPr>
    </w:p>
    <w:p w:rsidR="00B96F5D" w:rsidRPr="00B96F5D" w:rsidRDefault="00B96F5D" w:rsidP="00B96F5D">
      <w:pPr>
        <w:numPr>
          <w:ilvl w:val="0"/>
          <w:numId w:val="2"/>
        </w:numPr>
        <w:spacing w:after="0" w:line="240" w:lineRule="auto"/>
        <w:rPr>
          <w:rFonts w:ascii="Arial" w:eastAsia="Times New Roman" w:hAnsi="Arial" w:cs="Arial"/>
          <w:sz w:val="24"/>
          <w:szCs w:val="24"/>
          <w:lang w:val="en-US"/>
        </w:rPr>
      </w:pPr>
      <w:r w:rsidRPr="00B96F5D">
        <w:rPr>
          <w:rFonts w:ascii="Arial" w:eastAsia="Times New Roman" w:hAnsi="Arial" w:cs="Arial"/>
          <w:sz w:val="24"/>
          <w:szCs w:val="24"/>
          <w:lang w:val="en-US"/>
        </w:rPr>
        <w:t>Major method to establish common accounting principles across countries is through treaties.</w:t>
      </w:r>
    </w:p>
    <w:p w:rsidR="00B96F5D" w:rsidRPr="00B96F5D" w:rsidRDefault="00B96F5D" w:rsidP="00B96F5D">
      <w:pPr>
        <w:spacing w:after="0" w:line="240" w:lineRule="auto"/>
        <w:rPr>
          <w:rFonts w:ascii="Arial" w:eastAsia="Times New Roman" w:hAnsi="Arial" w:cs="Arial"/>
          <w:sz w:val="24"/>
          <w:szCs w:val="24"/>
          <w:lang w:val="en-US"/>
        </w:rPr>
      </w:pPr>
    </w:p>
    <w:p w:rsidR="00B96F5D" w:rsidRPr="00B96F5D" w:rsidRDefault="00B96F5D" w:rsidP="00B96F5D">
      <w:pPr>
        <w:numPr>
          <w:ilvl w:val="0"/>
          <w:numId w:val="2"/>
        </w:numPr>
        <w:spacing w:after="0" w:line="240" w:lineRule="auto"/>
        <w:rPr>
          <w:rFonts w:ascii="Arial" w:eastAsia="Times New Roman" w:hAnsi="Arial" w:cs="Arial"/>
          <w:sz w:val="24"/>
          <w:szCs w:val="24"/>
          <w:lang w:val="en-US"/>
        </w:rPr>
      </w:pPr>
      <w:r w:rsidRPr="00B96F5D">
        <w:rPr>
          <w:rFonts w:ascii="Arial" w:eastAsia="Times New Roman" w:hAnsi="Arial" w:cs="Arial"/>
          <w:sz w:val="24"/>
          <w:szCs w:val="24"/>
          <w:lang w:val="en-US"/>
        </w:rPr>
        <w:t xml:space="preserve">Consider move to IFRS in Canada, where the CICA assumed it would have a major role.  Problem here:  a person or entity with delegated authority cannot further delegate such authority, in the absence of the consent of the person or entity who originally delegated the authority.  This means that the CICA cannot replace “made in </w:t>
      </w:r>
      <w:smartTag w:uri="urn:schemas-microsoft-com:office:smarttags" w:element="place">
        <w:smartTag w:uri="urn:schemas-microsoft-com:office:smarttags" w:element="country-region">
          <w:r w:rsidRPr="00B96F5D">
            <w:rPr>
              <w:rFonts w:ascii="Arial" w:eastAsia="Times New Roman" w:hAnsi="Arial" w:cs="Arial"/>
              <w:sz w:val="24"/>
              <w:szCs w:val="24"/>
              <w:lang w:val="en-US"/>
            </w:rPr>
            <w:t>Canada</w:t>
          </w:r>
        </w:smartTag>
      </w:smartTag>
      <w:r w:rsidRPr="00B96F5D">
        <w:rPr>
          <w:rFonts w:ascii="Arial" w:eastAsia="Times New Roman" w:hAnsi="Arial" w:cs="Arial"/>
          <w:sz w:val="24"/>
          <w:szCs w:val="24"/>
          <w:lang w:val="en-US"/>
        </w:rPr>
        <w:t>” standards with international standards unless it has the consent of the federal government and the respective provincial governments to do so.  It did not and does not have such consent, but went forward anyway.  Confirmation of approval of the approach by Minister of Finance Flaherty; no evidence of approval by provincial counterparts.</w:t>
      </w:r>
    </w:p>
    <w:p w:rsidR="00B96F5D" w:rsidRPr="00B96F5D" w:rsidRDefault="00B96F5D" w:rsidP="00B96F5D">
      <w:pPr>
        <w:spacing w:after="0" w:line="240" w:lineRule="auto"/>
        <w:rPr>
          <w:rFonts w:ascii="Arial" w:eastAsia="Times New Roman" w:hAnsi="Arial" w:cs="Arial"/>
          <w:sz w:val="24"/>
          <w:szCs w:val="24"/>
          <w:lang w:val="en-US"/>
        </w:rPr>
      </w:pPr>
    </w:p>
    <w:p w:rsidR="00B96F5D" w:rsidRPr="00B96F5D" w:rsidRDefault="00B96F5D" w:rsidP="00B96F5D">
      <w:pPr>
        <w:numPr>
          <w:ilvl w:val="0"/>
          <w:numId w:val="2"/>
        </w:numPr>
        <w:spacing w:after="0" w:line="240" w:lineRule="auto"/>
        <w:rPr>
          <w:rFonts w:ascii="Arial" w:eastAsia="Times New Roman" w:hAnsi="Arial" w:cs="Arial"/>
          <w:sz w:val="24"/>
          <w:szCs w:val="24"/>
          <w:lang w:val="en-US"/>
        </w:rPr>
      </w:pPr>
      <w:r w:rsidRPr="00B96F5D">
        <w:rPr>
          <w:rFonts w:ascii="Arial" w:eastAsia="Times New Roman" w:hAnsi="Arial" w:cs="Arial"/>
          <w:sz w:val="24"/>
          <w:szCs w:val="24"/>
          <w:lang w:val="en-US"/>
        </w:rPr>
        <w:t xml:space="preserve">See La Rochelle-Martin e-mail exchange, </w:t>
      </w:r>
      <w:proofErr w:type="gramStart"/>
      <w:r w:rsidRPr="00B96F5D">
        <w:rPr>
          <w:rFonts w:ascii="Arial" w:eastAsia="Times New Roman" w:hAnsi="Arial" w:cs="Arial"/>
          <w:sz w:val="24"/>
          <w:szCs w:val="24"/>
          <w:lang w:val="en-US"/>
        </w:rPr>
        <w:t>January,</w:t>
      </w:r>
      <w:proofErr w:type="gramEnd"/>
      <w:r w:rsidRPr="00B96F5D">
        <w:rPr>
          <w:rFonts w:ascii="Arial" w:eastAsia="Times New Roman" w:hAnsi="Arial" w:cs="Arial"/>
          <w:sz w:val="24"/>
          <w:szCs w:val="24"/>
          <w:lang w:val="en-US"/>
        </w:rPr>
        <w:t xml:space="preserve"> 2010.  CICA acknowledges that government consents have not been obtained, but argues that there is no need to “rock the boat”.</w:t>
      </w:r>
    </w:p>
    <w:p w:rsidR="00B96F5D" w:rsidRPr="00B96F5D" w:rsidRDefault="00B96F5D" w:rsidP="00B96F5D">
      <w:pPr>
        <w:spacing w:after="0" w:line="240" w:lineRule="auto"/>
        <w:rPr>
          <w:rFonts w:ascii="Arial" w:eastAsia="Times New Roman" w:hAnsi="Arial" w:cs="Arial"/>
          <w:b/>
          <w:sz w:val="24"/>
          <w:szCs w:val="24"/>
          <w:lang w:val="en-US"/>
        </w:rPr>
      </w:pPr>
    </w:p>
    <w:p w:rsidR="00B96F5D" w:rsidRPr="00B96F5D" w:rsidRDefault="00B96F5D" w:rsidP="00B96F5D">
      <w:pPr>
        <w:spacing w:after="0" w:line="240" w:lineRule="auto"/>
        <w:rPr>
          <w:rFonts w:ascii="Arial" w:eastAsia="Times New Roman" w:hAnsi="Arial" w:cs="Arial"/>
          <w:b/>
          <w:sz w:val="24"/>
          <w:szCs w:val="24"/>
          <w:lang w:val="en-US"/>
        </w:rPr>
      </w:pPr>
    </w:p>
    <w:p w:rsidR="006065D9" w:rsidRDefault="006065D9" w:rsidP="006065D9"/>
    <w:sectPr w:rsidR="006065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192B"/>
    <w:multiLevelType w:val="hybridMultilevel"/>
    <w:tmpl w:val="5B8C9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2D08F8"/>
    <w:multiLevelType w:val="hybridMultilevel"/>
    <w:tmpl w:val="B65A4AF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677A7686"/>
    <w:multiLevelType w:val="hybridMultilevel"/>
    <w:tmpl w:val="B5E23F9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67C77C81"/>
    <w:multiLevelType w:val="hybridMultilevel"/>
    <w:tmpl w:val="5F38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FB3FD7"/>
    <w:multiLevelType w:val="hybridMultilevel"/>
    <w:tmpl w:val="E5381FC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5D9"/>
    <w:rsid w:val="000F71EB"/>
    <w:rsid w:val="00400BC9"/>
    <w:rsid w:val="00472B4D"/>
    <w:rsid w:val="004F5D1F"/>
    <w:rsid w:val="006065D9"/>
    <w:rsid w:val="008B428E"/>
    <w:rsid w:val="008E0337"/>
    <w:rsid w:val="00B31BAB"/>
    <w:rsid w:val="00B96B82"/>
    <w:rsid w:val="00B96F5D"/>
    <w:rsid w:val="00BB173A"/>
    <w:rsid w:val="00E4022E"/>
    <w:rsid w:val="00EF1C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157A4E88"/>
  <w15:chartTrackingRefBased/>
  <w15:docId w15:val="{D483A308-FC6E-467F-9EF3-7EF54A3D2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1007</Words>
  <Characters>5743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La Rochelle</dc:creator>
  <cp:keywords/>
  <dc:description/>
  <cp:lastModifiedBy>Bruce La Rochelle</cp:lastModifiedBy>
  <cp:revision>5</cp:revision>
  <dcterms:created xsi:type="dcterms:W3CDTF">2018-01-08T20:19:00Z</dcterms:created>
  <dcterms:modified xsi:type="dcterms:W3CDTF">2018-01-17T18:50:00Z</dcterms:modified>
</cp:coreProperties>
</file>