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Handwritten cheat sheet one sided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scantron : bring pencil and eraser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Online quiz vs midterm: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No dates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Film in canada: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Industry was dominated by hollywood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Third of cinemas were owned by us studios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Hollywood viewed canada as an extension of market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1948: canadian cooperation project: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include short sequences about canada in the films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1949 ‘Break up’: separate production from distribution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Reduce production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Late 1940s early 1950s: Fear of communism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House unamerican activities commision: have you or have you ever been a member of the communist party… who do you know that is involved in unamerican activities… 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1946-1947: millions going to the movies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1955: number has dropped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Smelivision, 3D, colour television (because tvs didn't have it till late 1960s)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Film tackling controversial issues (e.g. all in the family - groundbreaking show)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Racism, sexism, homophobic, social issues, integration into neighbourhood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Mary tyler moore show: first female lead 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Radio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WXA: you can treat spectrum like property.. Licence to broadcast in certain area on condition you meet certain requirements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Late 1920s: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becomes popular overnight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Every home has at least one radio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Canadians are listening to us based programs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Controlling people’s minds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transforms Canada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1932: CBC Radio established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was going to help people develop skills and inform people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Pervasive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Convey high culture/education/fine arts through radio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Convey news quickly..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spread religious beliefs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trustworthy than newspapers (instant coverage)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Didnt need litteracy (ability to read)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1927: diamond jubillee broadcast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Goes out across the country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Ressource for cultural unity (bind people together)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Hitler: radio used by nazis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Masters at propaganda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Raised all sorts of questions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Edward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Television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From its start, commercially oriented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Newspapers and magazines lose customers because of tv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Radio + tv = demassification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Netflix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