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3AD156" w14:textId="77777777" w:rsidR="00FD22A8" w:rsidRDefault="00FD22A8" w:rsidP="003A00C5">
      <w:pPr>
        <w:spacing w:line="480" w:lineRule="auto"/>
        <w:jc w:val="both"/>
        <w:rPr>
          <w:rFonts w:ascii="Times New Roman" w:hAnsi="Times New Roman" w:cs="Times New Roman"/>
        </w:rPr>
      </w:pPr>
    </w:p>
    <w:p w14:paraId="2B7DB21A" w14:textId="77777777" w:rsidR="00FD22A8" w:rsidRDefault="00FD22A8" w:rsidP="003A00C5">
      <w:pPr>
        <w:spacing w:line="480" w:lineRule="auto"/>
        <w:jc w:val="both"/>
        <w:rPr>
          <w:rFonts w:ascii="Times New Roman" w:hAnsi="Times New Roman" w:cs="Times New Roman"/>
        </w:rPr>
      </w:pPr>
    </w:p>
    <w:p w14:paraId="10264B77" w14:textId="77777777" w:rsidR="00FD22A8" w:rsidRDefault="00FD22A8" w:rsidP="003A00C5">
      <w:pPr>
        <w:spacing w:line="480" w:lineRule="auto"/>
        <w:jc w:val="both"/>
        <w:rPr>
          <w:rFonts w:ascii="Times New Roman" w:hAnsi="Times New Roman" w:cs="Times New Roman"/>
        </w:rPr>
      </w:pPr>
    </w:p>
    <w:p w14:paraId="2829DAAA" w14:textId="77777777" w:rsidR="00FD22A8" w:rsidRDefault="00FD22A8" w:rsidP="003A00C5">
      <w:pPr>
        <w:spacing w:line="480" w:lineRule="auto"/>
        <w:jc w:val="both"/>
        <w:rPr>
          <w:rFonts w:ascii="Times New Roman" w:hAnsi="Times New Roman" w:cs="Times New Roman"/>
        </w:rPr>
      </w:pPr>
    </w:p>
    <w:p w14:paraId="68B67BB4" w14:textId="6AE96395" w:rsidR="00FD22A8" w:rsidRPr="00FD22A8" w:rsidRDefault="00FD22A8" w:rsidP="00FD22A8">
      <w:pPr>
        <w:spacing w:line="480" w:lineRule="auto"/>
        <w:jc w:val="center"/>
        <w:rPr>
          <w:rFonts w:ascii="Times New Roman" w:hAnsi="Times New Roman" w:cs="Times New Roman"/>
          <w:sz w:val="32"/>
          <w:szCs w:val="32"/>
        </w:rPr>
      </w:pPr>
      <w:r>
        <w:rPr>
          <w:rFonts w:ascii="Times New Roman" w:hAnsi="Times New Roman" w:cs="Times New Roman"/>
          <w:sz w:val="32"/>
          <w:szCs w:val="32"/>
        </w:rPr>
        <w:t>Take Home Exam</w:t>
      </w:r>
    </w:p>
    <w:p w14:paraId="3BB4A153" w14:textId="77777777" w:rsidR="00FD22A8" w:rsidRDefault="00FD22A8" w:rsidP="00FD22A8">
      <w:pPr>
        <w:spacing w:line="480" w:lineRule="auto"/>
        <w:jc w:val="center"/>
        <w:rPr>
          <w:rFonts w:ascii="Times New Roman" w:hAnsi="Times New Roman" w:cs="Times New Roman"/>
        </w:rPr>
      </w:pPr>
    </w:p>
    <w:p w14:paraId="7B9EF942" w14:textId="77777777" w:rsidR="00FD22A8" w:rsidRDefault="00FD22A8" w:rsidP="00FD22A8">
      <w:pPr>
        <w:spacing w:line="480" w:lineRule="auto"/>
        <w:jc w:val="center"/>
        <w:rPr>
          <w:rFonts w:ascii="Times New Roman" w:hAnsi="Times New Roman" w:cs="Times New Roman"/>
        </w:rPr>
      </w:pPr>
    </w:p>
    <w:p w14:paraId="1CCD52E3" w14:textId="77777777" w:rsidR="00FD22A8" w:rsidRDefault="00FD22A8" w:rsidP="00FD22A8">
      <w:pPr>
        <w:spacing w:line="480" w:lineRule="auto"/>
        <w:jc w:val="center"/>
        <w:rPr>
          <w:rFonts w:ascii="Times New Roman" w:hAnsi="Times New Roman" w:cs="Times New Roman"/>
        </w:rPr>
      </w:pPr>
    </w:p>
    <w:p w14:paraId="0BF19653" w14:textId="77777777" w:rsidR="00FD22A8" w:rsidRDefault="00FD22A8" w:rsidP="00FD22A8">
      <w:pPr>
        <w:spacing w:line="480" w:lineRule="auto"/>
        <w:jc w:val="center"/>
        <w:rPr>
          <w:rFonts w:ascii="Times New Roman" w:hAnsi="Times New Roman" w:cs="Times New Roman"/>
        </w:rPr>
      </w:pPr>
    </w:p>
    <w:p w14:paraId="7D87D9DB" w14:textId="77777777" w:rsidR="00FD22A8" w:rsidRDefault="00FD22A8" w:rsidP="00FD22A8">
      <w:pPr>
        <w:jc w:val="center"/>
        <w:rPr>
          <w:rFonts w:ascii="Times New Roman" w:hAnsi="Times New Roman" w:cs="Times New Roman"/>
        </w:rPr>
      </w:pPr>
      <w:r>
        <w:rPr>
          <w:rFonts w:ascii="Times New Roman" w:hAnsi="Times New Roman" w:cs="Times New Roman"/>
        </w:rPr>
        <w:t>Stephanie Karam</w:t>
      </w:r>
    </w:p>
    <w:p w14:paraId="5FBD9AC5" w14:textId="77777777" w:rsidR="00FD22A8" w:rsidRDefault="00FD22A8" w:rsidP="00FD22A8">
      <w:pPr>
        <w:jc w:val="center"/>
        <w:rPr>
          <w:rFonts w:ascii="Times New Roman" w:hAnsi="Times New Roman" w:cs="Times New Roman"/>
        </w:rPr>
      </w:pPr>
      <w:r>
        <w:rPr>
          <w:rFonts w:ascii="Times New Roman" w:hAnsi="Times New Roman" w:cs="Times New Roman"/>
        </w:rPr>
        <w:t>7292538</w:t>
      </w:r>
    </w:p>
    <w:p w14:paraId="07E76D48" w14:textId="77777777" w:rsidR="00FD22A8" w:rsidRDefault="00FD22A8" w:rsidP="00FD22A8">
      <w:pPr>
        <w:jc w:val="center"/>
        <w:rPr>
          <w:rFonts w:ascii="Times New Roman" w:hAnsi="Times New Roman" w:cs="Times New Roman"/>
        </w:rPr>
      </w:pPr>
      <w:r>
        <w:rPr>
          <w:rFonts w:ascii="Times New Roman" w:hAnsi="Times New Roman" w:cs="Times New Roman"/>
        </w:rPr>
        <w:t>University of Ottawa</w:t>
      </w:r>
    </w:p>
    <w:p w14:paraId="54582458" w14:textId="77777777" w:rsidR="00FD22A8" w:rsidRDefault="00FD22A8" w:rsidP="00FD22A8">
      <w:pPr>
        <w:jc w:val="center"/>
        <w:rPr>
          <w:rFonts w:ascii="Times New Roman" w:hAnsi="Times New Roman" w:cs="Times New Roman"/>
        </w:rPr>
      </w:pPr>
    </w:p>
    <w:p w14:paraId="54771EDB" w14:textId="77777777" w:rsidR="00FD22A8" w:rsidRDefault="00FD22A8" w:rsidP="00FD22A8">
      <w:pPr>
        <w:jc w:val="center"/>
        <w:rPr>
          <w:rFonts w:ascii="Times New Roman" w:hAnsi="Times New Roman" w:cs="Times New Roman"/>
        </w:rPr>
      </w:pPr>
    </w:p>
    <w:p w14:paraId="78E79E0F" w14:textId="77777777" w:rsidR="00FD22A8" w:rsidRDefault="00FD22A8" w:rsidP="00FD22A8">
      <w:pPr>
        <w:jc w:val="center"/>
        <w:rPr>
          <w:rFonts w:ascii="Times New Roman" w:hAnsi="Times New Roman" w:cs="Times New Roman"/>
        </w:rPr>
      </w:pPr>
    </w:p>
    <w:p w14:paraId="68A791DE" w14:textId="77777777" w:rsidR="00FD22A8" w:rsidRDefault="00FD22A8" w:rsidP="00FD22A8">
      <w:pPr>
        <w:jc w:val="center"/>
        <w:rPr>
          <w:rFonts w:ascii="Times New Roman" w:hAnsi="Times New Roman" w:cs="Times New Roman"/>
        </w:rPr>
      </w:pPr>
    </w:p>
    <w:p w14:paraId="7F93EB8E" w14:textId="77777777" w:rsidR="00FD22A8" w:rsidRDefault="00FD22A8" w:rsidP="00FD22A8">
      <w:pPr>
        <w:jc w:val="center"/>
        <w:rPr>
          <w:rFonts w:ascii="Times New Roman" w:hAnsi="Times New Roman" w:cs="Times New Roman"/>
        </w:rPr>
      </w:pPr>
    </w:p>
    <w:p w14:paraId="68C094BA" w14:textId="77777777" w:rsidR="00FD22A8" w:rsidRDefault="00FD22A8" w:rsidP="00FD22A8">
      <w:pPr>
        <w:jc w:val="center"/>
        <w:rPr>
          <w:rFonts w:ascii="Times New Roman" w:hAnsi="Times New Roman" w:cs="Times New Roman"/>
        </w:rPr>
      </w:pPr>
    </w:p>
    <w:p w14:paraId="3F16A45F" w14:textId="77777777" w:rsidR="00FD22A8" w:rsidRDefault="00FD22A8" w:rsidP="00FD22A8">
      <w:pPr>
        <w:jc w:val="center"/>
        <w:rPr>
          <w:rFonts w:ascii="Times New Roman" w:hAnsi="Times New Roman" w:cs="Times New Roman"/>
        </w:rPr>
      </w:pPr>
    </w:p>
    <w:p w14:paraId="62ACB391" w14:textId="77777777" w:rsidR="00FD22A8" w:rsidRDefault="00FD22A8" w:rsidP="00FD22A8">
      <w:pPr>
        <w:jc w:val="center"/>
        <w:rPr>
          <w:rFonts w:ascii="Times New Roman" w:hAnsi="Times New Roman" w:cs="Times New Roman"/>
        </w:rPr>
      </w:pPr>
    </w:p>
    <w:p w14:paraId="1671A077" w14:textId="77777777" w:rsidR="00FD22A8" w:rsidRDefault="00FD22A8" w:rsidP="00FD22A8">
      <w:pPr>
        <w:jc w:val="center"/>
        <w:rPr>
          <w:rFonts w:ascii="Times New Roman" w:hAnsi="Times New Roman" w:cs="Times New Roman"/>
        </w:rPr>
      </w:pPr>
    </w:p>
    <w:p w14:paraId="2025A017" w14:textId="77777777" w:rsidR="00FD22A8" w:rsidRDefault="00FD22A8" w:rsidP="00FD22A8">
      <w:pPr>
        <w:jc w:val="center"/>
        <w:rPr>
          <w:rFonts w:ascii="Times New Roman" w:hAnsi="Times New Roman" w:cs="Times New Roman"/>
        </w:rPr>
      </w:pPr>
    </w:p>
    <w:p w14:paraId="5E7B684C" w14:textId="77777777" w:rsidR="00FD22A8" w:rsidRDefault="00FD22A8" w:rsidP="00FD22A8">
      <w:pPr>
        <w:jc w:val="center"/>
        <w:rPr>
          <w:rFonts w:ascii="Times New Roman" w:hAnsi="Times New Roman" w:cs="Times New Roman"/>
        </w:rPr>
      </w:pPr>
    </w:p>
    <w:p w14:paraId="3F5D1290" w14:textId="77777777" w:rsidR="00FD22A8" w:rsidRDefault="00FD22A8" w:rsidP="00FD22A8">
      <w:pPr>
        <w:jc w:val="center"/>
        <w:rPr>
          <w:rFonts w:ascii="Times New Roman" w:hAnsi="Times New Roman" w:cs="Times New Roman"/>
        </w:rPr>
      </w:pPr>
    </w:p>
    <w:p w14:paraId="709DE7D1" w14:textId="77777777" w:rsidR="00FD22A8" w:rsidRDefault="00FD22A8" w:rsidP="00FD22A8">
      <w:pPr>
        <w:jc w:val="center"/>
        <w:rPr>
          <w:rFonts w:ascii="Times New Roman" w:hAnsi="Times New Roman" w:cs="Times New Roman"/>
        </w:rPr>
      </w:pPr>
    </w:p>
    <w:p w14:paraId="74D31E08" w14:textId="77777777" w:rsidR="00FD22A8" w:rsidRDefault="00FD22A8" w:rsidP="00FD22A8">
      <w:pPr>
        <w:jc w:val="center"/>
        <w:rPr>
          <w:rFonts w:ascii="Times New Roman" w:hAnsi="Times New Roman" w:cs="Times New Roman"/>
        </w:rPr>
      </w:pPr>
    </w:p>
    <w:p w14:paraId="62340254" w14:textId="77777777" w:rsidR="00FD22A8" w:rsidRDefault="00FD22A8" w:rsidP="00FD22A8">
      <w:pPr>
        <w:jc w:val="center"/>
        <w:rPr>
          <w:rFonts w:ascii="Times New Roman" w:hAnsi="Times New Roman" w:cs="Times New Roman"/>
        </w:rPr>
      </w:pPr>
    </w:p>
    <w:p w14:paraId="004A403D" w14:textId="77777777" w:rsidR="00FD22A8" w:rsidRDefault="00FD22A8" w:rsidP="00FD22A8">
      <w:pPr>
        <w:jc w:val="center"/>
        <w:rPr>
          <w:rFonts w:ascii="Times New Roman" w:hAnsi="Times New Roman" w:cs="Times New Roman"/>
        </w:rPr>
      </w:pPr>
    </w:p>
    <w:p w14:paraId="3B8F10F8" w14:textId="77777777" w:rsidR="00FD22A8" w:rsidRDefault="00FD22A8" w:rsidP="00FD22A8">
      <w:pPr>
        <w:jc w:val="center"/>
        <w:rPr>
          <w:rFonts w:ascii="Times New Roman" w:hAnsi="Times New Roman" w:cs="Times New Roman"/>
        </w:rPr>
      </w:pPr>
    </w:p>
    <w:p w14:paraId="7A8AC565" w14:textId="77777777" w:rsidR="00FD22A8" w:rsidRDefault="00FD22A8" w:rsidP="00FD22A8">
      <w:pPr>
        <w:jc w:val="center"/>
        <w:rPr>
          <w:rFonts w:ascii="Times New Roman" w:hAnsi="Times New Roman" w:cs="Times New Roman"/>
        </w:rPr>
      </w:pPr>
    </w:p>
    <w:p w14:paraId="38C3B0F9" w14:textId="77777777" w:rsidR="00FD22A8" w:rsidRDefault="00FD22A8" w:rsidP="00FD22A8">
      <w:pPr>
        <w:jc w:val="center"/>
        <w:rPr>
          <w:rFonts w:ascii="Times New Roman" w:hAnsi="Times New Roman" w:cs="Times New Roman"/>
        </w:rPr>
      </w:pPr>
      <w:r>
        <w:rPr>
          <w:rFonts w:ascii="Times New Roman" w:hAnsi="Times New Roman" w:cs="Times New Roman"/>
        </w:rPr>
        <w:t>CRM4311 A</w:t>
      </w:r>
    </w:p>
    <w:p w14:paraId="46690EE8" w14:textId="77777777" w:rsidR="00FD22A8" w:rsidRDefault="00FD22A8" w:rsidP="00FD22A8">
      <w:pPr>
        <w:jc w:val="center"/>
        <w:rPr>
          <w:rFonts w:ascii="Times New Roman" w:hAnsi="Times New Roman" w:cs="Times New Roman"/>
        </w:rPr>
      </w:pPr>
      <w:r>
        <w:rPr>
          <w:rFonts w:ascii="Times New Roman" w:hAnsi="Times New Roman" w:cs="Times New Roman"/>
        </w:rPr>
        <w:t xml:space="preserve">Professor Steven </w:t>
      </w:r>
      <w:proofErr w:type="spellStart"/>
      <w:r>
        <w:rPr>
          <w:rFonts w:ascii="Times New Roman" w:hAnsi="Times New Roman" w:cs="Times New Roman"/>
        </w:rPr>
        <w:t>Bittle</w:t>
      </w:r>
      <w:proofErr w:type="spellEnd"/>
    </w:p>
    <w:p w14:paraId="476DBAF0" w14:textId="1A1A8044" w:rsidR="00FD22A8" w:rsidRPr="008029D8" w:rsidRDefault="00FD22A8" w:rsidP="00FD22A8">
      <w:pPr>
        <w:jc w:val="center"/>
        <w:rPr>
          <w:rFonts w:ascii="Times New Roman" w:hAnsi="Times New Roman" w:cs="Times New Roman"/>
        </w:rPr>
      </w:pPr>
      <w:r>
        <w:rPr>
          <w:rFonts w:ascii="Times New Roman" w:hAnsi="Times New Roman" w:cs="Times New Roman"/>
        </w:rPr>
        <w:t>December 13</w:t>
      </w:r>
      <w:r>
        <w:rPr>
          <w:rFonts w:ascii="Times New Roman" w:hAnsi="Times New Roman" w:cs="Times New Roman"/>
        </w:rPr>
        <w:t xml:space="preserve">, 2017 </w:t>
      </w:r>
    </w:p>
    <w:p w14:paraId="4E20A90C" w14:textId="77777777" w:rsidR="00FD22A8" w:rsidRDefault="00FD22A8" w:rsidP="00FD22A8">
      <w:pPr>
        <w:spacing w:line="480" w:lineRule="auto"/>
        <w:jc w:val="center"/>
        <w:rPr>
          <w:rFonts w:ascii="Times New Roman" w:hAnsi="Times New Roman" w:cs="Times New Roman"/>
        </w:rPr>
      </w:pPr>
    </w:p>
    <w:p w14:paraId="05B77AA9" w14:textId="77777777" w:rsidR="00FD22A8" w:rsidRDefault="00FD22A8" w:rsidP="003A00C5">
      <w:pPr>
        <w:spacing w:line="480" w:lineRule="auto"/>
        <w:jc w:val="both"/>
        <w:rPr>
          <w:rFonts w:ascii="Times New Roman" w:hAnsi="Times New Roman" w:cs="Times New Roman"/>
        </w:rPr>
      </w:pPr>
    </w:p>
    <w:p w14:paraId="5BD61695" w14:textId="5CEC1A01" w:rsidR="004D31B8" w:rsidRDefault="004D31B8" w:rsidP="003A00C5">
      <w:pPr>
        <w:spacing w:line="480" w:lineRule="auto"/>
        <w:jc w:val="both"/>
        <w:rPr>
          <w:rFonts w:ascii="Times New Roman" w:hAnsi="Times New Roman" w:cs="Times New Roman"/>
        </w:rPr>
      </w:pPr>
      <w:r>
        <w:rPr>
          <w:rFonts w:ascii="Times New Roman" w:hAnsi="Times New Roman" w:cs="Times New Roman"/>
        </w:rPr>
        <w:lastRenderedPageBreak/>
        <w:t xml:space="preserve">Question 1 – </w:t>
      </w:r>
    </w:p>
    <w:p w14:paraId="32EAB975" w14:textId="617F068B" w:rsidR="000705BB" w:rsidRDefault="002678E3" w:rsidP="00FD22A8">
      <w:pPr>
        <w:spacing w:line="480" w:lineRule="auto"/>
        <w:ind w:firstLine="720"/>
        <w:rPr>
          <w:rFonts w:ascii="Times New Roman" w:hAnsi="Times New Roman" w:cs="Times New Roman"/>
        </w:rPr>
      </w:pPr>
      <w:r>
        <w:rPr>
          <w:rFonts w:ascii="Times New Roman" w:hAnsi="Times New Roman" w:cs="Times New Roman"/>
        </w:rPr>
        <w:t>Understand</w:t>
      </w:r>
      <w:r w:rsidR="009F7E4C">
        <w:rPr>
          <w:rFonts w:ascii="Times New Roman" w:hAnsi="Times New Roman" w:cs="Times New Roman"/>
        </w:rPr>
        <w:t>ing</w:t>
      </w:r>
      <w:r>
        <w:rPr>
          <w:rFonts w:ascii="Times New Roman" w:hAnsi="Times New Roman" w:cs="Times New Roman"/>
        </w:rPr>
        <w:t xml:space="preserve"> how the law is both restrictive and productive is imperative to understand</w:t>
      </w:r>
      <w:r w:rsidR="000F1B75">
        <w:rPr>
          <w:rFonts w:ascii="Times New Roman" w:hAnsi="Times New Roman" w:cs="Times New Roman"/>
        </w:rPr>
        <w:t>ing</w:t>
      </w:r>
      <w:r>
        <w:rPr>
          <w:rFonts w:ascii="Times New Roman" w:hAnsi="Times New Roman" w:cs="Times New Roman"/>
        </w:rPr>
        <w:t xml:space="preserve"> the law-society relationship. In order to make</w:t>
      </w:r>
      <w:r w:rsidR="007F609C">
        <w:rPr>
          <w:rFonts w:ascii="Times New Roman" w:hAnsi="Times New Roman" w:cs="Times New Roman"/>
        </w:rPr>
        <w:t xml:space="preserve"> conclusions about the connection</w:t>
      </w:r>
      <w:r>
        <w:rPr>
          <w:rFonts w:ascii="Times New Roman" w:hAnsi="Times New Roman" w:cs="Times New Roman"/>
        </w:rPr>
        <w:t xml:space="preserve"> we first need to define this relationship. The law-society relationship can be understood as a mutual relationship between law and society with its different actors, institutions, and processes. </w:t>
      </w:r>
      <w:r w:rsidR="00C3529F">
        <w:rPr>
          <w:rFonts w:ascii="Times New Roman" w:hAnsi="Times New Roman" w:cs="Times New Roman"/>
        </w:rPr>
        <w:t>The law is created and is carried out through legal frameworks but is practices and adopted through a societal process. Thus, a</w:t>
      </w:r>
      <w:r>
        <w:rPr>
          <w:rFonts w:ascii="Times New Roman" w:hAnsi="Times New Roman" w:cs="Times New Roman"/>
        </w:rPr>
        <w:t>s H</w:t>
      </w:r>
      <w:r w:rsidR="00C3529F">
        <w:rPr>
          <w:rFonts w:ascii="Times New Roman" w:hAnsi="Times New Roman" w:cs="Times New Roman"/>
        </w:rPr>
        <w:t xml:space="preserve">unt (1993) would explain “the law… is subject to external forces…” (p.47) and is “…both determined and determining within a wider set of social processes” (p.48). Crime and law can be regarded as social contracts therefore connecting law and society. If we look beyond this casual relationship, we can understand law as constituting social institutions such as polity, family, and corporations. In this paper I will attempt to argue how analyzing the law as being repressive and productive can help us understand how the law society relationship functions. To support my argument I will be briefly touching on concepts used throughout the course, </w:t>
      </w:r>
      <w:r w:rsidR="00EA0024">
        <w:rPr>
          <w:rFonts w:ascii="Times New Roman" w:hAnsi="Times New Roman" w:cs="Times New Roman"/>
        </w:rPr>
        <w:t xml:space="preserve">but specifically around the official version of law, Foucault’s notion of discourse and governmentality, and finally Bourdieu’s juridical field. These will be the backdrop for the argument made in the second half of the paper that contextualizes the repressive and productive functions of law as it pertains to the case study of Citizenship, Terrorism and the Law. </w:t>
      </w:r>
      <w:bookmarkStart w:id="0" w:name="_GoBack"/>
      <w:bookmarkEnd w:id="0"/>
    </w:p>
    <w:p w14:paraId="71D97DA4" w14:textId="77777777" w:rsidR="000705BB" w:rsidRPr="002678E3" w:rsidRDefault="002678E3" w:rsidP="003A00C5">
      <w:pPr>
        <w:spacing w:line="480" w:lineRule="auto"/>
        <w:rPr>
          <w:rFonts w:ascii="Times New Roman" w:hAnsi="Times New Roman" w:cs="Times New Roman"/>
          <w:b/>
        </w:rPr>
      </w:pPr>
      <w:r>
        <w:rPr>
          <w:rFonts w:ascii="Times New Roman" w:hAnsi="Times New Roman" w:cs="Times New Roman"/>
          <w:b/>
        </w:rPr>
        <w:t xml:space="preserve">Review of Concepts </w:t>
      </w:r>
    </w:p>
    <w:p w14:paraId="4271B4BB" w14:textId="77777777" w:rsidR="00762970" w:rsidRDefault="00762970" w:rsidP="003A00C5">
      <w:pPr>
        <w:spacing w:line="480" w:lineRule="auto"/>
        <w:ind w:firstLine="720"/>
        <w:rPr>
          <w:rFonts w:ascii="Times New Roman" w:hAnsi="Times New Roman" w:cs="Times New Roman"/>
        </w:rPr>
      </w:pPr>
      <w:r>
        <w:rPr>
          <w:rFonts w:ascii="Times New Roman" w:hAnsi="Times New Roman" w:cs="Times New Roman"/>
        </w:rPr>
        <w:t xml:space="preserve">We have seen in this course how the law can be both productive and restrictive. In Comack (2014) we analyzed the Official Version of Law and its foundational roots of encompassing impartiality, neutrality and objectivity (p.11). We also discussed its doctrine of rule of law and how it produces a universal subject as the measuring rod underneath the law (p.13). Here we identified how these foundations have the opposite effect and do not treat everyone equally under the law, simply by basing each individual as a one size fits all underneath the universal subject when in fact we are not the same. </w:t>
      </w:r>
    </w:p>
    <w:p w14:paraId="1F2F48CC" w14:textId="01570CD7" w:rsidR="00D859F8" w:rsidRDefault="00762970" w:rsidP="003A00C5">
      <w:pPr>
        <w:spacing w:line="480" w:lineRule="auto"/>
        <w:rPr>
          <w:rFonts w:ascii="Times New Roman" w:hAnsi="Times New Roman" w:cs="Times New Roman"/>
        </w:rPr>
      </w:pPr>
      <w:r>
        <w:rPr>
          <w:rFonts w:ascii="Times New Roman" w:hAnsi="Times New Roman" w:cs="Times New Roman"/>
        </w:rPr>
        <w:t>As it pertains to the law society relationship, we can see how “…our social positioning in society [such as]… our race, our class and our gender…[can be] used to divide separate and categorize us through the law” (p.1</w:t>
      </w:r>
      <w:r w:rsidR="000F1B75">
        <w:rPr>
          <w:rFonts w:ascii="Times New Roman" w:hAnsi="Times New Roman" w:cs="Times New Roman"/>
        </w:rPr>
        <w:t xml:space="preserve">). </w:t>
      </w:r>
      <w:r>
        <w:rPr>
          <w:rFonts w:ascii="Times New Roman" w:hAnsi="Times New Roman" w:cs="Times New Roman"/>
        </w:rPr>
        <w:t>Therefore, by not take</w:t>
      </w:r>
      <w:r w:rsidR="007F609C">
        <w:rPr>
          <w:rFonts w:ascii="Times New Roman" w:hAnsi="Times New Roman" w:cs="Times New Roman"/>
        </w:rPr>
        <w:t xml:space="preserve">n into account the social context the law has served to restrict </w:t>
      </w:r>
      <w:r>
        <w:rPr>
          <w:rFonts w:ascii="Times New Roman" w:hAnsi="Times New Roman" w:cs="Times New Roman"/>
        </w:rPr>
        <w:t xml:space="preserve">certain individuals (i.e. marginalized groups) and create categories of inequality. However at the same time it produces the ideal race, class and gender under the universal subject as being a white, educated, monied, male (p.13). </w:t>
      </w:r>
    </w:p>
    <w:p w14:paraId="74086BEF" w14:textId="222C8C08" w:rsidR="00762970" w:rsidRDefault="00762970" w:rsidP="003A00C5">
      <w:pPr>
        <w:spacing w:line="480" w:lineRule="auto"/>
        <w:rPr>
          <w:rFonts w:ascii="Times New Roman" w:hAnsi="Times New Roman" w:cs="Times New Roman"/>
        </w:rPr>
      </w:pPr>
      <w:r>
        <w:rPr>
          <w:rFonts w:ascii="Times New Roman" w:hAnsi="Times New Roman" w:cs="Times New Roman"/>
        </w:rPr>
        <w:tab/>
        <w:t>In Wickham (2013), Garland (1997) and Rose &amp; Valverde (1995), we analyzed Foucau</w:t>
      </w:r>
      <w:r w:rsidR="007F609C">
        <w:rPr>
          <w:rFonts w:ascii="Times New Roman" w:hAnsi="Times New Roman" w:cs="Times New Roman"/>
        </w:rPr>
        <w:t xml:space="preserve">lt’s notion of legal discourse </w:t>
      </w:r>
      <w:r>
        <w:rPr>
          <w:rFonts w:ascii="Times New Roman" w:hAnsi="Times New Roman" w:cs="Times New Roman"/>
        </w:rPr>
        <w:t xml:space="preserve">and techniques of governmentality. This led us to understand how discourse is primarily about production (i.e. how discourse around sex can produce ideas about sexuality and womanhood </w:t>
      </w:r>
      <w:r w:rsidR="00B64CED">
        <w:rPr>
          <w:rFonts w:ascii="Times New Roman" w:hAnsi="Times New Roman" w:cs="Times New Roman"/>
        </w:rPr>
        <w:t xml:space="preserve">(Smart, 1989, p.7; Gotell, 2007, p.134)), but can be restrictive through legal legislation by excluding certain races, classes and genders </w:t>
      </w:r>
      <w:r w:rsidR="00051AD3">
        <w:rPr>
          <w:rFonts w:ascii="Times New Roman" w:hAnsi="Times New Roman" w:cs="Times New Roman"/>
        </w:rPr>
        <w:t xml:space="preserve">(i.e. the official version of laws universal subject). Governmentality in Garland (1997) can also be seen as productive in the sense that it produces active subjects (p.175), responsibilizes individuals (p.180-184), reifies the dominant values and norms, and creates criminogenic situations where places and people are surveyed and controlled (p.187). The repressive function of law through governmentality is that, enforced by risk management, it allows for the conditions under which certain individuals are criminalized/stigmatized for not conforming to those dominant values/norms. </w:t>
      </w:r>
    </w:p>
    <w:p w14:paraId="4207AB12" w14:textId="56E2ABF4" w:rsidR="00EA0024" w:rsidRDefault="00051AD3" w:rsidP="003A00C5">
      <w:pPr>
        <w:spacing w:line="480" w:lineRule="auto"/>
        <w:rPr>
          <w:rFonts w:ascii="Times New Roman" w:hAnsi="Times New Roman" w:cs="Times New Roman"/>
        </w:rPr>
      </w:pPr>
      <w:r>
        <w:rPr>
          <w:rFonts w:ascii="Times New Roman" w:hAnsi="Times New Roman" w:cs="Times New Roman"/>
        </w:rPr>
        <w:tab/>
        <w:t xml:space="preserve">Both </w:t>
      </w:r>
      <w:r w:rsidR="000F1B75">
        <w:rPr>
          <w:rFonts w:ascii="Times New Roman" w:hAnsi="Times New Roman" w:cs="Times New Roman"/>
        </w:rPr>
        <w:t>Bourdieu</w:t>
      </w:r>
      <w:r>
        <w:rPr>
          <w:rFonts w:ascii="Times New Roman" w:hAnsi="Times New Roman" w:cs="Times New Roman"/>
        </w:rPr>
        <w:t xml:space="preserve"> (1987) articles were helpful for understa</w:t>
      </w:r>
      <w:r w:rsidR="007F609C">
        <w:rPr>
          <w:rFonts w:ascii="Times New Roman" w:hAnsi="Times New Roman" w:cs="Times New Roman"/>
        </w:rPr>
        <w:t>nding how ideology is reproduced</w:t>
      </w:r>
      <w:r>
        <w:rPr>
          <w:rFonts w:ascii="Times New Roman" w:hAnsi="Times New Roman" w:cs="Times New Roman"/>
        </w:rPr>
        <w:t xml:space="preserve"> through law. In examining the juridical field we saw how the “legal culture” (p.806), and </w:t>
      </w:r>
      <w:r w:rsidRPr="002C4980">
        <w:rPr>
          <w:rFonts w:ascii="Times New Roman" w:hAnsi="Times New Roman" w:cs="Times New Roman"/>
          <w:i/>
        </w:rPr>
        <w:t>habitus</w:t>
      </w:r>
      <w:r>
        <w:rPr>
          <w:rFonts w:ascii="Times New Roman" w:hAnsi="Times New Roman" w:cs="Times New Roman"/>
        </w:rPr>
        <w:t xml:space="preserve"> (p.807) reproduce certain structures of behaviour that are expected and learned in accordance to the legal realm. </w:t>
      </w:r>
      <w:r w:rsidR="002C4980">
        <w:rPr>
          <w:rFonts w:ascii="Times New Roman" w:hAnsi="Times New Roman" w:cs="Times New Roman"/>
        </w:rPr>
        <w:t xml:space="preserve">The language/discourse used can become </w:t>
      </w:r>
      <w:r w:rsidR="002C4980">
        <w:rPr>
          <w:rFonts w:ascii="Times New Roman" w:hAnsi="Times New Roman" w:cs="Times New Roman"/>
          <w:i/>
        </w:rPr>
        <w:t xml:space="preserve">doxic </w:t>
      </w:r>
      <w:r w:rsidR="002C4980">
        <w:rPr>
          <w:rFonts w:ascii="Times New Roman" w:hAnsi="Times New Roman" w:cs="Times New Roman"/>
        </w:rPr>
        <w:t xml:space="preserve">(p.807) when they are not questioned and are taken for common sense. In this sense the law produces ideology by recreating a system where only certain discourses will be regarded as legitimate, usually that of the legal realm. It is repressive in so that is regards all other discourse as illegitimate, and it becomes difficult to challenge because of its doxic nature. </w:t>
      </w:r>
      <w:r w:rsidR="002C4980">
        <w:rPr>
          <w:rFonts w:ascii="Times New Roman" w:hAnsi="Times New Roman" w:cs="Times New Roman"/>
        </w:rPr>
        <w:tab/>
      </w:r>
    </w:p>
    <w:p w14:paraId="57542A43" w14:textId="52E633F7" w:rsidR="00465525" w:rsidRDefault="00EA0024" w:rsidP="003A00C5">
      <w:pPr>
        <w:spacing w:line="480" w:lineRule="auto"/>
        <w:rPr>
          <w:rFonts w:ascii="Times New Roman" w:hAnsi="Times New Roman" w:cs="Times New Roman"/>
          <w:b/>
        </w:rPr>
      </w:pPr>
      <w:r w:rsidRPr="00EA0024">
        <w:rPr>
          <w:rFonts w:ascii="Times New Roman" w:hAnsi="Times New Roman" w:cs="Times New Roman"/>
          <w:b/>
        </w:rPr>
        <w:t>Case study</w:t>
      </w:r>
    </w:p>
    <w:p w14:paraId="57F0C826" w14:textId="50EB862F" w:rsidR="00465525" w:rsidRPr="00465525" w:rsidRDefault="00465525" w:rsidP="003A00C5">
      <w:pPr>
        <w:spacing w:line="480" w:lineRule="auto"/>
        <w:ind w:firstLine="720"/>
        <w:rPr>
          <w:rFonts w:ascii="Times New Roman" w:hAnsi="Times New Roman" w:cs="Times New Roman"/>
        </w:rPr>
      </w:pPr>
      <w:r>
        <w:rPr>
          <w:rFonts w:ascii="Times New Roman" w:hAnsi="Times New Roman" w:cs="Times New Roman"/>
        </w:rPr>
        <w:t xml:space="preserve">Its important that we understand how the law is both restrictive and productive in examining how this approach can translate into topics on citizenship, terrorism, and its relation to law. The </w:t>
      </w:r>
      <w:proofErr w:type="spellStart"/>
      <w:r>
        <w:rPr>
          <w:rFonts w:ascii="Times New Roman" w:hAnsi="Times New Roman" w:cs="Times New Roman"/>
        </w:rPr>
        <w:t>Pantazis</w:t>
      </w:r>
      <w:proofErr w:type="spellEnd"/>
      <w:r>
        <w:rPr>
          <w:rFonts w:ascii="Times New Roman" w:hAnsi="Times New Roman" w:cs="Times New Roman"/>
        </w:rPr>
        <w:t xml:space="preserve"> &amp; Pemberton (2009) article highlights important features of how the ‘War of Terror’ has framed the old (Irish) and the new (Muslim/Arab) suspect that have been subjected as a whole community. The </w:t>
      </w:r>
      <w:proofErr w:type="spellStart"/>
      <w:r>
        <w:rPr>
          <w:rFonts w:ascii="Times New Roman" w:hAnsi="Times New Roman" w:cs="Times New Roman"/>
        </w:rPr>
        <w:t>Razack</w:t>
      </w:r>
      <w:proofErr w:type="spellEnd"/>
      <w:r>
        <w:rPr>
          <w:rFonts w:ascii="Times New Roman" w:hAnsi="Times New Roman" w:cs="Times New Roman"/>
        </w:rPr>
        <w:t xml:space="preserve"> (2007) article explores the notions of race, national security and how the 9/11 events influenced the creation of the idea of the West vs. the Islamic state. The </w:t>
      </w:r>
      <w:proofErr w:type="spellStart"/>
      <w:r>
        <w:rPr>
          <w:rFonts w:ascii="Times New Roman" w:hAnsi="Times New Roman" w:cs="Times New Roman"/>
        </w:rPr>
        <w:t>Zedner</w:t>
      </w:r>
      <w:proofErr w:type="spellEnd"/>
      <w:r>
        <w:rPr>
          <w:rFonts w:ascii="Times New Roman" w:hAnsi="Times New Roman" w:cs="Times New Roman"/>
        </w:rPr>
        <w:t xml:space="preserve"> Article explores the themes of citizenship and laws, and the heightened securitization of immigration. It is important to note that the repressive and productive functions are interrelated to one another, in other words the former simultaneously produces the later. Therefore, this is how I will discuss the repressive and productive elements in relation to the articles.</w:t>
      </w:r>
    </w:p>
    <w:p w14:paraId="48EE1A42" w14:textId="77777777" w:rsidR="003A00C5" w:rsidRDefault="009658CB" w:rsidP="003A00C5">
      <w:pPr>
        <w:spacing w:line="480" w:lineRule="auto"/>
        <w:rPr>
          <w:rFonts w:ascii="Times New Roman" w:hAnsi="Times New Roman" w:cs="Times New Roman"/>
          <w:i/>
        </w:rPr>
      </w:pPr>
      <w:r w:rsidRPr="000F1B75">
        <w:rPr>
          <w:rFonts w:ascii="Times New Roman" w:hAnsi="Times New Roman" w:cs="Times New Roman"/>
          <w:i/>
        </w:rPr>
        <w:t xml:space="preserve">Foucault – Discourse &amp; </w:t>
      </w:r>
      <w:proofErr w:type="spellStart"/>
      <w:r w:rsidRPr="000F1B75">
        <w:rPr>
          <w:rFonts w:ascii="Times New Roman" w:hAnsi="Times New Roman" w:cs="Times New Roman"/>
          <w:i/>
        </w:rPr>
        <w:t>Governmentality</w:t>
      </w:r>
    </w:p>
    <w:p w14:paraId="21DAC691" w14:textId="71723A27" w:rsidR="00762970" w:rsidRPr="003A00C5" w:rsidRDefault="009658CB" w:rsidP="003A00C5">
      <w:pPr>
        <w:spacing w:line="480" w:lineRule="auto"/>
        <w:ind w:firstLine="720"/>
        <w:rPr>
          <w:rFonts w:ascii="Times New Roman" w:hAnsi="Times New Roman" w:cs="Times New Roman"/>
          <w:i/>
        </w:rPr>
      </w:pPr>
      <w:proofErr w:type="spellEnd"/>
      <w:r>
        <w:rPr>
          <w:rFonts w:ascii="Times New Roman" w:hAnsi="Times New Roman" w:cs="Times New Roman"/>
        </w:rPr>
        <w:t xml:space="preserve">If we examine these articles from Foucault’s discourse concept we can see how the production of race thinking is used by the state in order to justify violence and power. Race </w:t>
      </w:r>
      <w:r w:rsidR="00BB2C45">
        <w:rPr>
          <w:rFonts w:ascii="Times New Roman" w:hAnsi="Times New Roman" w:cs="Times New Roman"/>
        </w:rPr>
        <w:t>thinking becomes embedded within</w:t>
      </w:r>
      <w:r>
        <w:rPr>
          <w:rFonts w:ascii="Times New Roman" w:hAnsi="Times New Roman" w:cs="Times New Roman"/>
        </w:rPr>
        <w:t xml:space="preserve"> law with labels </w:t>
      </w:r>
      <w:r w:rsidR="00BB2C45">
        <w:rPr>
          <w:rFonts w:ascii="Times New Roman" w:hAnsi="Times New Roman" w:cs="Times New Roman"/>
        </w:rPr>
        <w:t xml:space="preserve">that are often used as oppositional binaries </w:t>
      </w:r>
      <w:r>
        <w:rPr>
          <w:rFonts w:ascii="Times New Roman" w:hAnsi="Times New Roman" w:cs="Times New Roman"/>
        </w:rPr>
        <w:t>such as ‘moderates’ versus the ‘extremists’ or the ‘West’ versus the ‘Islamic world’ (</w:t>
      </w:r>
      <w:proofErr w:type="spellStart"/>
      <w:r w:rsidR="00BB2C45">
        <w:rPr>
          <w:rFonts w:ascii="Times New Roman" w:hAnsi="Times New Roman" w:cs="Times New Roman"/>
        </w:rPr>
        <w:t>Pantazis</w:t>
      </w:r>
      <w:proofErr w:type="spellEnd"/>
      <w:r w:rsidR="00BB2C45">
        <w:rPr>
          <w:rFonts w:ascii="Times New Roman" w:hAnsi="Times New Roman" w:cs="Times New Roman"/>
        </w:rPr>
        <w:t xml:space="preserve"> &amp; Pemberton, 2009, </w:t>
      </w:r>
      <w:r>
        <w:rPr>
          <w:rFonts w:ascii="Times New Roman" w:hAnsi="Times New Roman" w:cs="Times New Roman"/>
        </w:rPr>
        <w:t>p.650). We can also use Foucault’s discour</w:t>
      </w:r>
      <w:r w:rsidR="00BB2C45">
        <w:rPr>
          <w:rFonts w:ascii="Times New Roman" w:hAnsi="Times New Roman" w:cs="Times New Roman"/>
        </w:rPr>
        <w:t xml:space="preserve">se concept </w:t>
      </w:r>
      <w:r>
        <w:rPr>
          <w:rFonts w:ascii="Times New Roman" w:hAnsi="Times New Roman" w:cs="Times New Roman"/>
        </w:rPr>
        <w:t>when discussing fundamental rights. The Zedner (2000) article distinguishes that fundamental rights are earned and not given to those applying for citizenship, and those who do not meet specific standards will be subject to ‘temporary leave’ where rights and benefits are not accessible (p.388). The Razack (2007) article explore</w:t>
      </w:r>
      <w:r w:rsidR="0086446F">
        <w:rPr>
          <w:rFonts w:ascii="Times New Roman" w:hAnsi="Times New Roman" w:cs="Times New Roman"/>
        </w:rPr>
        <w:t>s</w:t>
      </w:r>
      <w:r>
        <w:rPr>
          <w:rFonts w:ascii="Times New Roman" w:hAnsi="Times New Roman" w:cs="Times New Roman"/>
        </w:rPr>
        <w:t xml:space="preserve"> how detention of individuals suspected of terrorism is justified under the techniques of risk management where life is </w:t>
      </w:r>
      <w:r w:rsidR="00BB2C45">
        <w:rPr>
          <w:rFonts w:ascii="Times New Roman" w:hAnsi="Times New Roman" w:cs="Times New Roman"/>
        </w:rPr>
        <w:t xml:space="preserve">reduced to biographical profiles </w:t>
      </w:r>
      <w:r>
        <w:rPr>
          <w:rFonts w:ascii="Times New Roman" w:hAnsi="Times New Roman" w:cs="Times New Roman"/>
        </w:rPr>
        <w:t xml:space="preserve">(p.19). </w:t>
      </w:r>
      <w:r w:rsidR="0086446F">
        <w:rPr>
          <w:rFonts w:ascii="Times New Roman" w:hAnsi="Times New Roman" w:cs="Times New Roman"/>
        </w:rPr>
        <w:t xml:space="preserve">Here we can see how legal discourse works to repress those individuals who fall subject to the labels, but also how the repression translates to a whole community. At the same time those vary same labels and frameworks of thought are reproduced to tangible understandings or Muslims/Arabs. In relation to fundamental rights the law through discourse is repressive as it excludes certain groups of individuals from obtaining citizenship because they are measured and evaluated based on standards of the West. This inherently produces the ideas that the British values are superior and those who fail to pass or conform are not deserving of the same rights awarded to citizens. </w:t>
      </w:r>
    </w:p>
    <w:p w14:paraId="68ECD288" w14:textId="462DE4C0" w:rsidR="0086446F" w:rsidRPr="003A00C5" w:rsidRDefault="00BB2C45" w:rsidP="003A00C5">
      <w:pPr>
        <w:spacing w:line="480" w:lineRule="auto"/>
        <w:rPr>
          <w:rFonts w:ascii="Times New Roman" w:hAnsi="Times New Roman" w:cs="Times New Roman"/>
        </w:rPr>
      </w:pPr>
      <w:r>
        <w:rPr>
          <w:rFonts w:ascii="Times New Roman" w:hAnsi="Times New Roman" w:cs="Times New Roman"/>
        </w:rPr>
        <w:tab/>
      </w:r>
      <w:r w:rsidR="0086446F">
        <w:rPr>
          <w:rFonts w:ascii="Times New Roman" w:hAnsi="Times New Roman" w:cs="Times New Roman"/>
        </w:rPr>
        <w:t xml:space="preserve">Foucault’s governmentality concept comes into play for example in relation </w:t>
      </w:r>
      <w:r>
        <w:rPr>
          <w:rFonts w:ascii="Times New Roman" w:hAnsi="Times New Roman" w:cs="Times New Roman"/>
        </w:rPr>
        <w:t>to citizenship. T</w:t>
      </w:r>
      <w:r w:rsidR="0086446F">
        <w:rPr>
          <w:rFonts w:ascii="Times New Roman" w:hAnsi="Times New Roman" w:cs="Times New Roman"/>
        </w:rPr>
        <w:t>he standardize</w:t>
      </w:r>
      <w:r>
        <w:rPr>
          <w:rFonts w:ascii="Times New Roman" w:hAnsi="Times New Roman" w:cs="Times New Roman"/>
        </w:rPr>
        <w:t xml:space="preserve">d tests for citizenship produce and impose </w:t>
      </w:r>
      <w:proofErr w:type="spellStart"/>
      <w:r w:rsidR="0086446F">
        <w:rPr>
          <w:rFonts w:ascii="Times New Roman" w:hAnsi="Times New Roman" w:cs="Times New Roman"/>
        </w:rPr>
        <w:t>respons</w:t>
      </w:r>
      <w:r w:rsidR="000F1B75">
        <w:rPr>
          <w:rFonts w:ascii="Times New Roman" w:hAnsi="Times New Roman" w:cs="Times New Roman"/>
        </w:rPr>
        <w:t>i</w:t>
      </w:r>
      <w:r w:rsidR="0086446F">
        <w:rPr>
          <w:rFonts w:ascii="Times New Roman" w:hAnsi="Times New Roman" w:cs="Times New Roman"/>
        </w:rPr>
        <w:t>bilization</w:t>
      </w:r>
      <w:proofErr w:type="spellEnd"/>
      <w:r w:rsidR="0086446F">
        <w:rPr>
          <w:rFonts w:ascii="Times New Roman" w:hAnsi="Times New Roman" w:cs="Times New Roman"/>
        </w:rPr>
        <w:t xml:space="preserve"> of the individuals who fail to pass. This creates responsibilization not solely through legal discourse but also through normative behaviour as it is expected that individuals regulate themselves in terms of state expectations. </w:t>
      </w:r>
    </w:p>
    <w:p w14:paraId="4FB407B7" w14:textId="2EF84FD9" w:rsidR="000705BB" w:rsidRPr="000F1B75" w:rsidRDefault="000F1B75" w:rsidP="003A00C5">
      <w:pPr>
        <w:spacing w:line="480" w:lineRule="auto"/>
        <w:rPr>
          <w:rFonts w:ascii="Times New Roman" w:hAnsi="Times New Roman" w:cs="Times New Roman"/>
          <w:i/>
        </w:rPr>
      </w:pPr>
      <w:r w:rsidRPr="00EA0024">
        <w:rPr>
          <w:rFonts w:ascii="Times New Roman" w:hAnsi="Times New Roman" w:cs="Times New Roman"/>
          <w:i/>
        </w:rPr>
        <w:t>Bourdieu</w:t>
      </w:r>
      <w:r w:rsidR="0086446F" w:rsidRPr="00EA0024">
        <w:rPr>
          <w:rFonts w:ascii="Times New Roman" w:hAnsi="Times New Roman" w:cs="Times New Roman"/>
          <w:i/>
        </w:rPr>
        <w:t xml:space="preserve"> – Juridical Field, Habitus and Doxa </w:t>
      </w:r>
    </w:p>
    <w:p w14:paraId="2CED4292" w14:textId="69AD79E1" w:rsidR="00283848" w:rsidRDefault="0086446F" w:rsidP="003A00C5">
      <w:pPr>
        <w:spacing w:line="480" w:lineRule="auto"/>
        <w:ind w:firstLine="720"/>
        <w:rPr>
          <w:rFonts w:ascii="Times New Roman" w:hAnsi="Times New Roman" w:cs="Times New Roman"/>
        </w:rPr>
      </w:pPr>
      <w:r>
        <w:rPr>
          <w:rFonts w:ascii="Times New Roman" w:hAnsi="Times New Roman" w:cs="Times New Roman"/>
        </w:rPr>
        <w:t>In the Panta</w:t>
      </w:r>
      <w:r w:rsidR="00D650E6">
        <w:rPr>
          <w:rFonts w:ascii="Times New Roman" w:hAnsi="Times New Roman" w:cs="Times New Roman"/>
        </w:rPr>
        <w:t>zis &amp; Pemberton article the ‘war on terror’ is promoted as threatening the integrity of the Western liberal state (p.650). Here we can see how law as domination targets anyone</w:t>
      </w:r>
      <w:r w:rsidR="00916465">
        <w:rPr>
          <w:rFonts w:ascii="Times New Roman" w:hAnsi="Times New Roman" w:cs="Times New Roman"/>
        </w:rPr>
        <w:t xml:space="preserve"> (without the need for reasonable grounds)</w:t>
      </w:r>
      <w:r w:rsidR="00D650E6">
        <w:rPr>
          <w:rFonts w:ascii="Times New Roman" w:hAnsi="Times New Roman" w:cs="Times New Roman"/>
        </w:rPr>
        <w:t xml:space="preserve"> who may be affiliated with terrorism or is a threat to national security. The discourse specifically in the form of legislation (terrorism act) is able to produce fear and threat of Muslim people</w:t>
      </w:r>
      <w:r w:rsidR="00916465">
        <w:rPr>
          <w:rFonts w:ascii="Times New Roman" w:hAnsi="Times New Roman" w:cs="Times New Roman"/>
        </w:rPr>
        <w:t>. This is where habitus takes place; i</w:t>
      </w:r>
      <w:r w:rsidR="00D650E6">
        <w:rPr>
          <w:rFonts w:ascii="Times New Roman" w:hAnsi="Times New Roman" w:cs="Times New Roman"/>
        </w:rPr>
        <w:t>t becomes common sense to h</w:t>
      </w:r>
      <w:r w:rsidR="00916465">
        <w:rPr>
          <w:rFonts w:ascii="Times New Roman" w:hAnsi="Times New Roman" w:cs="Times New Roman"/>
        </w:rPr>
        <w:t xml:space="preserve">ave </w:t>
      </w:r>
      <w:r w:rsidR="00D650E6">
        <w:rPr>
          <w:rFonts w:ascii="Times New Roman" w:hAnsi="Times New Roman" w:cs="Times New Roman"/>
        </w:rPr>
        <w:t xml:space="preserve">laws such as the Terrorism Act </w:t>
      </w:r>
      <w:r w:rsidR="00283848">
        <w:rPr>
          <w:rFonts w:ascii="Times New Roman" w:hAnsi="Times New Roman" w:cs="Times New Roman"/>
        </w:rPr>
        <w:t>in order to</w:t>
      </w:r>
      <w:r w:rsidR="00916465">
        <w:rPr>
          <w:rFonts w:ascii="Times New Roman" w:hAnsi="Times New Roman" w:cs="Times New Roman"/>
        </w:rPr>
        <w:t xml:space="preserve"> prevent future attacks. We </w:t>
      </w:r>
      <w:r w:rsidR="00283848">
        <w:rPr>
          <w:rFonts w:ascii="Times New Roman" w:hAnsi="Times New Roman" w:cs="Times New Roman"/>
        </w:rPr>
        <w:t xml:space="preserve">also see doxa in the sense that this reproduction reinforces people’s blind acceptation of these laws as legitimate without seeing the repressive element. </w:t>
      </w:r>
    </w:p>
    <w:p w14:paraId="499F2D9D" w14:textId="3B4A5DAB" w:rsidR="00EA0024" w:rsidRPr="00EA0024" w:rsidRDefault="00283848" w:rsidP="003A00C5">
      <w:pPr>
        <w:spacing w:line="480" w:lineRule="auto"/>
        <w:rPr>
          <w:rFonts w:ascii="Times New Roman" w:hAnsi="Times New Roman" w:cs="Times New Roman"/>
          <w:i/>
        </w:rPr>
      </w:pPr>
      <w:r w:rsidRPr="00EA0024">
        <w:rPr>
          <w:rFonts w:ascii="Times New Roman" w:hAnsi="Times New Roman" w:cs="Times New Roman"/>
          <w:i/>
        </w:rPr>
        <w:t>Official Version of Law –</w:t>
      </w:r>
      <w:r w:rsidR="002678E3" w:rsidRPr="00EA0024">
        <w:rPr>
          <w:rFonts w:ascii="Times New Roman" w:hAnsi="Times New Roman" w:cs="Times New Roman"/>
          <w:i/>
        </w:rPr>
        <w:t xml:space="preserve"> Rule of Law &amp; Universal S</w:t>
      </w:r>
      <w:r w:rsidRPr="00EA0024">
        <w:rPr>
          <w:rFonts w:ascii="Times New Roman" w:hAnsi="Times New Roman" w:cs="Times New Roman"/>
          <w:i/>
        </w:rPr>
        <w:t xml:space="preserve">ubject </w:t>
      </w:r>
    </w:p>
    <w:p w14:paraId="7AA5AFC1" w14:textId="2907D57C" w:rsidR="00283848" w:rsidRDefault="0074197D" w:rsidP="003A00C5">
      <w:pPr>
        <w:spacing w:line="480" w:lineRule="auto"/>
        <w:ind w:firstLine="720"/>
        <w:rPr>
          <w:rFonts w:ascii="Times New Roman" w:hAnsi="Times New Roman" w:cs="Times New Roman"/>
        </w:rPr>
      </w:pPr>
      <w:r>
        <w:rPr>
          <w:rFonts w:ascii="Times New Roman" w:hAnsi="Times New Roman" w:cs="Times New Roman"/>
        </w:rPr>
        <w:t>In Pantazis &amp; Pemberton (2009) the terrorism act allowed for the apprehension and detention of anyone suspected to be affiliated with terrorism (p.647). Here the law is seen as repressive because it targets anyon</w:t>
      </w:r>
      <w:r w:rsidR="00916465">
        <w:rPr>
          <w:rFonts w:ascii="Times New Roman" w:hAnsi="Times New Roman" w:cs="Times New Roman"/>
        </w:rPr>
        <w:t xml:space="preserve">e </w:t>
      </w:r>
      <w:r>
        <w:rPr>
          <w:rFonts w:ascii="Times New Roman" w:hAnsi="Times New Roman" w:cs="Times New Roman"/>
        </w:rPr>
        <w:t xml:space="preserve">without the </w:t>
      </w:r>
      <w:r w:rsidR="00916465">
        <w:rPr>
          <w:rFonts w:ascii="Times New Roman" w:hAnsi="Times New Roman" w:cs="Times New Roman"/>
        </w:rPr>
        <w:t xml:space="preserve">need for concrete evidence, while also going </w:t>
      </w:r>
      <w:r>
        <w:rPr>
          <w:rFonts w:ascii="Times New Roman" w:hAnsi="Times New Roman" w:cs="Times New Roman"/>
        </w:rPr>
        <w:t>against the rul</w:t>
      </w:r>
      <w:r w:rsidR="00916465">
        <w:rPr>
          <w:rFonts w:ascii="Times New Roman" w:hAnsi="Times New Roman" w:cs="Times New Roman"/>
        </w:rPr>
        <w:t>e of law</w:t>
      </w:r>
      <w:r>
        <w:rPr>
          <w:rFonts w:ascii="Times New Roman" w:hAnsi="Times New Roman" w:cs="Times New Roman"/>
        </w:rPr>
        <w:t xml:space="preserve">. At the same time it produces a certain image of those affiliated with countries who took part in anti-Soviet activities, by labelling them as potential </w:t>
      </w:r>
      <w:r w:rsidR="00916465">
        <w:rPr>
          <w:rFonts w:ascii="Times New Roman" w:hAnsi="Times New Roman" w:cs="Times New Roman"/>
        </w:rPr>
        <w:t>threats</w:t>
      </w:r>
      <w:r>
        <w:rPr>
          <w:rFonts w:ascii="Times New Roman" w:hAnsi="Times New Roman" w:cs="Times New Roman"/>
        </w:rPr>
        <w:t xml:space="preserve"> and othering them by trying to predict the future. The state of exception in the Razack (2007) article allowed for individuals due process rights to be limited or even removed (p.5). Here we can see the law as being repressive because the rule of law is non-existent to the extent of which the security certificate ensure that an individual is unable to access the right to a fair trial. </w:t>
      </w:r>
      <w:r w:rsidR="00916465">
        <w:rPr>
          <w:rFonts w:ascii="Times New Roman" w:hAnsi="Times New Roman" w:cs="Times New Roman"/>
        </w:rPr>
        <w:t xml:space="preserve">Its reproductive function here is </w:t>
      </w:r>
      <w:r>
        <w:rPr>
          <w:rFonts w:ascii="Times New Roman" w:hAnsi="Times New Roman" w:cs="Times New Roman"/>
        </w:rPr>
        <w:t>it creates the idea that individuals suspected of terrorism are assumed to be guilty before innocent, which contradicts the rule of law.</w:t>
      </w:r>
    </w:p>
    <w:p w14:paraId="632C0695" w14:textId="3F29AEAA" w:rsidR="009C1126" w:rsidRDefault="0074197D" w:rsidP="003A00C5">
      <w:pPr>
        <w:spacing w:line="480" w:lineRule="auto"/>
        <w:rPr>
          <w:rFonts w:ascii="Times New Roman" w:hAnsi="Times New Roman" w:cs="Times New Roman"/>
        </w:rPr>
      </w:pPr>
      <w:r>
        <w:rPr>
          <w:rFonts w:ascii="Times New Roman" w:hAnsi="Times New Roman" w:cs="Times New Roman"/>
        </w:rPr>
        <w:tab/>
        <w:t xml:space="preserve">In Pantazis &amp; Pemberton (2009), Blacks, Asians and Hindus were often mistaken for Muslims based on the color of their skin (p.649). </w:t>
      </w:r>
      <w:r w:rsidR="00916465">
        <w:rPr>
          <w:rFonts w:ascii="Times New Roman" w:hAnsi="Times New Roman" w:cs="Times New Roman"/>
        </w:rPr>
        <w:t xml:space="preserve">We can see here how the laws </w:t>
      </w:r>
      <w:r>
        <w:rPr>
          <w:rFonts w:ascii="Times New Roman" w:hAnsi="Times New Roman" w:cs="Times New Roman"/>
        </w:rPr>
        <w:t>have worked to repress those individuals that do not fit the universal subject</w:t>
      </w:r>
      <w:r w:rsidR="00916465">
        <w:rPr>
          <w:rFonts w:ascii="Times New Roman" w:hAnsi="Times New Roman" w:cs="Times New Roman"/>
        </w:rPr>
        <w:t xml:space="preserve">. At the same time the law has </w:t>
      </w:r>
      <w:r>
        <w:rPr>
          <w:rFonts w:ascii="Times New Roman" w:hAnsi="Times New Roman" w:cs="Times New Roman"/>
        </w:rPr>
        <w:t>produced the image that physic</w:t>
      </w:r>
      <w:r w:rsidR="00916465">
        <w:rPr>
          <w:rFonts w:ascii="Times New Roman" w:hAnsi="Times New Roman" w:cs="Times New Roman"/>
        </w:rPr>
        <w:t xml:space="preserve">al bearings such as colour </w:t>
      </w:r>
      <w:r>
        <w:rPr>
          <w:rFonts w:ascii="Times New Roman" w:hAnsi="Times New Roman" w:cs="Times New Roman"/>
        </w:rPr>
        <w:t>affiliate you with certain groups of people. Similarly, the Zedner (2010) article highlights that citizenship laws create a single ima</w:t>
      </w:r>
      <w:r w:rsidR="00916465">
        <w:rPr>
          <w:rFonts w:ascii="Times New Roman" w:hAnsi="Times New Roman" w:cs="Times New Roman"/>
        </w:rPr>
        <w:t>ge of an individual</w:t>
      </w:r>
      <w:r>
        <w:rPr>
          <w:rFonts w:ascii="Times New Roman" w:hAnsi="Times New Roman" w:cs="Times New Roman"/>
        </w:rPr>
        <w:t xml:space="preserve"> that is inherently more deserving of being considered a citizen. This can be seen as the productive element of the law as it creates images of an irregular citizen that does not fit the universal subject under the law on the basis of their margina</w:t>
      </w:r>
      <w:r w:rsidR="00916465">
        <w:rPr>
          <w:rFonts w:ascii="Times New Roman" w:hAnsi="Times New Roman" w:cs="Times New Roman"/>
        </w:rPr>
        <w:t>lized status.</w:t>
      </w:r>
    </w:p>
    <w:p w14:paraId="2B057179" w14:textId="77777777" w:rsidR="009C1126" w:rsidRPr="00EA0024" w:rsidRDefault="002678E3" w:rsidP="003A00C5">
      <w:pPr>
        <w:spacing w:line="480" w:lineRule="auto"/>
        <w:rPr>
          <w:rFonts w:ascii="Times New Roman" w:hAnsi="Times New Roman" w:cs="Times New Roman"/>
          <w:i/>
        </w:rPr>
      </w:pPr>
      <w:r w:rsidRPr="00EA0024">
        <w:rPr>
          <w:rFonts w:ascii="Times New Roman" w:hAnsi="Times New Roman" w:cs="Times New Roman"/>
          <w:i/>
        </w:rPr>
        <w:t>Conclusion - Law-Society R</w:t>
      </w:r>
      <w:r w:rsidR="009C1126" w:rsidRPr="00EA0024">
        <w:rPr>
          <w:rFonts w:ascii="Times New Roman" w:hAnsi="Times New Roman" w:cs="Times New Roman"/>
          <w:i/>
        </w:rPr>
        <w:t xml:space="preserve">elationship </w:t>
      </w:r>
    </w:p>
    <w:p w14:paraId="0ADF05A7" w14:textId="77C7074E" w:rsidR="009C1126" w:rsidRDefault="009C1126" w:rsidP="003A00C5">
      <w:pPr>
        <w:spacing w:line="480" w:lineRule="auto"/>
        <w:ind w:firstLine="720"/>
        <w:rPr>
          <w:rFonts w:ascii="Times New Roman" w:hAnsi="Times New Roman" w:cs="Times New Roman"/>
        </w:rPr>
      </w:pPr>
      <w:r>
        <w:rPr>
          <w:rFonts w:ascii="Times New Roman" w:hAnsi="Times New Roman" w:cs="Times New Roman"/>
        </w:rPr>
        <w:t xml:space="preserve">Why is this approach significant in understanding the law society relationship? To answer this question we can look at it in terms of using the case study as an example to elaborate on its significance. First we can pose the question: what does it mean to say that laws surrounding terrorism have a distinctly social basis? After analyzing the articles we can see this in its failure to be objective, neutral and impartial, applying equally to all etc…. There is a distinct method to law in which is supposed to claim ‘truth’ but it goes through a societal process. Laws are not static, meaning they are always changing in relation to society. More specifically, changes in terrorism laws reflect broader ideological changes as such as those discussed throughout the paper. </w:t>
      </w:r>
    </w:p>
    <w:p w14:paraId="28E89137" w14:textId="6A1C070B" w:rsidR="009C1126" w:rsidRPr="009C1126" w:rsidRDefault="009C1126" w:rsidP="003A00C5">
      <w:pPr>
        <w:spacing w:line="480" w:lineRule="auto"/>
        <w:rPr>
          <w:rFonts w:ascii="Times New Roman" w:hAnsi="Times New Roman" w:cs="Times New Roman"/>
        </w:rPr>
      </w:pPr>
      <w:r>
        <w:rPr>
          <w:rFonts w:ascii="Times New Roman" w:hAnsi="Times New Roman" w:cs="Times New Roman"/>
        </w:rPr>
        <w:tab/>
        <w:t xml:space="preserve">Throughout this paper we have seen how laws can be repressive and production simultaneously however are manifested in society. We saw how moral/beliefs are produced through law to benefit and reproduce social order. As Hunt </w:t>
      </w:r>
      <w:r w:rsidR="000705BB">
        <w:rPr>
          <w:rFonts w:ascii="Times New Roman" w:hAnsi="Times New Roman" w:cs="Times New Roman"/>
        </w:rPr>
        <w:t>(1993) would explain this is do</w:t>
      </w:r>
      <w:r>
        <w:rPr>
          <w:rFonts w:ascii="Times New Roman" w:hAnsi="Times New Roman" w:cs="Times New Roman"/>
        </w:rPr>
        <w:t>n</w:t>
      </w:r>
      <w:r w:rsidR="000705BB">
        <w:rPr>
          <w:rFonts w:ascii="Times New Roman" w:hAnsi="Times New Roman" w:cs="Times New Roman"/>
        </w:rPr>
        <w:t>e</w:t>
      </w:r>
      <w:r>
        <w:rPr>
          <w:rFonts w:ascii="Times New Roman" w:hAnsi="Times New Roman" w:cs="Times New Roman"/>
        </w:rPr>
        <w:t xml:space="preserve"> through </w:t>
      </w:r>
      <w:r w:rsidR="000705BB">
        <w:rPr>
          <w:rFonts w:ascii="Times New Roman" w:hAnsi="Times New Roman" w:cs="Times New Roman"/>
        </w:rPr>
        <w:t>law as</w:t>
      </w:r>
      <w:r w:rsidR="00916465">
        <w:rPr>
          <w:rFonts w:ascii="Times New Roman" w:hAnsi="Times New Roman" w:cs="Times New Roman"/>
        </w:rPr>
        <w:t xml:space="preserve"> a means of domination (p.49) and as</w:t>
      </w:r>
      <w:r w:rsidR="000705BB">
        <w:rPr>
          <w:rFonts w:ascii="Times New Roman" w:hAnsi="Times New Roman" w:cs="Times New Roman"/>
        </w:rPr>
        <w:t xml:space="preserve"> we explored domination can be carried out through restrictive measures but is produced and reproduced in society. This leaves us to understand that the relationship between law and society work simultaneously but anonymously much like how the restrictive and productive functions of law work. </w:t>
      </w:r>
    </w:p>
    <w:p w14:paraId="7D17B1A2" w14:textId="77777777" w:rsidR="009C1126" w:rsidRPr="009C1126" w:rsidRDefault="009C1126" w:rsidP="003A00C5">
      <w:pPr>
        <w:spacing w:line="480" w:lineRule="auto"/>
        <w:rPr>
          <w:rFonts w:ascii="Times New Roman" w:hAnsi="Times New Roman" w:cs="Times New Roman"/>
          <w:b/>
        </w:rPr>
      </w:pPr>
    </w:p>
    <w:p w14:paraId="11069F12" w14:textId="77777777" w:rsidR="0074197D" w:rsidRPr="0074197D" w:rsidRDefault="0074197D" w:rsidP="003A00C5">
      <w:pPr>
        <w:spacing w:line="480" w:lineRule="auto"/>
        <w:rPr>
          <w:rFonts w:ascii="Times New Roman" w:hAnsi="Times New Roman" w:cs="Times New Roman"/>
        </w:rPr>
      </w:pPr>
    </w:p>
    <w:p w14:paraId="46113BE6" w14:textId="77777777" w:rsidR="00283848" w:rsidRDefault="00283848" w:rsidP="003A00C5">
      <w:pPr>
        <w:spacing w:line="480" w:lineRule="auto"/>
        <w:rPr>
          <w:rFonts w:ascii="Times New Roman" w:hAnsi="Times New Roman" w:cs="Times New Roman"/>
        </w:rPr>
      </w:pPr>
    </w:p>
    <w:p w14:paraId="6E6EFF6E" w14:textId="77777777" w:rsidR="00BE1C54" w:rsidRDefault="00BE1C54" w:rsidP="003A00C5">
      <w:pPr>
        <w:spacing w:line="480" w:lineRule="auto"/>
        <w:rPr>
          <w:rFonts w:ascii="Times New Roman" w:hAnsi="Times New Roman" w:cs="Times New Roman"/>
        </w:rPr>
      </w:pPr>
    </w:p>
    <w:p w14:paraId="334A04DD" w14:textId="77777777" w:rsidR="00BE1C54" w:rsidRDefault="00BE1C54" w:rsidP="003A00C5">
      <w:pPr>
        <w:spacing w:line="480" w:lineRule="auto"/>
        <w:rPr>
          <w:rFonts w:ascii="Times New Roman" w:hAnsi="Times New Roman" w:cs="Times New Roman"/>
        </w:rPr>
      </w:pPr>
    </w:p>
    <w:p w14:paraId="39A96D53" w14:textId="77777777" w:rsidR="00BE1C54" w:rsidRDefault="00BE1C54" w:rsidP="003A00C5">
      <w:pPr>
        <w:spacing w:line="480" w:lineRule="auto"/>
        <w:rPr>
          <w:rFonts w:ascii="Times New Roman" w:hAnsi="Times New Roman" w:cs="Times New Roman"/>
        </w:rPr>
      </w:pPr>
    </w:p>
    <w:p w14:paraId="33D3D73B" w14:textId="77777777" w:rsidR="00BE1C54" w:rsidRDefault="00BE1C54" w:rsidP="003A00C5">
      <w:pPr>
        <w:spacing w:line="480" w:lineRule="auto"/>
        <w:rPr>
          <w:rFonts w:ascii="Times New Roman" w:hAnsi="Times New Roman" w:cs="Times New Roman"/>
        </w:rPr>
      </w:pPr>
    </w:p>
    <w:p w14:paraId="60F4B03F" w14:textId="77777777" w:rsidR="00BE1C54" w:rsidRDefault="00BE1C54" w:rsidP="003A00C5">
      <w:pPr>
        <w:spacing w:line="480" w:lineRule="auto"/>
        <w:rPr>
          <w:rFonts w:ascii="Times New Roman" w:hAnsi="Times New Roman" w:cs="Times New Roman"/>
        </w:rPr>
      </w:pPr>
    </w:p>
    <w:p w14:paraId="261A5B79" w14:textId="77777777" w:rsidR="00BE1C54" w:rsidRDefault="00BE1C54" w:rsidP="003A00C5">
      <w:pPr>
        <w:spacing w:line="480" w:lineRule="auto"/>
        <w:rPr>
          <w:rFonts w:ascii="Times New Roman" w:hAnsi="Times New Roman" w:cs="Times New Roman"/>
        </w:rPr>
      </w:pPr>
    </w:p>
    <w:p w14:paraId="5C33EABA" w14:textId="77777777" w:rsidR="00BE1C54" w:rsidRDefault="00BE1C54" w:rsidP="003A00C5">
      <w:pPr>
        <w:spacing w:line="480" w:lineRule="auto"/>
        <w:rPr>
          <w:rFonts w:ascii="Times New Roman" w:hAnsi="Times New Roman" w:cs="Times New Roman"/>
        </w:rPr>
      </w:pPr>
    </w:p>
    <w:p w14:paraId="4EC0BD22" w14:textId="77777777" w:rsidR="00BE1C54" w:rsidRDefault="00BE1C54" w:rsidP="003A00C5">
      <w:pPr>
        <w:spacing w:line="480" w:lineRule="auto"/>
        <w:rPr>
          <w:rFonts w:ascii="Times New Roman" w:hAnsi="Times New Roman" w:cs="Times New Roman"/>
        </w:rPr>
      </w:pPr>
    </w:p>
    <w:p w14:paraId="532499D7" w14:textId="77777777" w:rsidR="00BE1C54" w:rsidRDefault="00BE1C54" w:rsidP="003A00C5">
      <w:pPr>
        <w:spacing w:line="480" w:lineRule="auto"/>
        <w:rPr>
          <w:rFonts w:ascii="Times New Roman" w:hAnsi="Times New Roman" w:cs="Times New Roman"/>
        </w:rPr>
      </w:pPr>
    </w:p>
    <w:p w14:paraId="3E2EBACD" w14:textId="77777777" w:rsidR="00BE1C54" w:rsidRDefault="00BE1C54" w:rsidP="003A00C5">
      <w:pPr>
        <w:spacing w:line="480" w:lineRule="auto"/>
        <w:rPr>
          <w:rFonts w:ascii="Times New Roman" w:hAnsi="Times New Roman" w:cs="Times New Roman"/>
        </w:rPr>
      </w:pPr>
    </w:p>
    <w:p w14:paraId="21C12151" w14:textId="77777777" w:rsidR="00BE1C54" w:rsidRDefault="00BE1C54" w:rsidP="003A00C5">
      <w:pPr>
        <w:spacing w:line="480" w:lineRule="auto"/>
        <w:rPr>
          <w:rFonts w:ascii="Times New Roman" w:hAnsi="Times New Roman" w:cs="Times New Roman"/>
        </w:rPr>
      </w:pPr>
    </w:p>
    <w:p w14:paraId="0927E7E9" w14:textId="77777777" w:rsidR="00BE1C54" w:rsidRDefault="00BE1C54" w:rsidP="003A00C5">
      <w:pPr>
        <w:spacing w:line="480" w:lineRule="auto"/>
        <w:rPr>
          <w:rFonts w:ascii="Times New Roman" w:hAnsi="Times New Roman" w:cs="Times New Roman"/>
        </w:rPr>
      </w:pPr>
    </w:p>
    <w:p w14:paraId="225E2857" w14:textId="77777777" w:rsidR="004D31B8" w:rsidRDefault="004D31B8" w:rsidP="003A00C5">
      <w:pPr>
        <w:spacing w:line="480" w:lineRule="auto"/>
        <w:rPr>
          <w:rFonts w:ascii="Times New Roman" w:hAnsi="Times New Roman" w:cs="Times New Roman"/>
        </w:rPr>
      </w:pPr>
    </w:p>
    <w:p w14:paraId="3D1E8840" w14:textId="77777777" w:rsidR="003A00C5" w:rsidRDefault="003A00C5" w:rsidP="003A00C5">
      <w:pPr>
        <w:spacing w:line="480" w:lineRule="auto"/>
        <w:rPr>
          <w:rFonts w:ascii="Times New Roman" w:hAnsi="Times New Roman" w:cs="Times New Roman"/>
        </w:rPr>
      </w:pPr>
    </w:p>
    <w:p w14:paraId="113E49E1" w14:textId="26C88E49" w:rsidR="004D31B8" w:rsidRDefault="004D31B8" w:rsidP="003A00C5">
      <w:pPr>
        <w:spacing w:line="480" w:lineRule="auto"/>
        <w:rPr>
          <w:rFonts w:ascii="Times New Roman" w:hAnsi="Times New Roman" w:cs="Times New Roman"/>
        </w:rPr>
      </w:pPr>
      <w:r>
        <w:rPr>
          <w:rFonts w:ascii="Times New Roman" w:hAnsi="Times New Roman" w:cs="Times New Roman"/>
        </w:rPr>
        <w:t xml:space="preserve">Question 2 – </w:t>
      </w:r>
    </w:p>
    <w:p w14:paraId="64FE6752" w14:textId="575DC695" w:rsidR="00BE1C54" w:rsidRDefault="00BE1C54" w:rsidP="003A00C5">
      <w:pPr>
        <w:spacing w:line="480" w:lineRule="auto"/>
        <w:ind w:firstLine="720"/>
        <w:rPr>
          <w:rFonts w:ascii="Times New Roman" w:hAnsi="Times New Roman" w:cs="Times New Roman"/>
        </w:rPr>
      </w:pPr>
      <w:r>
        <w:rPr>
          <w:rFonts w:ascii="Times New Roman" w:hAnsi="Times New Roman" w:cs="Times New Roman"/>
        </w:rPr>
        <w:t>In the current state of af</w:t>
      </w:r>
      <w:r w:rsidR="00465525">
        <w:rPr>
          <w:rFonts w:ascii="Times New Roman" w:hAnsi="Times New Roman" w:cs="Times New Roman"/>
        </w:rPr>
        <w:t>fairs</w:t>
      </w:r>
      <w:r>
        <w:rPr>
          <w:rFonts w:ascii="Times New Roman" w:hAnsi="Times New Roman" w:cs="Times New Roman"/>
        </w:rPr>
        <w:t xml:space="preserve"> the law is seen as an instrument of social change. However, as we have seen in this course there ar</w:t>
      </w:r>
      <w:r w:rsidR="00465525">
        <w:rPr>
          <w:rFonts w:ascii="Times New Roman" w:hAnsi="Times New Roman" w:cs="Times New Roman"/>
        </w:rPr>
        <w:t>e many contradictions facing this</w:t>
      </w:r>
      <w:r>
        <w:rPr>
          <w:rFonts w:ascii="Times New Roman" w:hAnsi="Times New Roman" w:cs="Times New Roman"/>
        </w:rPr>
        <w:t xml:space="preserve"> claim </w:t>
      </w:r>
      <w:r w:rsidR="00465525">
        <w:rPr>
          <w:rFonts w:ascii="Times New Roman" w:hAnsi="Times New Roman" w:cs="Times New Roman"/>
        </w:rPr>
        <w:t xml:space="preserve">and </w:t>
      </w:r>
      <w:r>
        <w:rPr>
          <w:rFonts w:ascii="Times New Roman" w:hAnsi="Times New Roman" w:cs="Times New Roman"/>
        </w:rPr>
        <w:t>the potential of law to govern society and address social inequities. This paper seeks to demonstrate the limitation</w:t>
      </w:r>
      <w:r w:rsidR="00465525">
        <w:rPr>
          <w:rFonts w:ascii="Times New Roman" w:hAnsi="Times New Roman" w:cs="Times New Roman"/>
        </w:rPr>
        <w:t>s</w:t>
      </w:r>
      <w:r>
        <w:rPr>
          <w:rFonts w:ascii="Times New Roman" w:hAnsi="Times New Roman" w:cs="Times New Roman"/>
        </w:rPr>
        <w:t xml:space="preserve"> of law promoting social change, by deconstructing the foundational roots of law (i.e. Official Version of Law), here on after OVL, and the effects of law on Indigenous people (Comack, 2014). Followed by an analysis of Bourdieu notions of juridical field, and how law as a discipline has worked to establish itself as the dominant form of discipline requiring absolute autonomy (</w:t>
      </w:r>
      <w:r w:rsidR="000F1B75">
        <w:rPr>
          <w:rFonts w:ascii="Times New Roman" w:hAnsi="Times New Roman" w:cs="Times New Roman"/>
        </w:rPr>
        <w:t>Bourdieu</w:t>
      </w:r>
      <w:r>
        <w:rPr>
          <w:rFonts w:ascii="Times New Roman" w:hAnsi="Times New Roman" w:cs="Times New Roman"/>
        </w:rPr>
        <w:t>, 1987).  I will then discuss the various feminist perspectives of law and their stance of the utility of criminal law as a strategy for reform, while referring to sexual assault cases and social reforms in general (i.e. structural and social position inequalities) (Chunn &amp; Lacombe, 2000; Smart, 1989; Gotell 2007). Finally I</w:t>
      </w:r>
      <w:r w:rsidR="00BF73DA">
        <w:rPr>
          <w:rFonts w:ascii="Times New Roman" w:hAnsi="Times New Roman" w:cs="Times New Roman"/>
        </w:rPr>
        <w:t xml:space="preserve"> will discuss </w:t>
      </w:r>
      <w:proofErr w:type="spellStart"/>
      <w:r w:rsidR="00BF73DA">
        <w:rPr>
          <w:rFonts w:ascii="Times New Roman" w:hAnsi="Times New Roman" w:cs="Times New Roman"/>
        </w:rPr>
        <w:t>Woodiwiss’s</w:t>
      </w:r>
      <w:proofErr w:type="spellEnd"/>
      <w:r w:rsidR="00BF73DA">
        <w:rPr>
          <w:rFonts w:ascii="Times New Roman" w:hAnsi="Times New Roman" w:cs="Times New Roman"/>
        </w:rPr>
        <w:t xml:space="preserve"> (2011)</w:t>
      </w:r>
      <w:r w:rsidR="004D31B8">
        <w:rPr>
          <w:rFonts w:ascii="Times New Roman" w:hAnsi="Times New Roman" w:cs="Times New Roman"/>
        </w:rPr>
        <w:t xml:space="preserve"> </w:t>
      </w:r>
      <w:r w:rsidR="00BF73DA">
        <w:rPr>
          <w:rFonts w:ascii="Times New Roman" w:hAnsi="Times New Roman" w:cs="Times New Roman"/>
        </w:rPr>
        <w:t>notion of human rights and his ideology of the limitations of law in addressing social inequalities if the social and legal are kept are separate entities.</w:t>
      </w:r>
    </w:p>
    <w:p w14:paraId="0ECE947A" w14:textId="0ADB1151" w:rsidR="00BE1C54" w:rsidRDefault="00BE1C54" w:rsidP="003A00C5">
      <w:pPr>
        <w:spacing w:line="480" w:lineRule="auto"/>
        <w:ind w:firstLine="720"/>
        <w:rPr>
          <w:rFonts w:ascii="Times New Roman" w:hAnsi="Times New Roman" w:cs="Times New Roman"/>
        </w:rPr>
      </w:pPr>
      <w:r>
        <w:rPr>
          <w:rFonts w:ascii="Times New Roman" w:hAnsi="Times New Roman" w:cs="Times New Roman"/>
        </w:rPr>
        <w:t xml:space="preserve">As we have seen in Comack (2014), the OVL has an adoptive nature of seeing itself as objective, neutral and impartial through legal positivism (p.12). In order to do so, the law promotes the doctrine of rule of law, under which a universal subject is bound (p.13-14).  Taken this into account Comack (2014) argues against law’s ability to address social inequalities as “…the law’s view of itself is not valueless but rather derives from particular philosophical ideas about human nature and conceptions of society…” (p.15). Here she suggests that the OVL’s claims is contradictory and should be examined with scepticism, as it does not take into account the many ways in which discrimination through class, race and gender is generated. Through the discussion of “Traditional Approaches in the Sociology of Law”, we see how the different theoretical approaches either view law (OVL) as important or less important (p.15- 42). Using Aboriginal oppression Comack is able to highlight how the theoretical approaches to law are not “…entirely sufficient in theorizing the connections between racialized groups and the law” (p.49). Regardless if these approaches centralized or de-centralized law, they helped to produce racist policies and practices, failed to consider the structural forces that “…produce and reproduce racism and inequality” (p.49), and excluded certain groups such as women of color and Indigenous people from legal reform (p.50). These can all be attributed to OVL’s inability to recognize race, glass and gender and the discriminatory factors that come </w:t>
      </w:r>
      <w:r w:rsidR="00465525">
        <w:rPr>
          <w:rFonts w:ascii="Times New Roman" w:hAnsi="Times New Roman" w:cs="Times New Roman"/>
        </w:rPr>
        <w:t>along with it, d</w:t>
      </w:r>
      <w:r>
        <w:rPr>
          <w:rFonts w:ascii="Times New Roman" w:hAnsi="Times New Roman" w:cs="Times New Roman"/>
        </w:rPr>
        <w:t>ue to its image of the universal subject as being a “…able-bodied, autonomous, rational, educated, monied…” white male (p.13), and it’s goal of attempting to extract individuals from their social context. Here we can distinguish that law is</w:t>
      </w:r>
      <w:r w:rsidR="00465525">
        <w:rPr>
          <w:rFonts w:ascii="Times New Roman" w:hAnsi="Times New Roman" w:cs="Times New Roman"/>
        </w:rPr>
        <w:t xml:space="preserve"> u</w:t>
      </w:r>
      <w:r>
        <w:rPr>
          <w:rFonts w:ascii="Times New Roman" w:hAnsi="Times New Roman" w:cs="Times New Roman"/>
        </w:rPr>
        <w:t xml:space="preserve">nable to promote social change on the basis </w:t>
      </w:r>
      <w:r w:rsidR="00465525">
        <w:rPr>
          <w:rFonts w:ascii="Times New Roman" w:hAnsi="Times New Roman" w:cs="Times New Roman"/>
        </w:rPr>
        <w:t>of its reliance on its own self-</w:t>
      </w:r>
      <w:r>
        <w:rPr>
          <w:rFonts w:ascii="Times New Roman" w:hAnsi="Times New Roman" w:cs="Times New Roman"/>
        </w:rPr>
        <w:t xml:space="preserve">image (OVL) and reluctance to take into consideration the societal influences that marginalize certain individuals. </w:t>
      </w:r>
    </w:p>
    <w:p w14:paraId="2622BE13" w14:textId="2A3F4B39" w:rsidR="00BE1C54" w:rsidRDefault="00BE1C54" w:rsidP="003A00C5">
      <w:pPr>
        <w:spacing w:line="480" w:lineRule="auto"/>
        <w:ind w:firstLine="720"/>
        <w:rPr>
          <w:rFonts w:ascii="Times New Roman" w:hAnsi="Times New Roman" w:cs="Times New Roman"/>
        </w:rPr>
      </w:pPr>
      <w:r>
        <w:rPr>
          <w:rFonts w:ascii="Times New Roman" w:hAnsi="Times New Roman" w:cs="Times New Roman"/>
        </w:rPr>
        <w:t xml:space="preserve"> Feeding off the OVL, </w:t>
      </w:r>
      <w:r w:rsidR="000F1B75">
        <w:rPr>
          <w:rFonts w:ascii="Times New Roman" w:hAnsi="Times New Roman" w:cs="Times New Roman"/>
        </w:rPr>
        <w:t>Bourdieu’s</w:t>
      </w:r>
      <w:r>
        <w:rPr>
          <w:rFonts w:ascii="Times New Roman" w:hAnsi="Times New Roman" w:cs="Times New Roman"/>
        </w:rPr>
        <w:t xml:space="preserve"> juridical field concept can be comparable as an entity that sees itself as autonomous from other disciplines. We can draw from the juridical field to analyze whether or not law as a mechanism can achieve substantive social change. Bourdieu defines juridical field as “…like any social field, … organized around a body of internal protocols and assumptions… [that] we might informally term a “legal culture”” (p.806). Due to the juridical fields conception of being autonomous, </w:t>
      </w:r>
      <w:r w:rsidR="000F1B75">
        <w:rPr>
          <w:rFonts w:ascii="Times New Roman" w:hAnsi="Times New Roman" w:cs="Times New Roman"/>
        </w:rPr>
        <w:t>Bourdieu</w:t>
      </w:r>
      <w:r>
        <w:rPr>
          <w:rFonts w:ascii="Times New Roman" w:hAnsi="Times New Roman" w:cs="Times New Roman"/>
        </w:rPr>
        <w:t xml:space="preserve"> argues that there </w:t>
      </w:r>
      <w:r w:rsidR="000F1B75">
        <w:rPr>
          <w:rFonts w:ascii="Times New Roman" w:hAnsi="Times New Roman" w:cs="Times New Roman"/>
        </w:rPr>
        <w:t>is</w:t>
      </w:r>
      <w:r>
        <w:rPr>
          <w:rFonts w:ascii="Times New Roman" w:hAnsi="Times New Roman" w:cs="Times New Roman"/>
        </w:rPr>
        <w:t xml:space="preserve"> “…intense </w:t>
      </w:r>
      <w:r>
        <w:rPr>
          <w:rFonts w:ascii="Times New Roman" w:hAnsi="Times New Roman" w:cs="Times New Roman"/>
          <w:i/>
        </w:rPr>
        <w:t>resistance</w:t>
      </w:r>
      <w:r>
        <w:rPr>
          <w:rFonts w:ascii="Times New Roman" w:hAnsi="Times New Roman" w:cs="Times New Roman"/>
        </w:rPr>
        <w:t xml:space="preserve"> to the influence of competing forms of social practice or prof</w:t>
      </w:r>
      <w:r w:rsidR="00465525">
        <w:rPr>
          <w:rFonts w:ascii="Times New Roman" w:hAnsi="Times New Roman" w:cs="Times New Roman"/>
        </w:rPr>
        <w:t>essional conduct…” (p.808). The</w:t>
      </w:r>
      <w:r>
        <w:rPr>
          <w:rFonts w:ascii="Times New Roman" w:hAnsi="Times New Roman" w:cs="Times New Roman"/>
        </w:rPr>
        <w:t xml:space="preserve"> view of the law as being a sole entity, uninfluenced or rather unwilling to be influence by other “loci of social power” (p.808), is the main focus as to why social change through law becomes difficult to execute. This becomes problematic because the juridical field is able to define what is important or related to law concerns or rather creates a site of struggle in which certain interests are reproduced or valued as more authoritative depending on hierarchal structure (</w:t>
      </w:r>
      <w:r w:rsidR="000F1B75">
        <w:rPr>
          <w:rFonts w:ascii="Times New Roman" w:hAnsi="Times New Roman" w:cs="Times New Roman"/>
        </w:rPr>
        <w:t>Bourdieu</w:t>
      </w:r>
      <w:r>
        <w:rPr>
          <w:rFonts w:ascii="Times New Roman" w:hAnsi="Times New Roman" w:cs="Times New Roman"/>
        </w:rPr>
        <w:t xml:space="preserve">, 1987, p.808).  Due to power stemming from cultural and symbolic structures such as the juridical field the definition of importance becomes </w:t>
      </w:r>
      <w:r w:rsidRPr="0099605E">
        <w:rPr>
          <w:rFonts w:ascii="Times New Roman" w:hAnsi="Times New Roman" w:cs="Times New Roman"/>
          <w:i/>
        </w:rPr>
        <w:t>habitus</w:t>
      </w:r>
      <w:r>
        <w:rPr>
          <w:rFonts w:ascii="Times New Roman" w:hAnsi="Times New Roman" w:cs="Times New Roman"/>
        </w:rPr>
        <w:t xml:space="preserve"> as </w:t>
      </w:r>
      <w:r w:rsidR="000F1B75">
        <w:rPr>
          <w:rFonts w:ascii="Times New Roman" w:hAnsi="Times New Roman" w:cs="Times New Roman"/>
        </w:rPr>
        <w:t>Bourdieu</w:t>
      </w:r>
      <w:r>
        <w:rPr>
          <w:rFonts w:ascii="Times New Roman" w:hAnsi="Times New Roman" w:cs="Times New Roman"/>
        </w:rPr>
        <w:t xml:space="preserve"> terms and can lead into </w:t>
      </w:r>
      <w:r w:rsidRPr="0099605E">
        <w:rPr>
          <w:rFonts w:ascii="Times New Roman" w:hAnsi="Times New Roman" w:cs="Times New Roman"/>
          <w:i/>
        </w:rPr>
        <w:t>doxic</w:t>
      </w:r>
      <w:r>
        <w:rPr>
          <w:rFonts w:ascii="Times New Roman" w:hAnsi="Times New Roman" w:cs="Times New Roman"/>
        </w:rPr>
        <w:t xml:space="preserve"> understandings (p.807, 812). These understandings in law, is another main reason as to why addressing social inequities and promoting social change becomes difficult, on one hand you are conditioned by formalism (p. 814) to view law as an ‘absolute autonomy’, and on the other hand because of this conditioning you unconsciously accept and act according to the discipline. Therefore in effect </w:t>
      </w:r>
      <w:r w:rsidR="00465525">
        <w:rPr>
          <w:rFonts w:ascii="Times New Roman" w:hAnsi="Times New Roman" w:cs="Times New Roman"/>
        </w:rPr>
        <w:t xml:space="preserve">it </w:t>
      </w:r>
      <w:r>
        <w:rPr>
          <w:rFonts w:ascii="Times New Roman" w:hAnsi="Times New Roman" w:cs="Times New Roman"/>
        </w:rPr>
        <w:t>rejects other social practices, or even the “existence of an entire social universe” (816) and essentially eliminate</w:t>
      </w:r>
      <w:r w:rsidR="00465525">
        <w:rPr>
          <w:rFonts w:ascii="Times New Roman" w:hAnsi="Times New Roman" w:cs="Times New Roman"/>
        </w:rPr>
        <w:t>s</w:t>
      </w:r>
      <w:r>
        <w:rPr>
          <w:rFonts w:ascii="Times New Roman" w:hAnsi="Times New Roman" w:cs="Times New Roman"/>
        </w:rPr>
        <w:t xml:space="preserve"> other ways in which social issues can be solved. </w:t>
      </w:r>
    </w:p>
    <w:p w14:paraId="1DE2A9C2" w14:textId="47EB0180" w:rsidR="00BE1C54" w:rsidRDefault="00BE1C54" w:rsidP="003A00C5">
      <w:pPr>
        <w:spacing w:line="480" w:lineRule="auto"/>
        <w:ind w:firstLine="720"/>
        <w:rPr>
          <w:rFonts w:ascii="Times New Roman" w:hAnsi="Times New Roman" w:cs="Times New Roman"/>
        </w:rPr>
      </w:pPr>
      <w:r>
        <w:rPr>
          <w:rFonts w:ascii="Times New Roman" w:hAnsi="Times New Roman" w:cs="Times New Roman"/>
        </w:rPr>
        <w:t xml:space="preserve">This point of eliminating other ways in which social issues can be solved, is what the feminist perspectives of Smart (1989), Gotell (2007), and Chunn &amp; Lacombe (2000) argue in their articles. They do not completely ignore the fact that law can be an instrument to social change; however argue that it does have its limitations and stress for an importance of de-centralization. For Smart (1989), Women’s Law could provide “…a useful model in which indicates how the power of formal law can be decentred” (p.25). However she also maintains that feminist scholarship should not stop challenging law - in the terms of its narrowness of legal method - to define itself in terms of women’s interests (p.25). Gotell (2007) makes much of the same argument but towards the topic of sexual assault, maintaining that law reforms around this issue have the progressive tendency to intensify social control (p.132), reproduce heteronormative roles (p.134), and create gendering strategies (p.143). However she does not ignore the advancements enabled through law as she claims “…what feminists achieved in rewriting sexual assault laws was complex, inserting gendered and contextualized understandings = of sexual assault into criminal legal framework…” (p.133).  Chunn &amp; Lacombe (2000) present the differing views of liberal and radical feminists and their approach on reform through legal scholarship. What it is important to note here is that they do not dismiss the law as not being able to promote social change (something that radical feminists would argue for due to law being a weapon of male design), but rather outline some advances (i.e. political and structural reforms (p.4)) and solutions such as ‘result-equality’/’integrative feminist’ </w:t>
      </w:r>
      <w:r w:rsidR="00347A0B">
        <w:rPr>
          <w:rFonts w:ascii="Times New Roman" w:hAnsi="Times New Roman" w:cs="Times New Roman"/>
        </w:rPr>
        <w:t xml:space="preserve">strategies </w:t>
      </w:r>
      <w:r>
        <w:rPr>
          <w:rFonts w:ascii="Times New Roman" w:hAnsi="Times New Roman" w:cs="Times New Roman"/>
        </w:rPr>
        <w:t xml:space="preserve">demonstrated through the Women’s Legal Education and Action Fund (LEAF) (p.8). </w:t>
      </w:r>
    </w:p>
    <w:p w14:paraId="158B5C4D" w14:textId="4F3896E4" w:rsidR="00BF73DA" w:rsidRDefault="00BF73DA" w:rsidP="003A00C5">
      <w:pPr>
        <w:spacing w:line="480" w:lineRule="auto"/>
        <w:ind w:firstLine="720"/>
        <w:rPr>
          <w:rFonts w:ascii="Times New Roman" w:hAnsi="Times New Roman" w:cs="Times New Roman"/>
        </w:rPr>
      </w:pPr>
      <w:r>
        <w:rPr>
          <w:rFonts w:ascii="Times New Roman" w:hAnsi="Times New Roman" w:cs="Times New Roman"/>
        </w:rPr>
        <w:t xml:space="preserve">Ultimately, </w:t>
      </w:r>
      <w:proofErr w:type="spellStart"/>
      <w:r>
        <w:rPr>
          <w:rFonts w:ascii="Times New Roman" w:hAnsi="Times New Roman" w:cs="Times New Roman"/>
        </w:rPr>
        <w:t>Woodiwiss’s</w:t>
      </w:r>
      <w:proofErr w:type="spellEnd"/>
      <w:r>
        <w:rPr>
          <w:rFonts w:ascii="Times New Roman" w:hAnsi="Times New Roman" w:cs="Times New Roman"/>
        </w:rPr>
        <w:t xml:space="preserve"> (2011) article can contribute to a better understanding of the limitations in regarding the law and society as separate entities and hence its boundaries on promoting social change. Through a critique of his past work </w:t>
      </w:r>
      <w:proofErr w:type="spellStart"/>
      <w:r>
        <w:rPr>
          <w:rFonts w:ascii="Times New Roman" w:hAnsi="Times New Roman" w:cs="Times New Roman"/>
        </w:rPr>
        <w:t>Woodiwiss</w:t>
      </w:r>
      <w:proofErr w:type="spellEnd"/>
      <w:r>
        <w:rPr>
          <w:rFonts w:ascii="Times New Roman" w:hAnsi="Times New Roman" w:cs="Times New Roman"/>
        </w:rPr>
        <w:t xml:space="preserve"> tries to improve on his human rights an</w:t>
      </w:r>
      <w:r w:rsidR="008805FF">
        <w:rPr>
          <w:rFonts w:ascii="Times New Roman" w:hAnsi="Times New Roman" w:cs="Times New Roman"/>
        </w:rPr>
        <w:t>alysis</w:t>
      </w:r>
      <w:r>
        <w:rPr>
          <w:rFonts w:ascii="Times New Roman" w:hAnsi="Times New Roman" w:cs="Times New Roman"/>
        </w:rPr>
        <w:t xml:space="preserve"> by responding to arguments made by </w:t>
      </w:r>
      <w:proofErr w:type="spellStart"/>
      <w:r>
        <w:rPr>
          <w:rFonts w:ascii="Times New Roman" w:hAnsi="Times New Roman" w:cs="Times New Roman"/>
        </w:rPr>
        <w:t>Valverde</w:t>
      </w:r>
      <w:proofErr w:type="spellEnd"/>
      <w:r>
        <w:rPr>
          <w:rFonts w:ascii="Times New Roman" w:hAnsi="Times New Roman" w:cs="Times New Roman"/>
        </w:rPr>
        <w:t xml:space="preserve"> (p.119-123). He concurs “…that sociology should be as concerned with the causes of abuse as with the legal and other responses to abuse” (p.117). In an attempt to bridge together sociology and law he understands that a critical analysis of law can be conducted however should do so in accordance with the social (p.119). </w:t>
      </w:r>
      <w:r w:rsidR="008805FF">
        <w:rPr>
          <w:rFonts w:ascii="Times New Roman" w:hAnsi="Times New Roman" w:cs="Times New Roman"/>
        </w:rPr>
        <w:t xml:space="preserve">His definition of a right as a socially accorded commodity </w:t>
      </w:r>
      <w:r w:rsidR="00673B63">
        <w:rPr>
          <w:rFonts w:ascii="Times New Roman" w:hAnsi="Times New Roman" w:cs="Times New Roman"/>
        </w:rPr>
        <w:t>or:</w:t>
      </w:r>
      <w:r w:rsidR="008805FF">
        <w:rPr>
          <w:rFonts w:ascii="Times New Roman" w:hAnsi="Times New Roman" w:cs="Times New Roman"/>
        </w:rPr>
        <w:t xml:space="preserve"> “ …a discursive entity that can take the form of either a liberty, a claim, a power or an immunity and whose attachment or otherwise to individuals is socially determined” (p.131) make it possible to understand how the law and the social are interrelated. This understanding contributes to our conception of the law-society relationship. In terms of understanding his position of law being able to promote or address social issues, </w:t>
      </w:r>
      <w:proofErr w:type="spellStart"/>
      <w:r w:rsidR="008805FF">
        <w:rPr>
          <w:rFonts w:ascii="Times New Roman" w:hAnsi="Times New Roman" w:cs="Times New Roman"/>
        </w:rPr>
        <w:t>Woodiwiss</w:t>
      </w:r>
      <w:proofErr w:type="spellEnd"/>
      <w:r w:rsidR="008805FF">
        <w:rPr>
          <w:rFonts w:ascii="Times New Roman" w:hAnsi="Times New Roman" w:cs="Times New Roman"/>
        </w:rPr>
        <w:t xml:space="preserve"> does not completely ignore its ability to do so however notes that law is a </w:t>
      </w:r>
      <w:r w:rsidR="00673B63">
        <w:rPr>
          <w:rFonts w:ascii="Times New Roman" w:hAnsi="Times New Roman" w:cs="Times New Roman"/>
        </w:rPr>
        <w:t>‘</w:t>
      </w:r>
      <w:r w:rsidR="008805FF">
        <w:rPr>
          <w:rFonts w:ascii="Times New Roman" w:hAnsi="Times New Roman" w:cs="Times New Roman"/>
        </w:rPr>
        <w:t>s</w:t>
      </w:r>
      <w:r w:rsidR="00673B63">
        <w:rPr>
          <w:rFonts w:ascii="Times New Roman" w:hAnsi="Times New Roman" w:cs="Times New Roman"/>
        </w:rPr>
        <w:t xml:space="preserve">econdary force in human affairs’ and is only able to address issues if it is ‘social desired’ (p.130). In sum, it can be extracted from the </w:t>
      </w:r>
      <w:proofErr w:type="spellStart"/>
      <w:r w:rsidR="00673B63">
        <w:rPr>
          <w:rFonts w:ascii="Times New Roman" w:hAnsi="Times New Roman" w:cs="Times New Roman"/>
        </w:rPr>
        <w:t>Woodiwiss</w:t>
      </w:r>
      <w:proofErr w:type="spellEnd"/>
      <w:r w:rsidR="00673B63">
        <w:rPr>
          <w:rFonts w:ascii="Times New Roman" w:hAnsi="Times New Roman" w:cs="Times New Roman"/>
        </w:rPr>
        <w:t xml:space="preserve"> article that </w:t>
      </w:r>
      <w:r w:rsidR="004D31B8">
        <w:rPr>
          <w:rFonts w:ascii="Times New Roman" w:hAnsi="Times New Roman" w:cs="Times New Roman"/>
        </w:rPr>
        <w:t>he does not completely ignore law’s ability to promote or address social issues, however it is limited in doing so if the law is not regarded in sociological terms, specifically for him in relation to human rights and abuses. For him, in incorporating such an approach we can see how the social can add value to law by “…look[</w:t>
      </w:r>
      <w:proofErr w:type="spellStart"/>
      <w:r w:rsidR="004D31B8">
        <w:rPr>
          <w:rFonts w:ascii="Times New Roman" w:hAnsi="Times New Roman" w:cs="Times New Roman"/>
        </w:rPr>
        <w:t>ing</w:t>
      </w:r>
      <w:proofErr w:type="spellEnd"/>
      <w:r w:rsidR="004D31B8">
        <w:rPr>
          <w:rFonts w:ascii="Times New Roman" w:hAnsi="Times New Roman" w:cs="Times New Roman"/>
        </w:rPr>
        <w:t xml:space="preserve">] beyond the guilt of innocence of individual perpetrators of abuse” (p.117) and the same can be said or translated to other social issues that deal with law. </w:t>
      </w:r>
    </w:p>
    <w:p w14:paraId="4F98FBD3" w14:textId="77777777" w:rsidR="00A1504C" w:rsidRDefault="004D31B8" w:rsidP="00A1504C">
      <w:pPr>
        <w:spacing w:line="480" w:lineRule="auto"/>
        <w:ind w:firstLine="720"/>
        <w:rPr>
          <w:rFonts w:ascii="Times New Roman" w:hAnsi="Times New Roman" w:cs="Times New Roman"/>
        </w:rPr>
      </w:pPr>
      <w:r>
        <w:rPr>
          <w:rFonts w:ascii="Times New Roman" w:hAnsi="Times New Roman" w:cs="Times New Roman"/>
        </w:rPr>
        <w:t>Throughout this paper we have seen how the law as an instrument for social change is limited. By reviewing the OVL and its effects on Indigenous people we were able to distinguish the boundaries in which the law can only take us so far to address the multiple oppressive factors facing such individuals. The analysis of the juridical field was important in understanding how the law’s self-image as a sole discipline limited its ability to address s</w:t>
      </w:r>
      <w:r w:rsidR="003A00C5">
        <w:rPr>
          <w:rFonts w:ascii="Times New Roman" w:hAnsi="Times New Roman" w:cs="Times New Roman"/>
        </w:rPr>
        <w:t xml:space="preserve">ocial inequities. The feminist perspective </w:t>
      </w:r>
      <w:r>
        <w:rPr>
          <w:rFonts w:ascii="Times New Roman" w:hAnsi="Times New Roman" w:cs="Times New Roman"/>
        </w:rPr>
        <w:t>discussion on law a</w:t>
      </w:r>
      <w:r w:rsidR="003A00C5">
        <w:rPr>
          <w:rFonts w:ascii="Times New Roman" w:hAnsi="Times New Roman" w:cs="Times New Roman"/>
        </w:rPr>
        <w:t>s a</w:t>
      </w:r>
      <w:r>
        <w:rPr>
          <w:rFonts w:ascii="Times New Roman" w:hAnsi="Times New Roman" w:cs="Times New Roman"/>
        </w:rPr>
        <w:t xml:space="preserve"> strategy </w:t>
      </w:r>
      <w:r w:rsidR="003A00C5">
        <w:rPr>
          <w:rFonts w:ascii="Times New Roman" w:hAnsi="Times New Roman" w:cs="Times New Roman"/>
        </w:rPr>
        <w:t xml:space="preserve">for </w:t>
      </w:r>
      <w:r>
        <w:rPr>
          <w:rFonts w:ascii="Times New Roman" w:hAnsi="Times New Roman" w:cs="Times New Roman"/>
        </w:rPr>
        <w:t xml:space="preserve">reform </w:t>
      </w:r>
      <w:r w:rsidR="003A00C5">
        <w:rPr>
          <w:rFonts w:ascii="Times New Roman" w:hAnsi="Times New Roman" w:cs="Times New Roman"/>
        </w:rPr>
        <w:t xml:space="preserve">helped to illuminate how the law is limiting but can also be a potential instrument. Finally through </w:t>
      </w:r>
      <w:proofErr w:type="spellStart"/>
      <w:r w:rsidR="003A00C5">
        <w:rPr>
          <w:rFonts w:ascii="Times New Roman" w:hAnsi="Times New Roman" w:cs="Times New Roman"/>
        </w:rPr>
        <w:t>Woodiwiss</w:t>
      </w:r>
      <w:proofErr w:type="spellEnd"/>
      <w:r w:rsidR="003A00C5">
        <w:rPr>
          <w:rFonts w:ascii="Times New Roman" w:hAnsi="Times New Roman" w:cs="Times New Roman"/>
        </w:rPr>
        <w:t xml:space="preserve"> (2011), we saw how bridging together the law and the social can enrich the potential for addressing social inequities and therefore proving a significant framework for social change. </w:t>
      </w:r>
    </w:p>
    <w:p w14:paraId="2080DC44" w14:textId="77777777" w:rsidR="00A1504C" w:rsidRDefault="003A00C5" w:rsidP="00A1504C">
      <w:pPr>
        <w:spacing w:line="480" w:lineRule="auto"/>
        <w:jc w:val="center"/>
        <w:rPr>
          <w:rFonts w:ascii="Times New Roman" w:hAnsi="Times New Roman" w:cs="Times New Roman"/>
        </w:rPr>
      </w:pPr>
      <w:r>
        <w:rPr>
          <w:rFonts w:ascii="Times New Roman" w:hAnsi="Times New Roman" w:cs="Times New Roman"/>
        </w:rPr>
        <w:t>References</w:t>
      </w:r>
    </w:p>
    <w:p w14:paraId="37AED0C0" w14:textId="63F2B38D" w:rsidR="00A1504C" w:rsidRPr="00AE7BC9" w:rsidRDefault="00A1504C" w:rsidP="00AE7BC9">
      <w:pPr>
        <w:widowControl w:val="0"/>
        <w:tabs>
          <w:tab w:val="left" w:pos="220"/>
          <w:tab w:val="left" w:pos="720"/>
        </w:tabs>
        <w:autoSpaceDE w:val="0"/>
        <w:autoSpaceDN w:val="0"/>
        <w:adjustRightInd w:val="0"/>
        <w:spacing w:after="320" w:line="480" w:lineRule="auto"/>
        <w:rPr>
          <w:rFonts w:ascii="Times New Roman" w:hAnsi="Times New Roman" w:cs="Times New Roman"/>
          <w:color w:val="000000"/>
          <w:lang w:val="en-US"/>
        </w:rPr>
      </w:pPr>
      <w:r w:rsidRPr="00AE7BC9">
        <w:rPr>
          <w:rFonts w:ascii="Times New Roman" w:hAnsi="Times New Roman" w:cs="Times New Roman"/>
          <w:color w:val="000000"/>
          <w:lang w:val="en-US"/>
        </w:rPr>
        <w:t xml:space="preserve">Bourdieu, P. (1987) “Translator’s Introduction” </w:t>
      </w:r>
      <w:r w:rsidR="00AE7BC9">
        <w:rPr>
          <w:rFonts w:ascii="Times New Roman" w:hAnsi="Times New Roman" w:cs="Times New Roman"/>
          <w:color w:val="000000"/>
          <w:lang w:val="en-US"/>
        </w:rPr>
        <w:t>and “The Force of Law: Toward a</w:t>
      </w:r>
      <w:r w:rsidR="00AE7BC9">
        <w:rPr>
          <w:rFonts w:ascii="Times New Roman" w:hAnsi="Times New Roman" w:cs="Times New Roman"/>
          <w:color w:val="000000"/>
          <w:lang w:val="en-US"/>
        </w:rPr>
        <w:tab/>
      </w:r>
      <w:r w:rsidRPr="00AE7BC9">
        <w:rPr>
          <w:rFonts w:ascii="Times New Roman" w:hAnsi="Times New Roman" w:cs="Times New Roman"/>
          <w:color w:val="000000"/>
          <w:lang w:val="en-US"/>
        </w:rPr>
        <w:t>Sociology of the Juridical Field.” Hastings Law Journal 38(50): 805-853.  </w:t>
      </w:r>
    </w:p>
    <w:p w14:paraId="3F56B66E" w14:textId="2E017ADA" w:rsidR="00A1504C" w:rsidRPr="00AE7BC9" w:rsidRDefault="00A1504C" w:rsidP="00AE7BC9">
      <w:pPr>
        <w:widowControl w:val="0"/>
        <w:tabs>
          <w:tab w:val="left" w:pos="220"/>
          <w:tab w:val="left" w:pos="720"/>
        </w:tabs>
        <w:autoSpaceDE w:val="0"/>
        <w:autoSpaceDN w:val="0"/>
        <w:adjustRightInd w:val="0"/>
        <w:spacing w:after="320" w:line="480" w:lineRule="auto"/>
        <w:rPr>
          <w:rFonts w:ascii="Times New Roman" w:hAnsi="Times New Roman" w:cs="Times New Roman"/>
          <w:color w:val="000000"/>
          <w:lang w:val="en-US"/>
        </w:rPr>
      </w:pPr>
      <w:proofErr w:type="spellStart"/>
      <w:proofErr w:type="gramStart"/>
      <w:r w:rsidRPr="00AE7BC9">
        <w:rPr>
          <w:rFonts w:ascii="Times New Roman" w:hAnsi="Times New Roman" w:cs="Times New Roman"/>
          <w:color w:val="000000"/>
          <w:lang w:val="en-US"/>
        </w:rPr>
        <w:t>Chunn</w:t>
      </w:r>
      <w:proofErr w:type="spellEnd"/>
      <w:r w:rsidRPr="00AE7BC9">
        <w:rPr>
          <w:rFonts w:ascii="Times New Roman" w:hAnsi="Times New Roman" w:cs="Times New Roman"/>
          <w:color w:val="000000"/>
          <w:lang w:val="en-US"/>
        </w:rPr>
        <w:t>, D. and D. Lacombe (</w:t>
      </w:r>
      <w:proofErr w:type="spellStart"/>
      <w:r w:rsidRPr="00AE7BC9">
        <w:rPr>
          <w:rFonts w:ascii="Times New Roman" w:hAnsi="Times New Roman" w:cs="Times New Roman"/>
          <w:color w:val="000000"/>
          <w:lang w:val="en-US"/>
        </w:rPr>
        <w:t>eds</w:t>
      </w:r>
      <w:proofErr w:type="spellEnd"/>
      <w:r w:rsidRPr="00AE7BC9">
        <w:rPr>
          <w:rFonts w:ascii="Times New Roman" w:hAnsi="Times New Roman" w:cs="Times New Roman"/>
          <w:color w:val="000000"/>
          <w:lang w:val="en-US"/>
        </w:rPr>
        <w:t>) (2000) “Introductio</w:t>
      </w:r>
      <w:r w:rsidR="00AE7BC9">
        <w:rPr>
          <w:rFonts w:ascii="Times New Roman" w:hAnsi="Times New Roman" w:cs="Times New Roman"/>
          <w:color w:val="000000"/>
          <w:lang w:val="en-US"/>
        </w:rPr>
        <w:t>n” (Chapter 1, pp.2-18).</w:t>
      </w:r>
      <w:proofErr w:type="gramEnd"/>
      <w:r w:rsidR="00AE7BC9">
        <w:rPr>
          <w:rFonts w:ascii="Times New Roman" w:hAnsi="Times New Roman" w:cs="Times New Roman"/>
          <w:color w:val="000000"/>
          <w:lang w:val="en-US"/>
        </w:rPr>
        <w:t xml:space="preserve"> In, D.</w:t>
      </w:r>
      <w:r w:rsidR="00AE7BC9">
        <w:rPr>
          <w:rFonts w:ascii="Times New Roman" w:hAnsi="Times New Roman" w:cs="Times New Roman"/>
          <w:color w:val="000000"/>
          <w:lang w:val="en-US"/>
        </w:rPr>
        <w:tab/>
      </w:r>
      <w:proofErr w:type="spellStart"/>
      <w:r w:rsidRPr="00AE7BC9">
        <w:rPr>
          <w:rFonts w:ascii="Times New Roman" w:hAnsi="Times New Roman" w:cs="Times New Roman"/>
          <w:color w:val="000000"/>
          <w:lang w:val="en-US"/>
        </w:rPr>
        <w:t>Chunn</w:t>
      </w:r>
      <w:proofErr w:type="spellEnd"/>
      <w:r w:rsidRPr="00AE7BC9">
        <w:rPr>
          <w:rFonts w:ascii="Times New Roman" w:hAnsi="Times New Roman" w:cs="Times New Roman"/>
          <w:color w:val="000000"/>
          <w:lang w:val="en-US"/>
        </w:rPr>
        <w:t xml:space="preserve"> and D. Lacombe (eds.), Law as a Gendering Practice. </w:t>
      </w:r>
      <w:proofErr w:type="gramStart"/>
      <w:r w:rsidRPr="00AE7BC9">
        <w:rPr>
          <w:rFonts w:ascii="Times New Roman" w:hAnsi="Times New Roman" w:cs="Times New Roman"/>
          <w:color w:val="000000"/>
          <w:lang w:val="en-US"/>
        </w:rPr>
        <w:t>Oxford University Press</w:t>
      </w:r>
      <w:r w:rsidR="00AE7BC9">
        <w:rPr>
          <w:rFonts w:ascii="Times New Roman" w:hAnsi="Times New Roman" w:cs="Times New Roman"/>
          <w:color w:val="000000"/>
          <w:lang w:val="en-US"/>
        </w:rPr>
        <w:t>.</w:t>
      </w:r>
      <w:proofErr w:type="gramEnd"/>
      <w:r w:rsidRPr="00AE7BC9">
        <w:rPr>
          <w:rFonts w:ascii="Times New Roman" w:hAnsi="Times New Roman" w:cs="Times New Roman"/>
          <w:color w:val="000000"/>
          <w:lang w:val="en-US"/>
        </w:rPr>
        <w:t xml:space="preserve">  </w:t>
      </w:r>
    </w:p>
    <w:p w14:paraId="1A58599B" w14:textId="3B987784" w:rsidR="00A1504C" w:rsidRPr="00AE7BC9" w:rsidRDefault="00A1504C" w:rsidP="00AE7BC9">
      <w:pPr>
        <w:widowControl w:val="0"/>
        <w:tabs>
          <w:tab w:val="left" w:pos="220"/>
          <w:tab w:val="left" w:pos="720"/>
        </w:tabs>
        <w:autoSpaceDE w:val="0"/>
        <w:autoSpaceDN w:val="0"/>
        <w:adjustRightInd w:val="0"/>
        <w:spacing w:after="320" w:line="480" w:lineRule="auto"/>
        <w:rPr>
          <w:rFonts w:ascii="Times New Roman" w:hAnsi="Times New Roman" w:cs="Times New Roman"/>
          <w:color w:val="000000"/>
          <w:lang w:val="en-US"/>
        </w:rPr>
      </w:pPr>
      <w:proofErr w:type="gramStart"/>
      <w:r w:rsidRPr="00AE7BC9">
        <w:rPr>
          <w:rFonts w:ascii="Times New Roman" w:hAnsi="Times New Roman" w:cs="Times New Roman"/>
          <w:color w:val="000000"/>
          <w:lang w:val="en-US"/>
        </w:rPr>
        <w:t> </w:t>
      </w:r>
      <w:proofErr w:type="spellStart"/>
      <w:r w:rsidRPr="00AE7BC9">
        <w:rPr>
          <w:rFonts w:ascii="Times New Roman" w:hAnsi="Times New Roman" w:cs="Times New Roman"/>
          <w:color w:val="000000"/>
          <w:lang w:val="en-US"/>
        </w:rPr>
        <w:t>Comack</w:t>
      </w:r>
      <w:proofErr w:type="spellEnd"/>
      <w:r w:rsidRPr="00AE7BC9">
        <w:rPr>
          <w:rFonts w:ascii="Times New Roman" w:hAnsi="Times New Roman" w:cs="Times New Roman"/>
          <w:color w:val="000000"/>
          <w:lang w:val="en-US"/>
        </w:rPr>
        <w:t>, E. (2014) “Introduction” and “Theoretical</w:t>
      </w:r>
      <w:r w:rsidR="00AE7BC9">
        <w:rPr>
          <w:rFonts w:ascii="Times New Roman" w:hAnsi="Times New Roman" w:cs="Times New Roman"/>
          <w:color w:val="000000"/>
          <w:lang w:val="en-US"/>
        </w:rPr>
        <w:t xml:space="preserve"> Approaches in the Sociology of</w:t>
      </w:r>
      <w:r w:rsidR="00AE7BC9">
        <w:rPr>
          <w:rFonts w:ascii="Times New Roman" w:hAnsi="Times New Roman" w:cs="Times New Roman"/>
          <w:color w:val="000000"/>
          <w:lang w:val="en-US"/>
        </w:rPr>
        <w:tab/>
      </w:r>
      <w:r w:rsidRPr="00AE7BC9">
        <w:rPr>
          <w:rFonts w:ascii="Times New Roman" w:hAnsi="Times New Roman" w:cs="Times New Roman"/>
          <w:color w:val="000000"/>
          <w:lang w:val="en-US"/>
        </w:rPr>
        <w:t>Law,” (pp.1-62).</w:t>
      </w:r>
      <w:proofErr w:type="gramEnd"/>
      <w:r w:rsidRPr="00AE7BC9">
        <w:rPr>
          <w:rFonts w:ascii="Times New Roman" w:hAnsi="Times New Roman" w:cs="Times New Roman"/>
          <w:color w:val="000000"/>
          <w:lang w:val="en-US"/>
        </w:rPr>
        <w:t xml:space="preserve"> In, E. </w:t>
      </w:r>
      <w:proofErr w:type="spellStart"/>
      <w:r w:rsidRPr="00AE7BC9">
        <w:rPr>
          <w:rFonts w:ascii="Times New Roman" w:hAnsi="Times New Roman" w:cs="Times New Roman"/>
          <w:color w:val="000000"/>
          <w:lang w:val="en-US"/>
        </w:rPr>
        <w:t>Comack</w:t>
      </w:r>
      <w:proofErr w:type="spellEnd"/>
      <w:r w:rsidRPr="00AE7BC9">
        <w:rPr>
          <w:rFonts w:ascii="Times New Roman" w:hAnsi="Times New Roman" w:cs="Times New Roman"/>
          <w:color w:val="000000"/>
          <w:lang w:val="en-US"/>
        </w:rPr>
        <w:t xml:space="preserve"> (ed.) Locating Law:</w:t>
      </w:r>
      <w:r w:rsidR="00AE7BC9">
        <w:rPr>
          <w:rFonts w:ascii="Times New Roman" w:hAnsi="Times New Roman" w:cs="Times New Roman"/>
          <w:color w:val="000000"/>
          <w:lang w:val="en-US"/>
        </w:rPr>
        <w:t xml:space="preserve"> Race, Class, Gender, Sexuality</w:t>
      </w:r>
      <w:r w:rsidR="00AE7BC9">
        <w:rPr>
          <w:rFonts w:ascii="Times New Roman" w:hAnsi="Times New Roman" w:cs="Times New Roman"/>
          <w:color w:val="000000"/>
          <w:lang w:val="en-US"/>
        </w:rPr>
        <w:tab/>
      </w:r>
      <w:r w:rsidRPr="00AE7BC9">
        <w:rPr>
          <w:rFonts w:ascii="Times New Roman" w:hAnsi="Times New Roman" w:cs="Times New Roman"/>
          <w:color w:val="000000"/>
          <w:lang w:val="en-US"/>
        </w:rPr>
        <w:t xml:space="preserve">Connections, </w:t>
      </w:r>
      <w:proofErr w:type="gramStart"/>
      <w:r w:rsidRPr="00AE7BC9">
        <w:rPr>
          <w:rFonts w:ascii="Times New Roman" w:hAnsi="Times New Roman" w:cs="Times New Roman"/>
          <w:color w:val="000000"/>
          <w:lang w:val="en-US"/>
        </w:rPr>
        <w:t>3</w:t>
      </w:r>
      <w:proofErr w:type="spellStart"/>
      <w:r w:rsidRPr="00AE7BC9">
        <w:rPr>
          <w:rFonts w:ascii="Times New Roman" w:hAnsi="Times New Roman" w:cs="Times New Roman"/>
          <w:color w:val="000000"/>
          <w:position w:val="13"/>
          <w:lang w:val="en-US"/>
        </w:rPr>
        <w:t>rd</w:t>
      </w:r>
      <w:proofErr w:type="spellEnd"/>
      <w:r w:rsidRPr="00AE7BC9">
        <w:rPr>
          <w:rFonts w:ascii="Times New Roman" w:hAnsi="Times New Roman" w:cs="Times New Roman"/>
          <w:color w:val="000000"/>
          <w:position w:val="13"/>
          <w:lang w:val="en-US"/>
        </w:rPr>
        <w:t xml:space="preserve"> </w:t>
      </w:r>
      <w:r w:rsidRPr="00AE7BC9">
        <w:rPr>
          <w:rFonts w:ascii="Times New Roman" w:hAnsi="Times New Roman" w:cs="Times New Roman"/>
          <w:color w:val="000000"/>
          <w:lang w:val="en-US"/>
        </w:rPr>
        <w:t>Edition</w:t>
      </w:r>
      <w:proofErr w:type="gramEnd"/>
      <w:r w:rsidRPr="00AE7BC9">
        <w:rPr>
          <w:rFonts w:ascii="Times New Roman" w:hAnsi="Times New Roman" w:cs="Times New Roman"/>
          <w:color w:val="000000"/>
          <w:lang w:val="en-US"/>
        </w:rPr>
        <w:t xml:space="preserve">. </w:t>
      </w:r>
      <w:proofErr w:type="spellStart"/>
      <w:r w:rsidRPr="00AE7BC9">
        <w:rPr>
          <w:rFonts w:ascii="Times New Roman" w:hAnsi="Times New Roman" w:cs="Times New Roman"/>
          <w:color w:val="000000"/>
          <w:lang w:val="en-US"/>
        </w:rPr>
        <w:t>Fernwood</w:t>
      </w:r>
      <w:proofErr w:type="spellEnd"/>
      <w:r w:rsidRPr="00AE7BC9">
        <w:rPr>
          <w:rFonts w:ascii="Times New Roman" w:hAnsi="Times New Roman" w:cs="Times New Roman"/>
          <w:color w:val="000000"/>
          <w:lang w:val="en-US"/>
        </w:rPr>
        <w:t xml:space="preserve"> Publishing.</w:t>
      </w:r>
    </w:p>
    <w:p w14:paraId="3CEFFE74" w14:textId="27136474" w:rsidR="00A1504C" w:rsidRPr="00AE7BC9" w:rsidRDefault="00A1504C" w:rsidP="00AE7BC9">
      <w:pPr>
        <w:widowControl w:val="0"/>
        <w:tabs>
          <w:tab w:val="left" w:pos="220"/>
          <w:tab w:val="left" w:pos="720"/>
        </w:tabs>
        <w:autoSpaceDE w:val="0"/>
        <w:autoSpaceDN w:val="0"/>
        <w:adjustRightInd w:val="0"/>
        <w:spacing w:after="320" w:line="480" w:lineRule="auto"/>
        <w:rPr>
          <w:rFonts w:ascii="Times New Roman" w:hAnsi="Times New Roman" w:cs="Times New Roman"/>
          <w:color w:val="000000"/>
          <w:lang w:val="en-US"/>
        </w:rPr>
      </w:pPr>
      <w:r w:rsidRPr="00AE7BC9">
        <w:rPr>
          <w:rFonts w:ascii="Times New Roman" w:hAnsi="Times New Roman" w:cs="Times New Roman"/>
          <w:color w:val="000000"/>
          <w:lang w:val="en-US"/>
        </w:rPr>
        <w:t>Garland, D. (1997) “‘</w:t>
      </w:r>
      <w:proofErr w:type="spellStart"/>
      <w:r w:rsidRPr="00AE7BC9">
        <w:rPr>
          <w:rFonts w:ascii="Times New Roman" w:hAnsi="Times New Roman" w:cs="Times New Roman"/>
          <w:color w:val="000000"/>
          <w:lang w:val="en-US"/>
        </w:rPr>
        <w:t>Governmentality</w:t>
      </w:r>
      <w:proofErr w:type="spellEnd"/>
      <w:r w:rsidRPr="00AE7BC9">
        <w:rPr>
          <w:rFonts w:ascii="Times New Roman" w:hAnsi="Times New Roman" w:cs="Times New Roman"/>
          <w:color w:val="000000"/>
          <w:lang w:val="en-US"/>
        </w:rPr>
        <w:t xml:space="preserve">’ and the Problem </w:t>
      </w:r>
      <w:r w:rsidR="00AE7BC9">
        <w:rPr>
          <w:rFonts w:ascii="Times New Roman" w:hAnsi="Times New Roman" w:cs="Times New Roman"/>
          <w:color w:val="000000"/>
          <w:lang w:val="en-US"/>
        </w:rPr>
        <w:t xml:space="preserve">of Crime: </w:t>
      </w:r>
      <w:proofErr w:type="spellStart"/>
      <w:r w:rsidR="00AE7BC9">
        <w:rPr>
          <w:rFonts w:ascii="Times New Roman" w:hAnsi="Times New Roman" w:cs="Times New Roman"/>
          <w:color w:val="000000"/>
          <w:lang w:val="en-US"/>
        </w:rPr>
        <w:t>Focault</w:t>
      </w:r>
      <w:proofErr w:type="spellEnd"/>
      <w:r w:rsidR="00AE7BC9">
        <w:rPr>
          <w:rFonts w:ascii="Times New Roman" w:hAnsi="Times New Roman" w:cs="Times New Roman"/>
          <w:color w:val="000000"/>
          <w:lang w:val="en-US"/>
        </w:rPr>
        <w:t>, Criminology,</w:t>
      </w:r>
      <w:r w:rsidR="00AE7BC9">
        <w:rPr>
          <w:rFonts w:ascii="Times New Roman" w:hAnsi="Times New Roman" w:cs="Times New Roman"/>
          <w:color w:val="000000"/>
          <w:lang w:val="en-US"/>
        </w:rPr>
        <w:tab/>
      </w:r>
      <w:r w:rsidRPr="00AE7BC9">
        <w:rPr>
          <w:rFonts w:ascii="Times New Roman" w:hAnsi="Times New Roman" w:cs="Times New Roman"/>
          <w:color w:val="000000"/>
          <w:lang w:val="en-US"/>
        </w:rPr>
        <w:t xml:space="preserve">Sociology” Theoretical Criminology, </w:t>
      </w:r>
      <w:r w:rsidR="00AE7BC9">
        <w:rPr>
          <w:rFonts w:ascii="Times New Roman" w:hAnsi="Times New Roman" w:cs="Times New Roman"/>
          <w:color w:val="000000"/>
          <w:lang w:val="en-US"/>
        </w:rPr>
        <w:t>1: 173</w:t>
      </w:r>
      <w:proofErr w:type="gramStart"/>
      <w:r w:rsidR="00AE7BC9">
        <w:rPr>
          <w:rFonts w:ascii="Times New Roman" w:hAnsi="Times New Roman" w:cs="Times New Roman"/>
          <w:color w:val="000000"/>
          <w:lang w:val="en-US"/>
        </w:rPr>
        <w:t>.</w:t>
      </w:r>
      <w:r w:rsidRPr="00AE7BC9">
        <w:rPr>
          <w:rFonts w:ascii="Times New Roman" w:hAnsi="Times New Roman" w:cs="Times New Roman"/>
          <w:color w:val="000000"/>
          <w:lang w:val="en-US"/>
        </w:rPr>
        <w:t> </w:t>
      </w:r>
      <w:proofErr w:type="gramEnd"/>
      <w:r w:rsidRPr="00AE7BC9">
        <w:rPr>
          <w:rFonts w:ascii="Times New Roman" w:hAnsi="Times New Roman" w:cs="Times New Roman"/>
          <w:color w:val="000000"/>
          <w:lang w:val="en-US"/>
        </w:rPr>
        <w:t xml:space="preserve">  </w:t>
      </w:r>
    </w:p>
    <w:p w14:paraId="3BCD434F" w14:textId="2353962A" w:rsidR="00A1504C" w:rsidRPr="00AE7BC9" w:rsidRDefault="00A1504C" w:rsidP="00AE7BC9">
      <w:pPr>
        <w:widowControl w:val="0"/>
        <w:tabs>
          <w:tab w:val="left" w:pos="220"/>
          <w:tab w:val="left" w:pos="720"/>
        </w:tabs>
        <w:autoSpaceDE w:val="0"/>
        <w:autoSpaceDN w:val="0"/>
        <w:adjustRightInd w:val="0"/>
        <w:spacing w:after="320" w:line="480" w:lineRule="auto"/>
        <w:rPr>
          <w:rFonts w:ascii="Times New Roman" w:hAnsi="Times New Roman" w:cs="Times New Roman"/>
          <w:color w:val="000000"/>
          <w:lang w:val="en-US"/>
        </w:rPr>
      </w:pPr>
      <w:proofErr w:type="spellStart"/>
      <w:r w:rsidRPr="00AE7BC9">
        <w:rPr>
          <w:rFonts w:ascii="Times New Roman" w:hAnsi="Times New Roman" w:cs="Times New Roman"/>
          <w:color w:val="000000"/>
          <w:lang w:val="en-US"/>
        </w:rPr>
        <w:t>Gotell</w:t>
      </w:r>
      <w:proofErr w:type="spellEnd"/>
      <w:r w:rsidRPr="00AE7BC9">
        <w:rPr>
          <w:rFonts w:ascii="Times New Roman" w:hAnsi="Times New Roman" w:cs="Times New Roman"/>
          <w:color w:val="000000"/>
          <w:lang w:val="en-US"/>
        </w:rPr>
        <w:t>, L. “The Discursive Disappearance of Sexualized</w:t>
      </w:r>
      <w:r w:rsidR="00AE7BC9">
        <w:rPr>
          <w:rFonts w:ascii="Times New Roman" w:hAnsi="Times New Roman" w:cs="Times New Roman"/>
          <w:color w:val="000000"/>
          <w:lang w:val="en-US"/>
        </w:rPr>
        <w:t xml:space="preserve"> Violence: Feminist Law Reform,</w:t>
      </w:r>
      <w:r w:rsidR="00AE7BC9">
        <w:rPr>
          <w:rFonts w:ascii="Times New Roman" w:hAnsi="Times New Roman" w:cs="Times New Roman"/>
          <w:color w:val="000000"/>
          <w:lang w:val="en-US"/>
        </w:rPr>
        <w:tab/>
      </w:r>
      <w:r w:rsidRPr="00AE7BC9">
        <w:rPr>
          <w:rFonts w:ascii="Times New Roman" w:hAnsi="Times New Roman" w:cs="Times New Roman"/>
          <w:color w:val="000000"/>
          <w:lang w:val="en-US"/>
        </w:rPr>
        <w:t>Judicial Resistance, and Neo-Liberal Sexual Citizenship</w:t>
      </w:r>
      <w:r w:rsidR="00AE7BC9">
        <w:rPr>
          <w:rFonts w:ascii="Times New Roman" w:hAnsi="Times New Roman" w:cs="Times New Roman"/>
          <w:color w:val="000000"/>
          <w:lang w:val="en-US"/>
        </w:rPr>
        <w:t>” (Chapter 5, pp. 138-174). In,</w:t>
      </w:r>
      <w:r w:rsidR="00AE7BC9">
        <w:rPr>
          <w:rFonts w:ascii="Times New Roman" w:hAnsi="Times New Roman" w:cs="Times New Roman"/>
          <w:color w:val="000000"/>
          <w:lang w:val="en-US"/>
        </w:rPr>
        <w:tab/>
      </w:r>
      <w:r w:rsidRPr="00AE7BC9">
        <w:rPr>
          <w:rFonts w:ascii="Times New Roman" w:hAnsi="Times New Roman" w:cs="Times New Roman"/>
          <w:color w:val="000000"/>
          <w:lang w:val="en-US"/>
        </w:rPr>
        <w:t xml:space="preserve">H. </w:t>
      </w:r>
      <w:proofErr w:type="spellStart"/>
      <w:r w:rsidRPr="00AE7BC9">
        <w:rPr>
          <w:rFonts w:ascii="Times New Roman" w:hAnsi="Times New Roman" w:cs="Times New Roman"/>
          <w:color w:val="000000"/>
          <w:lang w:val="en-US"/>
        </w:rPr>
        <w:t>Lessard</w:t>
      </w:r>
      <w:proofErr w:type="spellEnd"/>
      <w:r w:rsidRPr="00AE7BC9">
        <w:rPr>
          <w:rFonts w:ascii="Times New Roman" w:hAnsi="Times New Roman" w:cs="Times New Roman"/>
          <w:color w:val="000000"/>
          <w:lang w:val="en-US"/>
        </w:rPr>
        <w:t xml:space="preserve">, D. </w:t>
      </w:r>
      <w:proofErr w:type="spellStart"/>
      <w:r w:rsidRPr="00AE7BC9">
        <w:rPr>
          <w:rFonts w:ascii="Times New Roman" w:hAnsi="Times New Roman" w:cs="Times New Roman"/>
          <w:color w:val="000000"/>
          <w:lang w:val="en-US"/>
        </w:rPr>
        <w:t>Chunn</w:t>
      </w:r>
      <w:proofErr w:type="spellEnd"/>
      <w:r w:rsidRPr="00AE7BC9">
        <w:rPr>
          <w:rFonts w:ascii="Times New Roman" w:hAnsi="Times New Roman" w:cs="Times New Roman"/>
          <w:color w:val="000000"/>
          <w:lang w:val="en-US"/>
        </w:rPr>
        <w:t xml:space="preserve"> and S. Boyd (eds.) Reaction and resistance: feminism, law, a</w:t>
      </w:r>
      <w:r w:rsidR="00AE7BC9">
        <w:rPr>
          <w:rFonts w:ascii="Times New Roman" w:hAnsi="Times New Roman" w:cs="Times New Roman"/>
          <w:color w:val="000000"/>
          <w:lang w:val="en-US"/>
        </w:rPr>
        <w:t>nd</w:t>
      </w:r>
      <w:r w:rsidR="00AE7BC9">
        <w:rPr>
          <w:rFonts w:ascii="Times New Roman" w:hAnsi="Times New Roman" w:cs="Times New Roman"/>
          <w:color w:val="000000"/>
          <w:lang w:val="en-US"/>
        </w:rPr>
        <w:tab/>
      </w:r>
      <w:r w:rsidRPr="00AE7BC9">
        <w:rPr>
          <w:rFonts w:ascii="Times New Roman" w:hAnsi="Times New Roman" w:cs="Times New Roman"/>
          <w:color w:val="000000"/>
          <w:lang w:val="en-US"/>
        </w:rPr>
        <w:t>social change. Vancouver: UBC Press.  </w:t>
      </w:r>
    </w:p>
    <w:p w14:paraId="6EBEB094" w14:textId="1998B160" w:rsidR="00A1504C" w:rsidRPr="00AE7BC9" w:rsidRDefault="00A1504C" w:rsidP="00AE7BC9">
      <w:pPr>
        <w:widowControl w:val="0"/>
        <w:tabs>
          <w:tab w:val="left" w:pos="220"/>
          <w:tab w:val="left" w:pos="720"/>
        </w:tabs>
        <w:autoSpaceDE w:val="0"/>
        <w:autoSpaceDN w:val="0"/>
        <w:adjustRightInd w:val="0"/>
        <w:spacing w:after="320" w:line="480" w:lineRule="auto"/>
        <w:rPr>
          <w:rFonts w:ascii="Times New Roman" w:hAnsi="Times New Roman" w:cs="Times New Roman"/>
          <w:color w:val="000000"/>
          <w:lang w:val="en-US"/>
        </w:rPr>
      </w:pPr>
      <w:r w:rsidRPr="00AE7BC9">
        <w:rPr>
          <w:rFonts w:ascii="Times New Roman" w:hAnsi="Times New Roman" w:cs="Times New Roman"/>
          <w:color w:val="000000"/>
          <w:lang w:val="en-US"/>
        </w:rPr>
        <w:t>Hunt, A. (1993) “Perspectives in the Sociology of L</w:t>
      </w:r>
      <w:r w:rsidR="00AE7BC9">
        <w:rPr>
          <w:rFonts w:ascii="Times New Roman" w:hAnsi="Times New Roman" w:cs="Times New Roman"/>
          <w:color w:val="000000"/>
          <w:lang w:val="en-US"/>
        </w:rPr>
        <w:t>aw” (Chapter 3, pp. 36-57). In,</w:t>
      </w:r>
      <w:r w:rsidR="00AE7BC9">
        <w:rPr>
          <w:rFonts w:ascii="Times New Roman" w:hAnsi="Times New Roman" w:cs="Times New Roman"/>
          <w:color w:val="000000"/>
          <w:lang w:val="en-US"/>
        </w:rPr>
        <w:tab/>
      </w:r>
      <w:r w:rsidRPr="00AE7BC9">
        <w:rPr>
          <w:rFonts w:ascii="Times New Roman" w:hAnsi="Times New Roman" w:cs="Times New Roman"/>
          <w:color w:val="000000"/>
          <w:lang w:val="en-US"/>
        </w:rPr>
        <w:t>Explorations in Law and Society: Towards a Constitutive Theory of Law</w:t>
      </w:r>
      <w:r w:rsidR="00AE7BC9">
        <w:rPr>
          <w:rFonts w:ascii="Times New Roman" w:hAnsi="Times New Roman" w:cs="Times New Roman"/>
          <w:color w:val="000000"/>
          <w:lang w:val="en-US"/>
        </w:rPr>
        <w:t>. London:</w:t>
      </w:r>
      <w:r w:rsidR="00AE7BC9">
        <w:rPr>
          <w:rFonts w:ascii="Times New Roman" w:hAnsi="Times New Roman" w:cs="Times New Roman"/>
          <w:color w:val="000000"/>
          <w:lang w:val="en-US"/>
        </w:rPr>
        <w:tab/>
      </w:r>
      <w:proofErr w:type="spellStart"/>
      <w:r w:rsidRPr="00AE7BC9">
        <w:rPr>
          <w:rFonts w:ascii="Times New Roman" w:hAnsi="Times New Roman" w:cs="Times New Roman"/>
          <w:color w:val="000000"/>
          <w:lang w:val="en-US"/>
        </w:rPr>
        <w:t>Routledge</w:t>
      </w:r>
      <w:proofErr w:type="spellEnd"/>
      <w:r w:rsidRPr="00AE7BC9">
        <w:rPr>
          <w:rFonts w:ascii="Times New Roman" w:hAnsi="Times New Roman" w:cs="Times New Roman"/>
          <w:color w:val="000000"/>
          <w:lang w:val="en-US"/>
        </w:rPr>
        <w:t>.  </w:t>
      </w:r>
    </w:p>
    <w:p w14:paraId="7F1627E4" w14:textId="6E943154" w:rsidR="00A1504C" w:rsidRPr="00AE7BC9" w:rsidRDefault="00A1504C" w:rsidP="00AE7BC9">
      <w:pPr>
        <w:widowControl w:val="0"/>
        <w:tabs>
          <w:tab w:val="left" w:pos="220"/>
          <w:tab w:val="left" w:pos="720"/>
        </w:tabs>
        <w:autoSpaceDE w:val="0"/>
        <w:autoSpaceDN w:val="0"/>
        <w:adjustRightInd w:val="0"/>
        <w:spacing w:after="320" w:line="480" w:lineRule="auto"/>
        <w:rPr>
          <w:rFonts w:ascii="Times New Roman" w:hAnsi="Times New Roman" w:cs="Times New Roman"/>
          <w:color w:val="000000"/>
          <w:lang w:val="en-US"/>
        </w:rPr>
      </w:pPr>
      <w:r w:rsidRPr="00AE7BC9">
        <w:rPr>
          <w:rFonts w:ascii="Times New Roman" w:hAnsi="Times New Roman" w:cs="Times New Roman"/>
          <w:color w:val="000000"/>
          <w:lang w:val="en-US"/>
        </w:rPr>
        <w:t xml:space="preserve">Rose, N. and M. </w:t>
      </w:r>
      <w:proofErr w:type="spellStart"/>
      <w:r w:rsidRPr="00AE7BC9">
        <w:rPr>
          <w:rFonts w:ascii="Times New Roman" w:hAnsi="Times New Roman" w:cs="Times New Roman"/>
          <w:color w:val="000000"/>
          <w:lang w:val="en-US"/>
        </w:rPr>
        <w:t>Valverde</w:t>
      </w:r>
      <w:proofErr w:type="spellEnd"/>
      <w:r w:rsidRPr="00AE7BC9">
        <w:rPr>
          <w:rFonts w:ascii="Times New Roman" w:hAnsi="Times New Roman" w:cs="Times New Roman"/>
          <w:color w:val="000000"/>
          <w:lang w:val="en-US"/>
        </w:rPr>
        <w:t xml:space="preserve"> (1998) “Governed by Law?” Social and Legal Studies </w:t>
      </w:r>
      <w:r w:rsidR="00AE7BC9">
        <w:rPr>
          <w:rFonts w:ascii="Times New Roman" w:hAnsi="Times New Roman" w:cs="Times New Roman"/>
          <w:color w:val="000000"/>
          <w:lang w:val="en-US"/>
        </w:rPr>
        <w:t>Vol.7,</w:t>
      </w:r>
      <w:r w:rsidR="00AE7BC9">
        <w:rPr>
          <w:rFonts w:ascii="Times New Roman" w:hAnsi="Times New Roman" w:cs="Times New Roman"/>
          <w:color w:val="000000"/>
          <w:lang w:val="en-US"/>
        </w:rPr>
        <w:tab/>
      </w:r>
      <w:r w:rsidRPr="00AE7BC9">
        <w:rPr>
          <w:rFonts w:ascii="Times New Roman" w:hAnsi="Times New Roman" w:cs="Times New Roman"/>
          <w:color w:val="000000"/>
          <w:lang w:val="en-US"/>
        </w:rPr>
        <w:t>No.4: 541-551.  </w:t>
      </w:r>
    </w:p>
    <w:p w14:paraId="63E5DD47" w14:textId="6DBE3B82" w:rsidR="00A1504C" w:rsidRPr="00AE7BC9" w:rsidRDefault="00A1504C" w:rsidP="00AE7BC9">
      <w:pPr>
        <w:widowControl w:val="0"/>
        <w:tabs>
          <w:tab w:val="left" w:pos="220"/>
          <w:tab w:val="left" w:pos="720"/>
        </w:tabs>
        <w:autoSpaceDE w:val="0"/>
        <w:autoSpaceDN w:val="0"/>
        <w:adjustRightInd w:val="0"/>
        <w:spacing w:after="320" w:line="480" w:lineRule="auto"/>
        <w:rPr>
          <w:rFonts w:ascii="Times New Roman" w:hAnsi="Times New Roman" w:cs="Times New Roman"/>
          <w:color w:val="000000"/>
          <w:lang w:val="en-US"/>
        </w:rPr>
      </w:pPr>
      <w:proofErr w:type="gramStart"/>
      <w:r w:rsidRPr="00AE7BC9">
        <w:rPr>
          <w:rFonts w:ascii="Times New Roman" w:hAnsi="Times New Roman" w:cs="Times New Roman"/>
          <w:color w:val="000000"/>
          <w:lang w:val="en-US"/>
        </w:rPr>
        <w:t>Smart, C. (1989) Feminism and the Power of Law</w:t>
      </w:r>
      <w:r w:rsidR="00AE7BC9">
        <w:rPr>
          <w:rFonts w:ascii="Times New Roman" w:hAnsi="Times New Roman" w:cs="Times New Roman"/>
          <w:color w:val="000000"/>
          <w:lang w:val="en-US"/>
        </w:rPr>
        <w:t xml:space="preserve"> (Chapter 1, pp. 4-25).</w:t>
      </w:r>
      <w:proofErr w:type="gramEnd"/>
      <w:r w:rsidR="00AE7BC9">
        <w:rPr>
          <w:rFonts w:ascii="Times New Roman" w:hAnsi="Times New Roman" w:cs="Times New Roman"/>
          <w:color w:val="000000"/>
          <w:lang w:val="en-US"/>
        </w:rPr>
        <w:t xml:space="preserve"> London:</w:t>
      </w:r>
      <w:r w:rsidR="00AE7BC9">
        <w:rPr>
          <w:rFonts w:ascii="Times New Roman" w:hAnsi="Times New Roman" w:cs="Times New Roman"/>
          <w:color w:val="000000"/>
          <w:lang w:val="en-US"/>
        </w:rPr>
        <w:tab/>
      </w:r>
      <w:proofErr w:type="spellStart"/>
      <w:r w:rsidRPr="00AE7BC9">
        <w:rPr>
          <w:rFonts w:ascii="Times New Roman" w:hAnsi="Times New Roman" w:cs="Times New Roman"/>
          <w:color w:val="000000"/>
          <w:lang w:val="en-US"/>
        </w:rPr>
        <w:t>Routledge</w:t>
      </w:r>
      <w:proofErr w:type="spellEnd"/>
      <w:r w:rsidR="00AE7BC9">
        <w:rPr>
          <w:rFonts w:ascii="Times New Roman" w:hAnsi="Times New Roman" w:cs="Times New Roman"/>
          <w:color w:val="000000"/>
          <w:lang w:val="en-US"/>
        </w:rPr>
        <w:t>.</w:t>
      </w:r>
    </w:p>
    <w:p w14:paraId="39BF6650" w14:textId="23973D3E" w:rsidR="00AE7BC9" w:rsidRPr="00AE7BC9" w:rsidRDefault="00A1504C" w:rsidP="00AE7BC9">
      <w:pPr>
        <w:spacing w:line="480" w:lineRule="auto"/>
        <w:rPr>
          <w:rFonts w:ascii="Times New Roman" w:hAnsi="Times New Roman" w:cs="Times New Roman"/>
          <w:color w:val="000000"/>
          <w:lang w:val="en-US"/>
        </w:rPr>
      </w:pPr>
      <w:r w:rsidRPr="00AE7BC9">
        <w:rPr>
          <w:rFonts w:ascii="Times New Roman" w:hAnsi="Times New Roman" w:cs="Times New Roman"/>
          <w:color w:val="000000"/>
          <w:lang w:val="en-US"/>
        </w:rPr>
        <w:t xml:space="preserve">Wickham, G. (2013) “Foucault and Law” (Chapter 12, </w:t>
      </w:r>
      <w:r w:rsidR="00AE7BC9">
        <w:rPr>
          <w:rFonts w:ascii="Times New Roman" w:hAnsi="Times New Roman" w:cs="Times New Roman"/>
          <w:color w:val="000000"/>
          <w:lang w:val="en-US"/>
        </w:rPr>
        <w:t xml:space="preserve">pp.217-232). In, R. </w:t>
      </w:r>
      <w:proofErr w:type="spellStart"/>
      <w:r w:rsidR="00AE7BC9">
        <w:rPr>
          <w:rFonts w:ascii="Times New Roman" w:hAnsi="Times New Roman" w:cs="Times New Roman"/>
          <w:color w:val="000000"/>
          <w:lang w:val="en-US"/>
        </w:rPr>
        <w:t>Banakar</w:t>
      </w:r>
      <w:proofErr w:type="spellEnd"/>
      <w:r w:rsidR="00AE7BC9">
        <w:rPr>
          <w:rFonts w:ascii="Times New Roman" w:hAnsi="Times New Roman" w:cs="Times New Roman"/>
          <w:color w:val="000000"/>
          <w:lang w:val="en-US"/>
        </w:rPr>
        <w:t xml:space="preserve"> and</w:t>
      </w:r>
      <w:r w:rsidR="00AE7BC9">
        <w:rPr>
          <w:rFonts w:ascii="Times New Roman" w:hAnsi="Times New Roman" w:cs="Times New Roman"/>
          <w:color w:val="000000"/>
          <w:lang w:val="en-US"/>
        </w:rPr>
        <w:tab/>
      </w:r>
      <w:r w:rsidRPr="00AE7BC9">
        <w:rPr>
          <w:rFonts w:ascii="Times New Roman" w:hAnsi="Times New Roman" w:cs="Times New Roman"/>
          <w:color w:val="000000"/>
          <w:lang w:val="en-US"/>
        </w:rPr>
        <w:t>M. Travers (eds.) Law and Social Theory, 2</w:t>
      </w:r>
      <w:proofErr w:type="spellStart"/>
      <w:r w:rsidRPr="00AE7BC9">
        <w:rPr>
          <w:rFonts w:ascii="Times New Roman" w:hAnsi="Times New Roman" w:cs="Times New Roman"/>
          <w:color w:val="000000"/>
          <w:position w:val="13"/>
          <w:lang w:val="en-US"/>
        </w:rPr>
        <w:t>nd</w:t>
      </w:r>
      <w:proofErr w:type="spellEnd"/>
      <w:r w:rsidRPr="00AE7BC9">
        <w:rPr>
          <w:rFonts w:ascii="Times New Roman" w:hAnsi="Times New Roman" w:cs="Times New Roman"/>
          <w:color w:val="000000"/>
          <w:position w:val="13"/>
          <w:lang w:val="en-US"/>
        </w:rPr>
        <w:t xml:space="preserve"> </w:t>
      </w:r>
      <w:proofErr w:type="gramStart"/>
      <w:r w:rsidRPr="00AE7BC9">
        <w:rPr>
          <w:rFonts w:ascii="Times New Roman" w:hAnsi="Times New Roman" w:cs="Times New Roman"/>
          <w:color w:val="000000"/>
          <w:lang w:val="en-US"/>
        </w:rPr>
        <w:t>edition</w:t>
      </w:r>
      <w:proofErr w:type="gramEnd"/>
      <w:r w:rsidRPr="00AE7BC9">
        <w:rPr>
          <w:rFonts w:ascii="Times New Roman" w:hAnsi="Times New Roman" w:cs="Times New Roman"/>
          <w:color w:val="000000"/>
          <w:lang w:val="en-US"/>
        </w:rPr>
        <w:t>. Oxford, UK: Hart Publishing</w:t>
      </w:r>
      <w:r w:rsidR="00AE7BC9" w:rsidRPr="00AE7BC9">
        <w:rPr>
          <w:rFonts w:ascii="Times New Roman" w:hAnsi="Times New Roman" w:cs="Times New Roman"/>
          <w:color w:val="000000"/>
          <w:lang w:val="en-US"/>
        </w:rPr>
        <w:t>.</w:t>
      </w:r>
    </w:p>
    <w:p w14:paraId="70564C70" w14:textId="64296868" w:rsidR="00AE7BC9" w:rsidRPr="00AE7BC9" w:rsidRDefault="00AE7BC9" w:rsidP="00AE7BC9">
      <w:pPr>
        <w:widowControl w:val="0"/>
        <w:tabs>
          <w:tab w:val="left" w:pos="220"/>
          <w:tab w:val="left" w:pos="720"/>
        </w:tabs>
        <w:autoSpaceDE w:val="0"/>
        <w:autoSpaceDN w:val="0"/>
        <w:adjustRightInd w:val="0"/>
        <w:spacing w:after="320" w:line="480" w:lineRule="auto"/>
        <w:rPr>
          <w:rFonts w:ascii="Times New Roman" w:hAnsi="Times New Roman" w:cs="Times New Roman"/>
          <w:color w:val="000000"/>
          <w:lang w:val="en-US"/>
        </w:rPr>
      </w:pPr>
      <w:proofErr w:type="spellStart"/>
      <w:r w:rsidRPr="00AE7BC9">
        <w:rPr>
          <w:rFonts w:ascii="Times New Roman" w:hAnsi="Times New Roman" w:cs="Times New Roman"/>
          <w:color w:val="000000"/>
          <w:lang w:val="en-US"/>
        </w:rPr>
        <w:t>Woodiwiss</w:t>
      </w:r>
      <w:proofErr w:type="spellEnd"/>
      <w:r w:rsidRPr="00AE7BC9">
        <w:rPr>
          <w:rFonts w:ascii="Times New Roman" w:hAnsi="Times New Roman" w:cs="Times New Roman"/>
          <w:color w:val="000000"/>
          <w:lang w:val="en-US"/>
        </w:rPr>
        <w:t>, A. (2011) “Making the Sociology of H</w:t>
      </w:r>
      <w:r>
        <w:rPr>
          <w:rFonts w:ascii="Times New Roman" w:hAnsi="Times New Roman" w:cs="Times New Roman"/>
          <w:color w:val="000000"/>
          <w:lang w:val="en-US"/>
        </w:rPr>
        <w:t>uman Rights more Sociological.”</w:t>
      </w:r>
      <w:r>
        <w:rPr>
          <w:rFonts w:ascii="Times New Roman" w:hAnsi="Times New Roman" w:cs="Times New Roman"/>
          <w:color w:val="000000"/>
          <w:lang w:val="en-US"/>
        </w:rPr>
        <w:tab/>
      </w:r>
      <w:r w:rsidRPr="00AE7BC9">
        <w:rPr>
          <w:rFonts w:ascii="Times New Roman" w:hAnsi="Times New Roman" w:cs="Times New Roman"/>
          <w:color w:val="000000"/>
          <w:lang w:val="en-US"/>
        </w:rPr>
        <w:t>Development and Society, Vol. 40, No. 1, pp. 117-138  </w:t>
      </w:r>
    </w:p>
    <w:p w14:paraId="11A5C38F" w14:textId="77777777" w:rsidR="00AE7BC9" w:rsidRPr="00762970" w:rsidRDefault="00AE7BC9">
      <w:pPr>
        <w:rPr>
          <w:rFonts w:ascii="Times New Roman" w:hAnsi="Times New Roman" w:cs="Times New Roman"/>
        </w:rPr>
      </w:pPr>
    </w:p>
    <w:sectPr w:rsidR="00AE7BC9" w:rsidRPr="00762970" w:rsidSect="00FD22A8">
      <w:headerReference w:type="default" r:id="rId8"/>
      <w:footerReference w:type="even" r:id="rId9"/>
      <w:footerReference w:type="default" r:id="rId10"/>
      <w:headerReference w:type="first" r:id="rId11"/>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B16716" w14:textId="77777777" w:rsidR="00A1504C" w:rsidRDefault="00A1504C" w:rsidP="00BF73DA">
      <w:r>
        <w:separator/>
      </w:r>
    </w:p>
  </w:endnote>
  <w:endnote w:type="continuationSeparator" w:id="0">
    <w:p w14:paraId="4C51BADE" w14:textId="77777777" w:rsidR="00A1504C" w:rsidRDefault="00A1504C" w:rsidP="00BF7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7BC98" w14:textId="77777777" w:rsidR="00FD22A8" w:rsidRDefault="00FD22A8" w:rsidP="00FD00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2E32B7A" w14:textId="77777777" w:rsidR="00FD22A8" w:rsidRDefault="00FD22A8" w:rsidP="00FD22A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D7FAAB" w14:textId="77777777" w:rsidR="00FD22A8" w:rsidRDefault="00FD22A8" w:rsidP="00FD00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39563FBD" w14:textId="77777777" w:rsidR="00FD22A8" w:rsidRDefault="00FD22A8" w:rsidP="00FD22A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821A31" w14:textId="77777777" w:rsidR="00A1504C" w:rsidRDefault="00A1504C" w:rsidP="00BF73DA">
      <w:r>
        <w:separator/>
      </w:r>
    </w:p>
  </w:footnote>
  <w:footnote w:type="continuationSeparator" w:id="0">
    <w:p w14:paraId="346E8A8F" w14:textId="77777777" w:rsidR="00A1504C" w:rsidRDefault="00A1504C" w:rsidP="00BF73D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E0A6DD" w14:textId="781B3E8D" w:rsidR="00FD22A8" w:rsidRDefault="00FD22A8">
    <w:pPr>
      <w:pStyle w:val="Header"/>
    </w:pPr>
  </w:p>
  <w:p w14:paraId="483B991D" w14:textId="77777777" w:rsidR="00FD22A8" w:rsidRDefault="00FD22A8">
    <w:pPr>
      <w:pStyle w:val="Header"/>
    </w:pPr>
  </w:p>
  <w:p w14:paraId="5BABAD2E" w14:textId="77777777" w:rsidR="00FD22A8" w:rsidRDefault="00FD22A8">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29239B" w14:textId="0B47EDEB" w:rsidR="00FD22A8" w:rsidRDefault="00FD22A8">
    <w:pPr>
      <w:pStyle w:val="Header"/>
    </w:pPr>
    <w:r>
      <w:t xml:space="preserve">Take Home Exam </w:t>
    </w:r>
  </w:p>
  <w:p w14:paraId="6B68A2F9" w14:textId="77777777" w:rsidR="00FD22A8" w:rsidRDefault="00FD22A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970"/>
    <w:rsid w:val="00051AD3"/>
    <w:rsid w:val="000705BB"/>
    <w:rsid w:val="000F1B75"/>
    <w:rsid w:val="002678E3"/>
    <w:rsid w:val="00283848"/>
    <w:rsid w:val="002C4980"/>
    <w:rsid w:val="00314A6E"/>
    <w:rsid w:val="00347A0B"/>
    <w:rsid w:val="003A00C5"/>
    <w:rsid w:val="00465525"/>
    <w:rsid w:val="004D31B8"/>
    <w:rsid w:val="00673B63"/>
    <w:rsid w:val="0074197D"/>
    <w:rsid w:val="00762970"/>
    <w:rsid w:val="007F609C"/>
    <w:rsid w:val="0086446F"/>
    <w:rsid w:val="008805FF"/>
    <w:rsid w:val="00916465"/>
    <w:rsid w:val="009658CB"/>
    <w:rsid w:val="009C1126"/>
    <w:rsid w:val="009F7E4C"/>
    <w:rsid w:val="00A1504C"/>
    <w:rsid w:val="00AE7BC9"/>
    <w:rsid w:val="00B64CED"/>
    <w:rsid w:val="00BB2C45"/>
    <w:rsid w:val="00BE1C54"/>
    <w:rsid w:val="00BF73DA"/>
    <w:rsid w:val="00C3529F"/>
    <w:rsid w:val="00D650E6"/>
    <w:rsid w:val="00D859F8"/>
    <w:rsid w:val="00EA0024"/>
    <w:rsid w:val="00FD22A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FE1F17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73DA"/>
    <w:pPr>
      <w:tabs>
        <w:tab w:val="center" w:pos="4320"/>
        <w:tab w:val="right" w:pos="8640"/>
      </w:tabs>
    </w:pPr>
  </w:style>
  <w:style w:type="character" w:customStyle="1" w:styleId="HeaderChar">
    <w:name w:val="Header Char"/>
    <w:basedOn w:val="DefaultParagraphFont"/>
    <w:link w:val="Header"/>
    <w:uiPriority w:val="99"/>
    <w:rsid w:val="00BF73DA"/>
  </w:style>
  <w:style w:type="paragraph" w:styleId="Footer">
    <w:name w:val="footer"/>
    <w:basedOn w:val="Normal"/>
    <w:link w:val="FooterChar"/>
    <w:uiPriority w:val="99"/>
    <w:unhideWhenUsed/>
    <w:rsid w:val="00BF73DA"/>
    <w:pPr>
      <w:tabs>
        <w:tab w:val="center" w:pos="4320"/>
        <w:tab w:val="right" w:pos="8640"/>
      </w:tabs>
    </w:pPr>
  </w:style>
  <w:style w:type="character" w:customStyle="1" w:styleId="FooterChar">
    <w:name w:val="Footer Char"/>
    <w:basedOn w:val="DefaultParagraphFont"/>
    <w:link w:val="Footer"/>
    <w:uiPriority w:val="99"/>
    <w:rsid w:val="00BF73DA"/>
  </w:style>
  <w:style w:type="character" w:styleId="PageNumber">
    <w:name w:val="page number"/>
    <w:basedOn w:val="DefaultParagraphFont"/>
    <w:uiPriority w:val="99"/>
    <w:semiHidden/>
    <w:unhideWhenUsed/>
    <w:rsid w:val="00FD22A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73DA"/>
    <w:pPr>
      <w:tabs>
        <w:tab w:val="center" w:pos="4320"/>
        <w:tab w:val="right" w:pos="8640"/>
      </w:tabs>
    </w:pPr>
  </w:style>
  <w:style w:type="character" w:customStyle="1" w:styleId="HeaderChar">
    <w:name w:val="Header Char"/>
    <w:basedOn w:val="DefaultParagraphFont"/>
    <w:link w:val="Header"/>
    <w:uiPriority w:val="99"/>
    <w:rsid w:val="00BF73DA"/>
  </w:style>
  <w:style w:type="paragraph" w:styleId="Footer">
    <w:name w:val="footer"/>
    <w:basedOn w:val="Normal"/>
    <w:link w:val="FooterChar"/>
    <w:uiPriority w:val="99"/>
    <w:unhideWhenUsed/>
    <w:rsid w:val="00BF73DA"/>
    <w:pPr>
      <w:tabs>
        <w:tab w:val="center" w:pos="4320"/>
        <w:tab w:val="right" w:pos="8640"/>
      </w:tabs>
    </w:pPr>
  </w:style>
  <w:style w:type="character" w:customStyle="1" w:styleId="FooterChar">
    <w:name w:val="Footer Char"/>
    <w:basedOn w:val="DefaultParagraphFont"/>
    <w:link w:val="Footer"/>
    <w:uiPriority w:val="99"/>
    <w:rsid w:val="00BF73DA"/>
  </w:style>
  <w:style w:type="character" w:styleId="PageNumber">
    <w:name w:val="page number"/>
    <w:basedOn w:val="DefaultParagraphFont"/>
    <w:uiPriority w:val="99"/>
    <w:semiHidden/>
    <w:unhideWhenUsed/>
    <w:rsid w:val="00FD22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15</Pages>
  <Words>3418</Words>
  <Characters>19489</Characters>
  <Application>Microsoft Macintosh Word</Application>
  <DocSecurity>0</DocSecurity>
  <Lines>162</Lines>
  <Paragraphs>45</Paragraphs>
  <ScaleCrop>false</ScaleCrop>
  <Company/>
  <LinksUpToDate>false</LinksUpToDate>
  <CharactersWithSpaces>22862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karam</dc:creator>
  <cp:keywords/>
  <dc:description/>
  <cp:lastModifiedBy>stephanie karam</cp:lastModifiedBy>
  <cp:revision>5</cp:revision>
  <dcterms:created xsi:type="dcterms:W3CDTF">2017-12-12T02:41:00Z</dcterms:created>
  <dcterms:modified xsi:type="dcterms:W3CDTF">2017-12-13T19:00:00Z</dcterms:modified>
</cp:coreProperties>
</file>