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A"/>
        <w:jc w:val="center"/>
        <w:rPr>
          <w:b w:val="1"/>
          <w:bCs w:val="1"/>
          <w:sz w:val="24"/>
          <w:szCs w:val="24"/>
        </w:rPr>
      </w:pPr>
      <w:r>
        <w:rPr>
          <w:b w:val="1"/>
          <w:bCs w:val="1"/>
          <w:sz w:val="28"/>
          <w:szCs w:val="28"/>
          <w:rtl w:val="0"/>
          <w:lang w:val="en-US"/>
        </w:rPr>
        <w:t>Wisconsinan Glaciation</w:t>
      </w:r>
    </w:p>
    <w:p>
      <w:pPr>
        <w:pStyle w:val="Body A"/>
        <w:jc w:val="center"/>
        <w:rPr>
          <w:sz w:val="24"/>
          <w:szCs w:val="24"/>
        </w:rPr>
      </w:pPr>
      <w:r>
        <w:rPr>
          <w:sz w:val="24"/>
          <w:szCs w:val="24"/>
          <w:rtl w:val="0"/>
          <w:lang w:val="en-US"/>
        </w:rPr>
        <w:t xml:space="preserve">Lab Report (Lab </w:t>
      </w:r>
      <w:r>
        <w:rPr>
          <w:sz w:val="24"/>
          <w:szCs w:val="24"/>
          <w:rtl w:val="0"/>
          <w:lang w:val="en-US"/>
        </w:rPr>
        <w:t>4</w:t>
      </w:r>
      <w:r>
        <w:rPr>
          <w:sz w:val="24"/>
          <w:szCs w:val="24"/>
          <w:rtl w:val="0"/>
          <w:lang w:val="en-US"/>
        </w:rPr>
        <w:t>)</w:t>
      </w:r>
    </w:p>
    <w:p>
      <w:pPr>
        <w:pStyle w:val="Body A"/>
        <w:jc w:val="center"/>
        <w:rPr>
          <w:sz w:val="24"/>
          <w:szCs w:val="24"/>
        </w:rPr>
      </w:pPr>
    </w:p>
    <w:p>
      <w:pPr>
        <w:pStyle w:val="Body A"/>
        <w:jc w:val="center"/>
        <w:rPr>
          <w:sz w:val="24"/>
          <w:szCs w:val="24"/>
        </w:rPr>
      </w:pPr>
    </w:p>
    <w:p>
      <w:pPr>
        <w:pStyle w:val="Body A"/>
        <w:jc w:val="center"/>
        <w:rPr>
          <w:sz w:val="24"/>
          <w:szCs w:val="24"/>
        </w:rPr>
      </w:pPr>
    </w:p>
    <w:p>
      <w:pPr>
        <w:pStyle w:val="Body A"/>
        <w:jc w:val="center"/>
        <w:rPr>
          <w:sz w:val="24"/>
          <w:szCs w:val="24"/>
        </w:rPr>
      </w:pPr>
    </w:p>
    <w:p>
      <w:pPr>
        <w:pStyle w:val="Body A"/>
        <w:jc w:val="center"/>
        <w:rPr>
          <w:sz w:val="24"/>
          <w:szCs w:val="24"/>
        </w:rPr>
      </w:pPr>
    </w:p>
    <w:p>
      <w:pPr>
        <w:pStyle w:val="Body A"/>
        <w:jc w:val="center"/>
      </w:pPr>
    </w:p>
    <w:p>
      <w:pPr>
        <w:pStyle w:val="Body A"/>
        <w:jc w:val="center"/>
      </w:pPr>
    </w:p>
    <w:p>
      <w:pPr>
        <w:pStyle w:val="Body A"/>
        <w:jc w:val="center"/>
        <w:rPr>
          <w:sz w:val="24"/>
          <w:szCs w:val="24"/>
        </w:rPr>
      </w:pPr>
      <w:r>
        <w:rPr>
          <w:sz w:val="24"/>
          <w:szCs w:val="24"/>
          <w:rtl w:val="0"/>
          <w:lang w:val="en-US"/>
        </w:rPr>
        <w:t>Submitted to:</w:t>
      </w:r>
    </w:p>
    <w:p>
      <w:pPr>
        <w:pStyle w:val="Body A"/>
        <w:jc w:val="center"/>
        <w:rPr>
          <w:sz w:val="24"/>
          <w:szCs w:val="24"/>
        </w:rPr>
      </w:pPr>
      <w:r>
        <w:rPr>
          <w:sz w:val="24"/>
          <w:szCs w:val="24"/>
          <w:rtl w:val="0"/>
          <w:lang w:val="en-US"/>
        </w:rPr>
        <w:t>Professor Simone Dumas</w:t>
      </w:r>
    </w:p>
    <w:p>
      <w:pPr>
        <w:pStyle w:val="Body A"/>
        <w:jc w:val="center"/>
        <w:rPr>
          <w:sz w:val="24"/>
          <w:szCs w:val="24"/>
        </w:rPr>
      </w:pPr>
    </w:p>
    <w:p>
      <w:pPr>
        <w:pStyle w:val="Body A"/>
        <w:jc w:val="center"/>
        <w:rPr>
          <w:sz w:val="24"/>
          <w:szCs w:val="24"/>
        </w:rPr>
      </w:pPr>
      <w:r>
        <w:rPr>
          <w:sz w:val="24"/>
          <w:szCs w:val="24"/>
          <w:rtl w:val="0"/>
          <w:lang w:val="en-US"/>
        </w:rPr>
        <w:t>For the course</w:t>
      </w:r>
    </w:p>
    <w:p>
      <w:pPr>
        <w:pStyle w:val="Body A"/>
        <w:jc w:val="center"/>
        <w:rPr>
          <w:sz w:val="24"/>
          <w:szCs w:val="24"/>
        </w:rPr>
      </w:pPr>
      <w:r>
        <w:rPr>
          <w:sz w:val="24"/>
          <w:szCs w:val="24"/>
          <w:rtl w:val="0"/>
          <w:lang w:val="en-US"/>
        </w:rPr>
        <w:t>Introduction to Earth Materials</w:t>
      </w:r>
    </w:p>
    <w:p>
      <w:pPr>
        <w:pStyle w:val="Body A"/>
        <w:jc w:val="center"/>
        <w:rPr>
          <w:sz w:val="24"/>
          <w:szCs w:val="24"/>
        </w:rPr>
      </w:pPr>
      <w:r>
        <w:rPr>
          <w:sz w:val="24"/>
          <w:szCs w:val="24"/>
          <w:rtl w:val="0"/>
          <w:lang w:val="en-US"/>
        </w:rPr>
        <w:t>GEO1115</w:t>
      </w:r>
    </w:p>
    <w:p>
      <w:pPr>
        <w:pStyle w:val="Body A"/>
        <w:jc w:val="center"/>
        <w:rPr>
          <w:sz w:val="24"/>
          <w:szCs w:val="24"/>
        </w:rPr>
      </w:pPr>
    </w:p>
    <w:p>
      <w:pPr>
        <w:pStyle w:val="Body A"/>
        <w:jc w:val="center"/>
      </w:pPr>
    </w:p>
    <w:p>
      <w:pPr>
        <w:pStyle w:val="Body A"/>
        <w:jc w:val="center"/>
        <w:rPr>
          <w:sz w:val="24"/>
          <w:szCs w:val="24"/>
        </w:rPr>
      </w:pPr>
      <w:r>
        <w:rPr>
          <w:sz w:val="24"/>
          <w:szCs w:val="24"/>
          <w:rtl w:val="0"/>
          <w:lang w:val="en-US"/>
        </w:rPr>
        <w:t>By:</w:t>
      </w:r>
    </w:p>
    <w:p>
      <w:pPr>
        <w:pStyle w:val="Body A"/>
        <w:jc w:val="center"/>
        <w:rPr>
          <w:b w:val="1"/>
          <w:bCs w:val="1"/>
          <w:sz w:val="40"/>
          <w:szCs w:val="40"/>
        </w:rPr>
      </w:pPr>
      <w:r>
        <w:rPr>
          <w:sz w:val="24"/>
          <w:szCs w:val="24"/>
          <w:rtl w:val="0"/>
          <w:lang w:val="en-US"/>
        </w:rPr>
        <w:t>Benjamin Fushtey</w:t>
      </w:r>
    </w:p>
    <w:p>
      <w:pPr>
        <w:pStyle w:val="Body A"/>
        <w:jc w:val="center"/>
        <w:rPr>
          <w:sz w:val="24"/>
          <w:szCs w:val="24"/>
        </w:rPr>
      </w:pPr>
      <w:r>
        <w:rPr>
          <w:sz w:val="24"/>
          <w:szCs w:val="24"/>
          <w:rtl w:val="0"/>
          <w:lang w:val="en-US"/>
        </w:rPr>
        <w:t>8658464</w:t>
      </w:r>
    </w:p>
    <w:p>
      <w:pPr>
        <w:pStyle w:val="Body A"/>
        <w:jc w:val="center"/>
        <w:rPr>
          <w:b w:val="1"/>
          <w:bCs w:val="1"/>
          <w:sz w:val="28"/>
          <w:szCs w:val="28"/>
        </w:rPr>
      </w:pPr>
      <w:r>
        <w:rPr>
          <w:b w:val="1"/>
          <w:bCs w:val="1"/>
          <w:sz w:val="28"/>
          <w:szCs w:val="28"/>
          <w:rtl w:val="0"/>
          <w:lang w:val="en-US"/>
        </w:rPr>
        <w:t>Section D</w:t>
      </w:r>
    </w:p>
    <w:p>
      <w:pPr>
        <w:pStyle w:val="Body A"/>
        <w:jc w:val="center"/>
        <w:rPr>
          <w:b w:val="1"/>
          <w:bCs w:val="1"/>
          <w:sz w:val="28"/>
          <w:szCs w:val="28"/>
        </w:rPr>
      </w:pPr>
    </w:p>
    <w:p>
      <w:pPr>
        <w:pStyle w:val="Body A"/>
        <w:jc w:val="center"/>
        <w:rPr>
          <w:sz w:val="24"/>
          <w:szCs w:val="24"/>
        </w:rPr>
      </w:pPr>
    </w:p>
    <w:p>
      <w:pPr>
        <w:pStyle w:val="Body A"/>
        <w:jc w:val="center"/>
        <w:rPr>
          <w:sz w:val="24"/>
          <w:szCs w:val="24"/>
        </w:rPr>
      </w:pPr>
    </w:p>
    <w:p>
      <w:pPr>
        <w:pStyle w:val="Body A"/>
        <w:jc w:val="center"/>
        <w:rPr>
          <w:sz w:val="24"/>
          <w:szCs w:val="24"/>
        </w:rPr>
      </w:pPr>
    </w:p>
    <w:p>
      <w:pPr>
        <w:pStyle w:val="Body A"/>
        <w:jc w:val="center"/>
        <w:rPr>
          <w:sz w:val="24"/>
          <w:szCs w:val="24"/>
        </w:rPr>
      </w:pPr>
    </w:p>
    <w:p>
      <w:pPr>
        <w:pStyle w:val="Body A"/>
        <w:jc w:val="center"/>
        <w:rPr>
          <w:sz w:val="24"/>
          <w:szCs w:val="24"/>
        </w:rPr>
      </w:pPr>
    </w:p>
    <w:p>
      <w:pPr>
        <w:pStyle w:val="Body A"/>
        <w:jc w:val="center"/>
        <w:rPr>
          <w:sz w:val="24"/>
          <w:szCs w:val="24"/>
        </w:rPr>
      </w:pPr>
    </w:p>
    <w:p>
      <w:pPr>
        <w:pStyle w:val="Body A"/>
        <w:jc w:val="center"/>
        <w:rPr>
          <w:sz w:val="24"/>
          <w:szCs w:val="24"/>
        </w:rPr>
      </w:pPr>
      <w:r>
        <w:rPr>
          <w:sz w:val="24"/>
          <w:szCs w:val="24"/>
          <w:rtl w:val="0"/>
          <w:lang w:val="en-US"/>
        </w:rPr>
        <w:t xml:space="preserve">October </w:t>
      </w:r>
      <w:r>
        <w:rPr>
          <w:sz w:val="24"/>
          <w:szCs w:val="24"/>
          <w:rtl w:val="0"/>
          <w:lang w:val="en-US"/>
        </w:rPr>
        <w:t>12</w:t>
      </w:r>
      <w:r>
        <w:rPr>
          <w:sz w:val="24"/>
          <w:szCs w:val="24"/>
          <w:rtl w:val="0"/>
          <w:lang w:val="en-US"/>
        </w:rPr>
        <w:t>, 2017</w:t>
      </w:r>
    </w:p>
    <w:p>
      <w:pPr>
        <w:pStyle w:val="Body A"/>
        <w:jc w:val="center"/>
        <w:rPr>
          <w:sz w:val="24"/>
          <w:szCs w:val="24"/>
        </w:rPr>
      </w:pPr>
    </w:p>
    <w:p>
      <w:pPr>
        <w:pStyle w:val="Body A"/>
        <w:jc w:val="center"/>
        <w:rPr>
          <w:sz w:val="24"/>
          <w:szCs w:val="24"/>
        </w:rPr>
      </w:pPr>
    </w:p>
    <w:p>
      <w:pPr>
        <w:pStyle w:val="Body A"/>
        <w:jc w:val="center"/>
        <w:rPr>
          <w:sz w:val="24"/>
          <w:szCs w:val="24"/>
        </w:rPr>
      </w:pPr>
    </w:p>
    <w:p>
      <w:pPr>
        <w:pStyle w:val="Body A"/>
        <w:jc w:val="center"/>
        <w:rPr>
          <w:sz w:val="24"/>
          <w:szCs w:val="24"/>
        </w:rPr>
      </w:pPr>
    </w:p>
    <w:p>
      <w:pPr>
        <w:pStyle w:val="Body A"/>
        <w:jc w:val="center"/>
        <w:rPr>
          <w:sz w:val="24"/>
          <w:szCs w:val="24"/>
        </w:rPr>
      </w:pPr>
      <w:r>
        <w:rPr>
          <w:sz w:val="24"/>
          <w:szCs w:val="24"/>
          <w:rtl w:val="0"/>
          <w:lang w:val="en-US"/>
        </w:rPr>
        <w:t>Department of Geology</w:t>
      </w:r>
    </w:p>
    <w:p>
      <w:pPr>
        <w:pStyle w:val="Body A"/>
        <w:jc w:val="center"/>
        <w:rPr>
          <w:sz w:val="24"/>
          <w:szCs w:val="24"/>
        </w:rPr>
      </w:pPr>
    </w:p>
    <w:p>
      <w:pPr>
        <w:pStyle w:val="Body A"/>
        <w:jc w:val="center"/>
        <w:rPr>
          <w:sz w:val="32"/>
          <w:szCs w:val="32"/>
        </w:rPr>
      </w:pPr>
      <w:r>
        <w:rPr>
          <w:b w:val="1"/>
          <w:bCs w:val="1"/>
          <w:sz w:val="32"/>
          <w:szCs w:val="32"/>
          <w:rtl w:val="0"/>
          <w:lang w:val="en-US"/>
        </w:rPr>
        <w:t>University of Ottawa</w:t>
      </w:r>
    </w:p>
    <w:p>
      <w:pPr>
        <w:pStyle w:val="Body A"/>
        <w:jc w:val="center"/>
        <w:rPr>
          <w:sz w:val="32"/>
          <w:szCs w:val="32"/>
        </w:rPr>
      </w:pPr>
    </w:p>
    <w:p>
      <w:pPr>
        <w:pStyle w:val="Body A"/>
        <w:jc w:val="center"/>
        <w:rPr>
          <w:sz w:val="32"/>
          <w:szCs w:val="32"/>
        </w:rPr>
      </w:pPr>
    </w:p>
    <w:p>
      <w:pPr>
        <w:pStyle w:val="Body A"/>
        <w:jc w:val="center"/>
        <w:rPr>
          <w:sz w:val="32"/>
          <w:szCs w:val="32"/>
        </w:rPr>
      </w:pPr>
    </w:p>
    <w:p>
      <w:pPr>
        <w:pStyle w:val="Body A"/>
      </w:pPr>
    </w:p>
    <w:p>
      <w:pPr>
        <w:pStyle w:val="Body A"/>
      </w:pPr>
    </w:p>
    <w:p>
      <w:pPr>
        <w:pStyle w:val="Body A"/>
      </w:pPr>
    </w:p>
    <w:p>
      <w:pPr>
        <w:pStyle w:val="Body A"/>
      </w:pPr>
    </w:p>
    <w:p>
      <w:pPr>
        <w:pStyle w:val="Body A"/>
      </w:pPr>
    </w:p>
    <w:p>
      <w:pPr>
        <w:pStyle w:val="Body A"/>
        <w:rPr>
          <w:b w:val="1"/>
          <w:bCs w:val="1"/>
        </w:rPr>
      </w:pPr>
      <w:r>
        <w:rPr>
          <w:b w:val="1"/>
          <w:bCs w:val="1"/>
          <w:rtl w:val="0"/>
          <w:lang w:val="en-US"/>
        </w:rPr>
        <w:t>Introduction:</w:t>
      </w:r>
    </w:p>
    <w:p>
      <w:pPr>
        <w:pStyle w:val="Body A"/>
      </w:pPr>
      <w:r>
        <w:rPr>
          <w:rtl w:val="0"/>
        </w:rPr>
        <w:tab/>
        <w:t>This laboratory was conducted at the Cantley Quarry in Quebec on October 6 between 1-4pm.  It was a sunny day with a bit of a windy chill.  The point of this experiment was to observe the effects of glaciation on the rock structures that were present during that period.  The quarry was located just off the highway and is now a site for dumping of excess concrete and asphalt.  Marble was left with striations from the glacier sliding and grinding between the ice and rock.  Pressurized water also affected the shaping of the rock.  When walking a bit deeper into the quarry, a rat tail was observed on the face of a rock wall.</w:t>
      </w:r>
    </w:p>
    <w:p>
      <w:pPr>
        <w:pStyle w:val="Body A"/>
      </w:pPr>
    </w:p>
    <w:p>
      <w:pPr>
        <w:pStyle w:val="Body A"/>
        <w:rPr>
          <w:b w:val="1"/>
          <w:bCs w:val="1"/>
        </w:rPr>
      </w:pPr>
      <w:r>
        <w:rPr>
          <w:b w:val="1"/>
          <w:bCs w:val="1"/>
          <w:rtl w:val="0"/>
          <w:lang w:val="en-US"/>
        </w:rPr>
        <w:t>Objectives:</w:t>
      </w:r>
    </w:p>
    <w:p>
      <w:pPr>
        <w:pStyle w:val="Body A"/>
      </w:pPr>
      <w:r>
        <w:rPr>
          <w:rtl w:val="0"/>
        </w:rPr>
        <w:tab/>
        <w:t>The objective of this lab is to recognize signs of glaciation and deglaciation in the field, while practicing the theory learned in lectures.  Using these ideas from class, it is possible to reconstruct the history of the area before, during, and after glaciation.</w:t>
      </w:r>
    </w:p>
    <w:p>
      <w:pPr>
        <w:pStyle w:val="Body A"/>
      </w:pPr>
    </w:p>
    <w:p>
      <w:pPr>
        <w:pStyle w:val="Body A"/>
        <w:rPr>
          <w:b w:val="1"/>
          <w:bCs w:val="1"/>
        </w:rPr>
      </w:pPr>
      <w:r>
        <w:rPr>
          <w:b w:val="1"/>
          <w:bCs w:val="1"/>
          <w:rtl w:val="0"/>
          <w:lang w:val="en-US"/>
        </w:rPr>
        <w:t>Questions:</w:t>
      </w:r>
    </w:p>
    <w:p>
      <w:pPr>
        <w:pStyle w:val="Body A"/>
        <w:numPr>
          <w:ilvl w:val="0"/>
          <w:numId w:val="2"/>
        </w:numPr>
      </w:pPr>
      <w:r>
        <w:rPr>
          <w:rtl w:val="0"/>
        </w:rPr>
        <w:t xml:space="preserve">The grey bedrock located at the Cantley Quarry was identified as the metamorphic rock called marble.  Evidence of glaciation in this area includes the polished, smoothness of the marble, as well as the striations that indicate something dragged along the surface of the bedrock.  These striations are from the Wisconsinan Glaciation that began 80,000 years ago and ended about 12,000 years ago.  Another piece of evidence that supports the presence of glaciers is the formation of a rat tail on both the bedrock hill and the wall.  This is caused by the darker coloured rocks, xenoliths, which are considered to be a harder rock than marble, therefore a rat tail was formed.  This marble is similar to the Grenville gneiss studied in previous labs and was in fact created during the same process, the Grenville Orogeny.  The Grenville Orogeny occurred during the Proterozoic era during the formation of the supercontinent, Rodinia.  Limestone metamorphosed into the marble during this mountain building event and formed the metamorphic rock marble.  Since this occurred in the PreCambrian, limestone was not formed from organic matter, but rather from a process called chemical precipitation that causes the production of calcium carbonate from carbonic acid in water.  When HCl is poured onto the rock, a reaction occurs that causes intense bubbling, an indication that calcium carbonate is present in the marble. </w:t>
      </w:r>
    </w:p>
    <w:p>
      <w:pPr>
        <w:pStyle w:val="Body A"/>
      </w:pPr>
    </w:p>
    <w:p>
      <w:pPr>
        <w:pStyle w:val="Body A"/>
        <w:numPr>
          <w:ilvl w:val="0"/>
          <w:numId w:val="2"/>
        </w:numPr>
      </w:pPr>
      <w:r>
        <w:rPr>
          <w:rtl w:val="0"/>
        </w:rPr>
        <w:t xml:space="preserve">                 Parallel striations                                                    Angled striations</w:t>
      </w:r>
    </w:p>
    <w:p>
      <w:pPr>
        <w:pStyle w:val="Body A"/>
      </w:pPr>
    </w:p>
    <w:tbl>
      <w:tblPr>
        <w:tblW w:w="9355"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4677"/>
        <w:gridCol w:w="4678"/>
      </w:tblGrid>
      <w:tr>
        <w:tblPrEx>
          <w:shd w:val="clear" w:color="auto" w:fill="auto"/>
        </w:tblPrEx>
        <w:trPr>
          <w:trHeight w:val="279" w:hRule="atLeast"/>
        </w:trPr>
        <w:tc>
          <w:tcPr>
            <w:tcW w:type="dxa" w:w="467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Helvetica" w:hAnsi="Helvetica"/>
                <w:rtl w:val="0"/>
              </w:rPr>
              <w:t>338</w:t>
            </w:r>
            <w:r>
              <w:rPr>
                <w:rFonts w:ascii="Helvetica" w:hAnsi="Helvetica" w:hint="default"/>
                <w:rtl w:val="0"/>
              </w:rPr>
              <w:t xml:space="preserve">º </w:t>
            </w:r>
            <w:r>
              <w:rPr>
                <w:rFonts w:ascii="Helvetica" w:hAnsi="Helvetica"/>
                <w:rtl w:val="0"/>
              </w:rPr>
              <w:t>NW</w:t>
            </w:r>
          </w:p>
        </w:tc>
        <w:tc>
          <w:tcPr>
            <w:tcW w:type="dxa" w:w="467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Helvetica" w:hAnsi="Helvetica"/>
                <w:rtl w:val="0"/>
              </w:rPr>
              <w:t>325</w:t>
            </w:r>
            <w:r>
              <w:rPr>
                <w:rFonts w:ascii="Helvetica" w:hAnsi="Helvetica" w:hint="default"/>
                <w:rtl w:val="0"/>
              </w:rPr>
              <w:t xml:space="preserve">º </w:t>
            </w:r>
            <w:r>
              <w:rPr>
                <w:rFonts w:ascii="Helvetica" w:hAnsi="Helvetica"/>
                <w:rtl w:val="0"/>
              </w:rPr>
              <w:t>NW</w:t>
            </w:r>
          </w:p>
        </w:tc>
      </w:tr>
      <w:tr>
        <w:tblPrEx>
          <w:shd w:val="clear" w:color="auto" w:fill="auto"/>
        </w:tblPrEx>
        <w:trPr>
          <w:trHeight w:val="279" w:hRule="atLeast"/>
        </w:trPr>
        <w:tc>
          <w:tcPr>
            <w:tcW w:type="dxa" w:w="467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Helvetica" w:hAnsi="Helvetica"/>
                <w:rtl w:val="0"/>
              </w:rPr>
              <w:t>338</w:t>
            </w:r>
            <w:r>
              <w:rPr>
                <w:rFonts w:ascii="Helvetica" w:hAnsi="Helvetica" w:hint="default"/>
                <w:rtl w:val="0"/>
              </w:rPr>
              <w:t xml:space="preserve">º </w:t>
            </w:r>
            <w:r>
              <w:rPr>
                <w:rFonts w:ascii="Helvetica" w:hAnsi="Helvetica"/>
                <w:rtl w:val="0"/>
              </w:rPr>
              <w:t>NW</w:t>
            </w:r>
          </w:p>
        </w:tc>
        <w:tc>
          <w:tcPr>
            <w:tcW w:type="dxa" w:w="467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Helvetica" w:hAnsi="Helvetica"/>
                <w:rtl w:val="0"/>
              </w:rPr>
              <w:t>324</w:t>
            </w:r>
            <w:r>
              <w:rPr>
                <w:rFonts w:ascii="Helvetica" w:hAnsi="Helvetica" w:hint="default"/>
                <w:rtl w:val="0"/>
              </w:rPr>
              <w:t xml:space="preserve">º </w:t>
            </w:r>
            <w:r>
              <w:rPr>
                <w:rFonts w:ascii="Helvetica" w:hAnsi="Helvetica"/>
                <w:rtl w:val="0"/>
              </w:rPr>
              <w:t>NW</w:t>
            </w:r>
          </w:p>
        </w:tc>
      </w:tr>
      <w:tr>
        <w:tblPrEx>
          <w:shd w:val="clear" w:color="auto" w:fill="auto"/>
        </w:tblPrEx>
        <w:trPr>
          <w:trHeight w:val="279" w:hRule="atLeast"/>
        </w:trPr>
        <w:tc>
          <w:tcPr>
            <w:tcW w:type="dxa" w:w="467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Helvetica" w:hAnsi="Helvetica"/>
                <w:rtl w:val="0"/>
              </w:rPr>
              <w:t>338</w:t>
            </w:r>
            <w:r>
              <w:rPr>
                <w:rFonts w:ascii="Helvetica" w:hAnsi="Helvetica" w:hint="default"/>
                <w:rtl w:val="0"/>
              </w:rPr>
              <w:t xml:space="preserve">º </w:t>
            </w:r>
            <w:r>
              <w:rPr>
                <w:rFonts w:ascii="Helvetica" w:hAnsi="Helvetica"/>
                <w:rtl w:val="0"/>
              </w:rPr>
              <w:t>NW</w:t>
            </w:r>
          </w:p>
        </w:tc>
        <w:tc>
          <w:tcPr>
            <w:tcW w:type="dxa" w:w="467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Helvetica" w:hAnsi="Helvetica"/>
                <w:rtl w:val="0"/>
              </w:rPr>
              <w:t>324</w:t>
            </w:r>
            <w:r>
              <w:rPr>
                <w:rFonts w:ascii="Helvetica" w:hAnsi="Helvetica" w:hint="default"/>
                <w:rtl w:val="0"/>
              </w:rPr>
              <w:t xml:space="preserve">º </w:t>
            </w:r>
            <w:r>
              <w:rPr>
                <w:rFonts w:ascii="Helvetica" w:hAnsi="Helvetica"/>
                <w:rtl w:val="0"/>
              </w:rPr>
              <w:t>NW</w:t>
            </w:r>
          </w:p>
        </w:tc>
      </w:tr>
      <w:tr>
        <w:tblPrEx>
          <w:shd w:val="clear" w:color="auto" w:fill="auto"/>
        </w:tblPrEx>
        <w:trPr>
          <w:trHeight w:val="279" w:hRule="atLeast"/>
        </w:trPr>
        <w:tc>
          <w:tcPr>
            <w:tcW w:type="dxa" w:w="467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Helvetica" w:hAnsi="Helvetica"/>
                <w:rtl w:val="0"/>
              </w:rPr>
              <w:t>335</w:t>
            </w:r>
            <w:r>
              <w:rPr>
                <w:rFonts w:ascii="Helvetica" w:hAnsi="Helvetica" w:hint="default"/>
                <w:rtl w:val="0"/>
              </w:rPr>
              <w:t xml:space="preserve">º </w:t>
            </w:r>
            <w:r>
              <w:rPr>
                <w:rFonts w:ascii="Helvetica" w:hAnsi="Helvetica"/>
                <w:rtl w:val="0"/>
              </w:rPr>
              <w:t>NW</w:t>
            </w:r>
          </w:p>
        </w:tc>
        <w:tc>
          <w:tcPr>
            <w:tcW w:type="dxa" w:w="467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Helvetica" w:hAnsi="Helvetica"/>
                <w:rtl w:val="0"/>
              </w:rPr>
              <w:t>318</w:t>
            </w:r>
            <w:r>
              <w:rPr>
                <w:rFonts w:ascii="Helvetica" w:hAnsi="Helvetica" w:hint="default"/>
                <w:rtl w:val="0"/>
              </w:rPr>
              <w:t xml:space="preserve">º </w:t>
            </w:r>
            <w:r>
              <w:rPr>
                <w:rFonts w:ascii="Helvetica" w:hAnsi="Helvetica"/>
                <w:rtl w:val="0"/>
              </w:rPr>
              <w:t>NW</w:t>
            </w:r>
          </w:p>
        </w:tc>
      </w:tr>
      <w:tr>
        <w:tblPrEx>
          <w:shd w:val="clear" w:color="auto" w:fill="auto"/>
        </w:tblPrEx>
        <w:trPr>
          <w:trHeight w:val="279" w:hRule="atLeast"/>
        </w:trPr>
        <w:tc>
          <w:tcPr>
            <w:tcW w:type="dxa" w:w="467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Helvetica" w:hAnsi="Helvetica"/>
                <w:rtl w:val="0"/>
              </w:rPr>
              <w:t>332</w:t>
            </w:r>
            <w:r>
              <w:rPr>
                <w:rFonts w:ascii="Helvetica" w:hAnsi="Helvetica" w:hint="default"/>
                <w:rtl w:val="0"/>
              </w:rPr>
              <w:t xml:space="preserve">º </w:t>
            </w:r>
            <w:r>
              <w:rPr>
                <w:rFonts w:ascii="Helvetica" w:hAnsi="Helvetica"/>
                <w:rtl w:val="0"/>
              </w:rPr>
              <w:t>NW</w:t>
            </w:r>
          </w:p>
        </w:tc>
        <w:tc>
          <w:tcPr>
            <w:tcW w:type="dxa" w:w="467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Helvetica" w:hAnsi="Helvetica"/>
                <w:rtl w:val="0"/>
              </w:rPr>
              <w:t>320</w:t>
            </w:r>
            <w:r>
              <w:rPr>
                <w:rFonts w:ascii="Helvetica" w:hAnsi="Helvetica" w:hint="default"/>
                <w:rtl w:val="0"/>
              </w:rPr>
              <w:t xml:space="preserve">º </w:t>
            </w:r>
            <w:r>
              <w:rPr>
                <w:rFonts w:ascii="Helvetica" w:hAnsi="Helvetica"/>
                <w:rtl w:val="0"/>
              </w:rPr>
              <w:t>NW</w:t>
            </w:r>
          </w:p>
        </w:tc>
      </w:tr>
      <w:tr>
        <w:tblPrEx>
          <w:shd w:val="clear" w:color="auto" w:fill="auto"/>
        </w:tblPrEx>
        <w:trPr>
          <w:trHeight w:val="279" w:hRule="atLeast"/>
        </w:trPr>
        <w:tc>
          <w:tcPr>
            <w:tcW w:type="dxa" w:w="467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Helvetica" w:hAnsi="Helvetica"/>
                <w:rtl w:val="0"/>
              </w:rPr>
              <w:t>Average: 336.2</w:t>
            </w:r>
            <w:r>
              <w:rPr>
                <w:rFonts w:ascii="Helvetica" w:hAnsi="Helvetica" w:hint="default"/>
                <w:rtl w:val="0"/>
              </w:rPr>
              <w:t xml:space="preserve">º </w:t>
            </w:r>
            <w:r>
              <w:rPr>
                <w:rFonts w:ascii="Helvetica" w:hAnsi="Helvetica"/>
                <w:rtl w:val="0"/>
              </w:rPr>
              <w:t>NW</w:t>
            </w:r>
          </w:p>
        </w:tc>
        <w:tc>
          <w:tcPr>
            <w:tcW w:type="dxa" w:w="467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Helvetica" w:hAnsi="Helvetica"/>
                <w:rtl w:val="0"/>
              </w:rPr>
              <w:t>Average: 322.2</w:t>
            </w:r>
            <w:r>
              <w:rPr>
                <w:rFonts w:ascii="Helvetica" w:hAnsi="Helvetica" w:hint="default"/>
                <w:rtl w:val="0"/>
              </w:rPr>
              <w:t xml:space="preserve">º </w:t>
            </w:r>
            <w:r>
              <w:rPr>
                <w:rFonts w:ascii="Helvetica" w:hAnsi="Helvetica"/>
                <w:rtl w:val="0"/>
              </w:rPr>
              <w:t>NW</w:t>
            </w:r>
          </w:p>
        </w:tc>
      </w:tr>
    </w:tbl>
    <w:p>
      <w:pPr>
        <w:pStyle w:val="Body A"/>
        <w:numPr>
          <w:ilvl w:val="0"/>
          <w:numId w:val="2"/>
        </w:numPr>
      </w:pPr>
    </w:p>
    <w:p>
      <w:pPr>
        <w:pStyle w:val="Body A"/>
        <w:rPr>
          <w:rFonts w:ascii="Lucida Grande" w:cs="Lucida Grande" w:hAnsi="Lucida Grande" w:eastAsia="Lucida Grande"/>
          <w:sz w:val="24"/>
          <w:szCs w:val="24"/>
        </w:rPr>
      </w:pPr>
    </w:p>
    <w:p>
      <w:pPr>
        <w:pStyle w:val="Body A"/>
      </w:pPr>
      <w:r>
        <w:rPr>
          <w:rtl w:val="0"/>
        </w:rPr>
        <w:t>These measurements were taken using a compass and comparing the direction of the striations to magnetic north.  After examining the 2 sets of striations in the bedrock, it was determined that the angled structures are younger.  If a point of intersection between parallel and angled striations is found, it can be observed that the angled is younger because they cross on top of the older, parallel striations.</w:t>
      </w:r>
    </w:p>
    <w:p>
      <w:pPr>
        <w:pStyle w:val="Body A"/>
      </w:pPr>
    </w:p>
    <w:p>
      <w:pPr>
        <w:pStyle w:val="Body A"/>
      </w:pPr>
      <w:r>
        <w:rPr>
          <w:rtl w:val="0"/>
        </w:rPr>
        <w:t xml:space="preserve">3.  The two features that support the idea of erosion at this quarry site are the striations and the rat tails.  The striations are from an era of glaciation when the glacier would slide over the bedrock and smaller rocks encased in the bottom of the glacier would scratch the marble and leave embedded marks called striations.  Striations do not indicate the direction of flow of the glacier, that can only be determined by looking at the rat tails.  Despite the presence of many of these striations, the surface of the marble is still considered to be smooth and polished.  </w:t>
      </w:r>
    </w:p>
    <w:p>
      <w:pPr>
        <w:pStyle w:val="Body A"/>
      </w:pPr>
      <w:r>
        <w:rPr>
          <w:rtl w:val="0"/>
        </w:rPr>
        <w:t xml:space="preserve">      Erosional feature number two is the rat tail.  This is caused by the xenoliths present in the rock that are much harder than the rock around it.  This means that friction from the glacier doesn</w:t>
      </w:r>
      <w:r>
        <w:rPr>
          <w:rtl w:val="0"/>
        </w:rPr>
        <w:t>’</w:t>
      </w:r>
      <w:r>
        <w:rPr>
          <w:rtl w:val="0"/>
        </w:rPr>
        <w:t>t affect the xenolith as much and instead the pressure is shifted to the marble surrounding it, explaining the deep grooves.  The direction the glacier was flowing is given by the shape of the rat tail.  The beginning of the rat tail is the xenolith and is the widest point, while moving along the feature it becomes thinner and thinner until the rat tail forms back with the marble around it.  Following the rat tail, the direction of flow of the glacier was south.  Formation of the rat tails can be explained by two processes.  Glacial abrasion and turbulent water.  Turbulent water is when the meltwater from the top of the glacier is pressurized and aids in the erosion of the marble bedrock.  For a sketch of the rat tail on the wall-side, see attached sheet.</w:t>
      </w:r>
    </w:p>
    <w:p>
      <w:pPr>
        <w:pStyle w:val="Body A"/>
      </w:pPr>
    </w:p>
    <w:p>
      <w:pPr>
        <w:pStyle w:val="Body A"/>
      </w:pPr>
      <w:r>
        <w:rPr>
          <w:rtl w:val="0"/>
        </w:rPr>
        <w:t>4.    After the Grenville Orogeny metamorphosed limestone into marble in the southern hemisphere, the continent was shifted north by tectonic movement and the area was thrust into a cold climate.  Many years after, the Wisconsinan Glaciation began (~80,000 years ago) and the area was covered in glaciers.  These glaciers were formed from snowfall that compacted into ice and therefore glaciers.  This put the quarry bedrock under a lot of pressure and stress.  The peak of this glaciation period occurred ~18,000 years ago and ended ~12,000 years ago due to warmer climate.  During the Wisconsinan Glaciation, the bedrock at Cantley Quarry underwent intense geological processes.  This includes the glacier sliding over the marble, leaving the striations and rat tails.  The glacier left the bedrock with a polished smooth appearance despite the presence of the rat tails and striations.  The xenoliths present in the marble are responsible for the rat tail formation and indicate the direction of flow was south.  It is known that the xenoliths are younger than the marble because they were intrusive on the limestone protolith.  After the erosion of the bedrock, the glaciers retreated due to warmer climates and the Champlain Sea was formed.</w:t>
      </w:r>
    </w:p>
    <w:p>
      <w:pPr>
        <w:pStyle w:val="Body A"/>
      </w:pPr>
    </w:p>
    <w:p>
      <w:pPr>
        <w:pStyle w:val="Body A"/>
      </w:pPr>
      <w:r>
        <w:rPr>
          <w:rtl w:val="0"/>
        </w:rPr>
        <w:t xml:space="preserve">5.    In laboratory 2 we observed an outcrop at Lac Beauchamp.  One of the many observations that were made was the presence of chatter marks on the top of the Nepean Sandstone layer of the outcrop.  There were no chatter marks on the surface of the Cantley Quarry bedrock due to the composition of the rock.  The hardness of the sandstone is much harder than the marble at the quarry due to its composition of quartz.  The marble is composed of calcite, and is therefore not as brittle at the sandstone.  A glacier will apply pressure and stress to a rock, leaving chatter marks which look like half moon shapes.  The glacier has little rocks encased in the bottom of it that left the marks after the sandstone cracked under its pressure.  Due to the marble being softer, it deformed under this pressure rather than cracking, which is why rat tails are observed at the quarry site.  </w:t>
      </w:r>
    </w:p>
    <w:p>
      <w:pPr>
        <w:pStyle w:val="Body A"/>
      </w:pPr>
    </w:p>
    <w:p>
      <w:pPr>
        <w:pStyle w:val="Body A"/>
        <w:rPr>
          <w:b w:val="1"/>
          <w:bCs w:val="1"/>
        </w:rPr>
      </w:pPr>
      <w:r>
        <w:rPr>
          <w:b w:val="1"/>
          <w:bCs w:val="1"/>
          <w:rtl w:val="0"/>
          <w:lang w:val="en-US"/>
        </w:rPr>
        <w:t>Conclusion:</w:t>
      </w:r>
    </w:p>
    <w:p>
      <w:pPr>
        <w:pStyle w:val="Body A"/>
      </w:pPr>
      <w:r>
        <w:rPr>
          <w:rtl w:val="0"/>
        </w:rPr>
        <w:tab/>
        <w:t xml:space="preserve">The purpose of this lab is to examine areas of glaciation for clues of what took place and in which sequence they occurred. The observations from this experiment reflect the material learned in the lecture portion of the class.  By utilizing relative age dating, a timeline of events was defined and proven by the striations in the marble rock, as well as the rat tails that were formed by the glacier making contact with a xenolith. </w:t>
      </w:r>
    </w:p>
    <w:p>
      <w:pPr>
        <w:pStyle w:val="Body A"/>
      </w:pPr>
    </w:p>
    <w:p>
      <w:pPr>
        <w:pStyle w:val="Body A"/>
        <w:rPr>
          <w:b w:val="1"/>
          <w:bCs w:val="1"/>
        </w:rPr>
      </w:pPr>
      <w:r>
        <w:rPr>
          <w:b w:val="1"/>
          <w:bCs w:val="1"/>
          <w:rtl w:val="0"/>
          <w:lang w:val="en-US"/>
        </w:rPr>
        <w:t>References:</w:t>
      </w:r>
    </w:p>
    <w:p>
      <w:pPr>
        <w:pStyle w:val="Body A"/>
      </w:pPr>
    </w:p>
    <w:p>
      <w:pPr>
        <w:pStyle w:val="Body A"/>
      </w:pPr>
      <w:r>
        <w:rPr>
          <w:rtl w:val="0"/>
        </w:rPr>
        <w:t>GEO1115 Lab Manual</w:t>
      </w:r>
    </w:p>
    <w:p>
      <w:pPr>
        <w:pStyle w:val="Body A"/>
      </w:pPr>
    </w:p>
    <w:p>
      <w:pPr>
        <w:pStyle w:val="Body A"/>
      </w:pPr>
      <w:r>
        <w:rPr>
          <w:rStyle w:val="Hyperlink.0"/>
        </w:rPr>
        <w:fldChar w:fldCharType="begin" w:fldLock="0"/>
      </w:r>
      <w:r>
        <w:rPr>
          <w:rStyle w:val="Hyperlink.0"/>
        </w:rPr>
        <w:instrText xml:space="preserve"> HYPERLINK "http://www.bbc.co.uk/schools/gcsebitesize/geography/glacial_landscapes/glaciation_rev3.shtml"</w:instrText>
      </w:r>
      <w:r>
        <w:rPr>
          <w:rStyle w:val="Hyperlink.0"/>
        </w:rPr>
        <w:fldChar w:fldCharType="separate" w:fldLock="0"/>
      </w:r>
      <w:r>
        <w:rPr>
          <w:rStyle w:val="Hyperlink.0"/>
          <w:rtl w:val="0"/>
        </w:rPr>
        <w:t>http://www.bbc.co.uk/schools/gcsebitesize/geography/glacial_landscapes/glaciation_rev3.shtml</w:t>
      </w:r>
      <w:r>
        <w:rPr/>
        <w:fldChar w:fldCharType="end" w:fldLock="0"/>
      </w:r>
    </w:p>
    <w:p>
      <w:pPr>
        <w:pStyle w:val="Body A"/>
      </w:pPr>
    </w:p>
    <w:p>
      <w:pPr>
        <w:pStyle w:val="Body A"/>
      </w:pPr>
      <w:r>
        <w:rPr>
          <w:rStyle w:val="Hyperlink.0"/>
        </w:rPr>
        <w:fldChar w:fldCharType="begin" w:fldLock="0"/>
      </w:r>
      <w:r>
        <w:rPr>
          <w:rStyle w:val="Hyperlink.0"/>
        </w:rPr>
        <w:instrText xml:space="preserve"> HYPERLINK "http://homeguides.sfgate.com/plucking-abrasion-78911.html"</w:instrText>
      </w:r>
      <w:r>
        <w:rPr>
          <w:rStyle w:val="Hyperlink.0"/>
        </w:rPr>
        <w:fldChar w:fldCharType="separate" w:fldLock="0"/>
      </w:r>
      <w:r>
        <w:rPr>
          <w:rStyle w:val="Hyperlink.0"/>
          <w:rtl w:val="0"/>
        </w:rPr>
        <w:t>http://homeguides.sfgate.com/plucking-abrasion-78911.html</w:t>
      </w:r>
      <w:r>
        <w:rPr/>
        <w:fldChar w:fldCharType="end" w:fldLock="0"/>
      </w:r>
    </w:p>
    <w:p>
      <w:pPr>
        <w:pStyle w:val="Body A"/>
      </w:pPr>
    </w:p>
    <w:p>
      <w:pPr>
        <w:pStyle w:val="Default"/>
        <w:bidi w:val="0"/>
        <w:ind w:left="0" w:right="0" w:firstLine="0"/>
        <w:jc w:val="left"/>
        <w:rPr>
          <w:rtl w:val="0"/>
        </w:rPr>
      </w:pPr>
      <w:r>
        <w:rPr>
          <w:rStyle w:val="Hyperlink.0"/>
          <w:color w:val="1c263c"/>
          <w:sz w:val="24"/>
          <w:szCs w:val="24"/>
          <w:rtl w:val="0"/>
        </w:rPr>
        <w:fldChar w:fldCharType="begin" w:fldLock="0"/>
      </w:r>
      <w:r>
        <w:rPr>
          <w:rStyle w:val="Hyperlink.0"/>
          <w:color w:val="1c263c"/>
          <w:sz w:val="24"/>
          <w:szCs w:val="24"/>
          <w:rtl w:val="0"/>
        </w:rPr>
        <w:instrText xml:space="preserve"> HYPERLINK "http://sp.lyellcollection.org/content/94/1/13"</w:instrText>
      </w:r>
      <w:r>
        <w:rPr>
          <w:rStyle w:val="Hyperlink.0"/>
          <w:color w:val="1c263c"/>
          <w:sz w:val="24"/>
          <w:szCs w:val="24"/>
          <w:rtl w:val="0"/>
        </w:rPr>
        <w:fldChar w:fldCharType="separate" w:fldLock="0"/>
      </w:r>
      <w:r>
        <w:rPr>
          <w:rStyle w:val="Hyperlink.0"/>
          <w:color w:val="1c263c"/>
          <w:sz w:val="24"/>
          <w:szCs w:val="24"/>
          <w:rtl w:val="0"/>
          <w:lang w:val="en-US"/>
        </w:rPr>
        <w:t>http://sp.lyellcollection.org/content/94/1/13</w:t>
      </w:r>
      <w:r>
        <w:rPr>
          <w:color w:val="1c263c"/>
          <w:sz w:val="24"/>
          <w:szCs w:val="24"/>
          <w:rtl w:val="0"/>
        </w:rPr>
        <w:fldChar w:fldCharType="end" w:fldLock="0"/>
      </w:r>
      <w:r>
        <w:rPr>
          <w:color w:val="1c263c"/>
          <w:sz w:val="24"/>
          <w:szCs w:val="24"/>
          <w:rtl w:val="0"/>
        </w:rPr>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Lucida Grand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umbered"/>
  </w:abstractNum>
  <w:abstractNum w:abstractNumId="1">
    <w:multiLevelType w:val="hybridMultilevel"/>
    <w:styleLink w:val="Numbered"/>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numbering" w:styleId="Numbered">
    <w:name w:val="Numbered"/>
    <w:pPr>
      <w:numPr>
        <w:numId w:val="1"/>
      </w:numPr>
    </w:p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0"/>
      <w:szCs w:val="20"/>
      <w:u w:val="none"/>
      <w:vertAlign w:val="baseline"/>
    </w:rPr>
  </w:style>
  <w:style w:type="character" w:styleId="Hyperlink.0">
    <w:name w:val="Hyperlink.0"/>
    <w:basedOn w:val="Hyperlink"/>
    <w:next w:val="Hyperlink.0"/>
    <w:rPr>
      <w:u w:val="single"/>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