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sz w:val="36"/>
          <w:szCs w:val="36"/>
        </w:rPr>
      </w:pPr>
      <w:r w:rsidDel="00000000" w:rsidR="00000000" w:rsidRPr="00000000">
        <w:rPr>
          <w:sz w:val="36"/>
          <w:szCs w:val="36"/>
          <w:rtl w:val="0"/>
        </w:rPr>
        <w:t xml:space="preserve">The Wisconsinan glaciation</w:t>
      </w:r>
    </w:p>
    <w:p w:rsidR="00000000" w:rsidDel="00000000" w:rsidP="00000000" w:rsidRDefault="00000000" w:rsidRPr="00000000">
      <w:pPr>
        <w:contextualSpacing w:val="0"/>
        <w:jc w:val="center"/>
        <w:rPr>
          <w:sz w:val="36"/>
          <w:szCs w:val="36"/>
        </w:rPr>
      </w:pPr>
      <w:r w:rsidDel="00000000" w:rsidR="00000000" w:rsidRPr="00000000">
        <w:rPr>
          <w:sz w:val="36"/>
          <w:szCs w:val="36"/>
          <w:rtl w:val="0"/>
        </w:rPr>
        <w:t xml:space="preserve">Lab Report (Lab #4)</w:t>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sz w:val="36"/>
          <w:szCs w:val="36"/>
          <w:rtl w:val="0"/>
        </w:rPr>
        <w:t xml:space="preserve">Submitted to:</w:t>
      </w:r>
    </w:p>
    <w:p w:rsidR="00000000" w:rsidDel="00000000" w:rsidP="00000000" w:rsidRDefault="00000000" w:rsidRPr="00000000">
      <w:pPr>
        <w:contextualSpacing w:val="0"/>
        <w:jc w:val="center"/>
        <w:rPr>
          <w:sz w:val="36"/>
          <w:szCs w:val="36"/>
        </w:rPr>
      </w:pPr>
      <w:r w:rsidDel="00000000" w:rsidR="00000000" w:rsidRPr="00000000">
        <w:rPr>
          <w:sz w:val="36"/>
          <w:szCs w:val="36"/>
          <w:rtl w:val="0"/>
        </w:rPr>
        <w:t xml:space="preserve">Professor Simone Dumas</w:t>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sz w:val="36"/>
          <w:szCs w:val="36"/>
          <w:rtl w:val="0"/>
        </w:rPr>
        <w:t xml:space="preserve">For the course</w:t>
      </w:r>
    </w:p>
    <w:p w:rsidR="00000000" w:rsidDel="00000000" w:rsidP="00000000" w:rsidRDefault="00000000" w:rsidRPr="00000000">
      <w:pPr>
        <w:contextualSpacing w:val="0"/>
        <w:jc w:val="center"/>
        <w:rPr>
          <w:sz w:val="36"/>
          <w:szCs w:val="36"/>
        </w:rPr>
      </w:pPr>
      <w:r w:rsidDel="00000000" w:rsidR="00000000" w:rsidRPr="00000000">
        <w:rPr>
          <w:sz w:val="36"/>
          <w:szCs w:val="36"/>
          <w:rtl w:val="0"/>
        </w:rPr>
        <w:t xml:space="preserve">Introduction to Earth Materials</w:t>
      </w:r>
    </w:p>
    <w:p w:rsidR="00000000" w:rsidDel="00000000" w:rsidP="00000000" w:rsidRDefault="00000000" w:rsidRPr="00000000">
      <w:pPr>
        <w:contextualSpacing w:val="0"/>
        <w:jc w:val="center"/>
        <w:rPr>
          <w:sz w:val="36"/>
          <w:szCs w:val="36"/>
        </w:rPr>
      </w:pPr>
      <w:r w:rsidDel="00000000" w:rsidR="00000000" w:rsidRPr="00000000">
        <w:rPr>
          <w:sz w:val="36"/>
          <w:szCs w:val="36"/>
          <w:rtl w:val="0"/>
        </w:rPr>
        <w:t xml:space="preserve">(GEO1115)</w:t>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sz w:val="36"/>
          <w:szCs w:val="36"/>
          <w:rtl w:val="0"/>
        </w:rPr>
        <w:t xml:space="preserve">By:</w:t>
      </w:r>
    </w:p>
    <w:p w:rsidR="00000000" w:rsidDel="00000000" w:rsidP="00000000" w:rsidRDefault="00000000" w:rsidRPr="00000000">
      <w:pPr>
        <w:contextualSpacing w:val="0"/>
        <w:jc w:val="center"/>
        <w:rPr>
          <w:sz w:val="36"/>
          <w:szCs w:val="36"/>
        </w:rPr>
      </w:pPr>
      <w:r w:rsidDel="00000000" w:rsidR="00000000" w:rsidRPr="00000000">
        <w:rPr>
          <w:sz w:val="36"/>
          <w:szCs w:val="36"/>
          <w:rtl w:val="0"/>
        </w:rPr>
        <w:t xml:space="preserve">Omar Abdel-Salam</w:t>
      </w:r>
    </w:p>
    <w:p w:rsidR="00000000" w:rsidDel="00000000" w:rsidP="00000000" w:rsidRDefault="00000000" w:rsidRPr="00000000">
      <w:pPr>
        <w:contextualSpacing w:val="0"/>
        <w:jc w:val="center"/>
        <w:rPr>
          <w:sz w:val="36"/>
          <w:szCs w:val="36"/>
        </w:rPr>
      </w:pPr>
      <w:r w:rsidDel="00000000" w:rsidR="00000000" w:rsidRPr="00000000">
        <w:rPr>
          <w:sz w:val="36"/>
          <w:szCs w:val="36"/>
          <w:rtl w:val="0"/>
        </w:rPr>
        <w:t xml:space="preserve">Student # 8805064</w:t>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sz w:val="36"/>
          <w:szCs w:val="36"/>
          <w:rtl w:val="0"/>
        </w:rPr>
        <w:t xml:space="preserve">University of Ottawa</w:t>
      </w:r>
    </w:p>
    <w:p w:rsidR="00000000" w:rsidDel="00000000" w:rsidP="00000000" w:rsidRDefault="00000000" w:rsidRPr="00000000">
      <w:pPr>
        <w:contextualSpacing w:val="0"/>
        <w:jc w:val="center"/>
        <w:rPr>
          <w:sz w:val="36"/>
          <w:szCs w:val="36"/>
        </w:rPr>
      </w:pPr>
      <w:r w:rsidDel="00000000" w:rsidR="00000000" w:rsidRPr="00000000">
        <w:rPr>
          <w:sz w:val="36"/>
          <w:szCs w:val="36"/>
          <w:rtl w:val="0"/>
        </w:rPr>
        <w:t xml:space="preserve">October 12th 2017</w:t>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center"/>
        <w:rPr>
          <w:sz w:val="36"/>
          <w:szCs w:val="36"/>
        </w:rPr>
      </w:pPr>
      <w:r w:rsidDel="00000000" w:rsidR="00000000" w:rsidRPr="00000000">
        <w:rPr>
          <w:rtl w:val="0"/>
        </w:rPr>
      </w:r>
    </w:p>
    <w:p w:rsidR="00000000" w:rsidDel="00000000" w:rsidP="00000000" w:rsidRDefault="00000000" w:rsidRPr="00000000">
      <w:pPr>
        <w:contextualSpacing w:val="0"/>
        <w:jc w:val="left"/>
        <w:rPr>
          <w:sz w:val="36"/>
          <w:szCs w:val="36"/>
        </w:rPr>
      </w:pPr>
      <w:r w:rsidDel="00000000" w:rsidR="00000000" w:rsidRPr="00000000">
        <w:rPr>
          <w:sz w:val="36"/>
          <w:szCs w:val="36"/>
          <w:rtl w:val="0"/>
        </w:rPr>
        <w:t xml:space="preserve">Introduction:</w:t>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sz w:val="28"/>
          <w:szCs w:val="28"/>
          <w:rtl w:val="0"/>
        </w:rPr>
        <w:t xml:space="preserve">On the 6th of October 2017, we went to Cantley Quarry to observe marble and its origins and geological history. The weather was sunny and partly cloudy, with cool mild winds. The earth experienced times of glacial and interglacial periods, with the Wisconsinan Glaciation being the most recent one and the final glacial period of the Quaternary period. This glaciation occurred approximately 80 thousand years ago, and retreating nearly 12 thousand years ago. The Cantley Quarry was unique, as it consisted of very large and well preserved rat tails. Rat tails are ridges formed by glacial forces when xenoliths are present in the rocks. Our lab also examined two different sets of striations that were extremely noticeable in the marble, and had to determine which was the younger of the two by using clues given to us by the two sets. We also studied the sedimentary deposits that had been transported by rapid glacial melt.</w:t>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36"/>
          <w:szCs w:val="36"/>
        </w:rPr>
      </w:pPr>
      <w:r w:rsidDel="00000000" w:rsidR="00000000" w:rsidRPr="00000000">
        <w:rPr>
          <w:sz w:val="36"/>
          <w:szCs w:val="36"/>
          <w:rtl w:val="0"/>
        </w:rPr>
        <w:t xml:space="preserve">Objectives:</w:t>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numPr>
          <w:ilvl w:val="0"/>
          <w:numId w:val="2"/>
        </w:numPr>
        <w:ind w:left="720" w:hanging="360"/>
        <w:contextualSpacing w:val="1"/>
        <w:jc w:val="left"/>
        <w:rPr>
          <w:sz w:val="28"/>
          <w:szCs w:val="28"/>
          <w:u w:val="none"/>
        </w:rPr>
      </w:pPr>
      <w:r w:rsidDel="00000000" w:rsidR="00000000" w:rsidRPr="00000000">
        <w:rPr>
          <w:sz w:val="28"/>
          <w:szCs w:val="28"/>
          <w:rtl w:val="0"/>
        </w:rPr>
        <w:t xml:space="preserve">To recognize in the field the attributes of continental glaciation.</w:t>
      </w:r>
    </w:p>
    <w:p w:rsidR="00000000" w:rsidDel="00000000" w:rsidP="00000000" w:rsidRDefault="00000000" w:rsidRPr="00000000">
      <w:pPr>
        <w:numPr>
          <w:ilvl w:val="0"/>
          <w:numId w:val="2"/>
        </w:numPr>
        <w:ind w:left="720" w:hanging="360"/>
        <w:contextualSpacing w:val="1"/>
        <w:jc w:val="left"/>
        <w:rPr>
          <w:sz w:val="28"/>
          <w:szCs w:val="28"/>
          <w:u w:val="none"/>
        </w:rPr>
      </w:pPr>
      <w:r w:rsidDel="00000000" w:rsidR="00000000" w:rsidRPr="00000000">
        <w:rPr>
          <w:sz w:val="28"/>
          <w:szCs w:val="28"/>
          <w:rtl w:val="0"/>
        </w:rPr>
        <w:t xml:space="preserve">To reconstruct the local geological history of glaciation and deglaciation.</w:t>
      </w:r>
    </w:p>
    <w:p w:rsidR="00000000" w:rsidDel="00000000" w:rsidP="00000000" w:rsidRDefault="00000000" w:rsidRPr="00000000">
      <w:pPr>
        <w:contextualSpacing w:val="0"/>
        <w:jc w:val="left"/>
        <w:rPr>
          <w:sz w:val="36"/>
          <w:szCs w:val="36"/>
        </w:rPr>
      </w:pPr>
      <w:r w:rsidDel="00000000" w:rsidR="00000000" w:rsidRPr="00000000">
        <w:rPr>
          <w:rtl w:val="0"/>
        </w:rPr>
      </w:r>
    </w:p>
    <w:p w:rsidR="00000000" w:rsidDel="00000000" w:rsidP="00000000" w:rsidRDefault="00000000" w:rsidRPr="00000000">
      <w:pPr>
        <w:contextualSpacing w:val="0"/>
        <w:jc w:val="left"/>
        <w:rPr>
          <w:sz w:val="36"/>
          <w:szCs w:val="36"/>
        </w:rPr>
      </w:pPr>
      <w:r w:rsidDel="00000000" w:rsidR="00000000" w:rsidRPr="00000000">
        <w:rPr>
          <w:rtl w:val="0"/>
        </w:rPr>
      </w:r>
    </w:p>
    <w:p w:rsidR="00000000" w:rsidDel="00000000" w:rsidP="00000000" w:rsidRDefault="00000000" w:rsidRPr="00000000">
      <w:pPr>
        <w:contextualSpacing w:val="0"/>
        <w:jc w:val="left"/>
        <w:rPr>
          <w:sz w:val="36"/>
          <w:szCs w:val="36"/>
        </w:rPr>
      </w:pPr>
      <w:r w:rsidDel="00000000" w:rsidR="00000000" w:rsidRPr="00000000">
        <w:rPr>
          <w:rtl w:val="0"/>
        </w:rPr>
      </w:r>
    </w:p>
    <w:p w:rsidR="00000000" w:rsidDel="00000000" w:rsidP="00000000" w:rsidRDefault="00000000" w:rsidRPr="00000000">
      <w:pPr>
        <w:contextualSpacing w:val="0"/>
        <w:jc w:val="left"/>
        <w:rPr>
          <w:sz w:val="36"/>
          <w:szCs w:val="36"/>
        </w:rPr>
      </w:pPr>
      <w:r w:rsidDel="00000000" w:rsidR="00000000" w:rsidRPr="00000000">
        <w:rPr>
          <w:rtl w:val="0"/>
        </w:rPr>
      </w:r>
    </w:p>
    <w:p w:rsidR="00000000" w:rsidDel="00000000" w:rsidP="00000000" w:rsidRDefault="00000000" w:rsidRPr="00000000">
      <w:pPr>
        <w:contextualSpacing w:val="0"/>
        <w:jc w:val="left"/>
        <w:rPr>
          <w:sz w:val="36"/>
          <w:szCs w:val="36"/>
        </w:rPr>
      </w:pPr>
      <w:r w:rsidDel="00000000" w:rsidR="00000000" w:rsidRPr="00000000">
        <w:rPr>
          <w:rtl w:val="0"/>
        </w:rPr>
      </w:r>
    </w:p>
    <w:p w:rsidR="00000000" w:rsidDel="00000000" w:rsidP="00000000" w:rsidRDefault="00000000" w:rsidRPr="00000000">
      <w:pPr>
        <w:contextualSpacing w:val="0"/>
        <w:jc w:val="left"/>
        <w:rPr>
          <w:sz w:val="36"/>
          <w:szCs w:val="36"/>
        </w:rPr>
      </w:pPr>
      <w:r w:rsidDel="00000000" w:rsidR="00000000" w:rsidRPr="00000000">
        <w:rPr>
          <w:rtl w:val="0"/>
        </w:rPr>
      </w:r>
    </w:p>
    <w:p w:rsidR="00000000" w:rsidDel="00000000" w:rsidP="00000000" w:rsidRDefault="00000000" w:rsidRPr="00000000">
      <w:pPr>
        <w:contextualSpacing w:val="0"/>
        <w:jc w:val="left"/>
        <w:rPr>
          <w:sz w:val="36"/>
          <w:szCs w:val="36"/>
        </w:rPr>
      </w:pPr>
      <w:r w:rsidDel="00000000" w:rsidR="00000000" w:rsidRPr="00000000">
        <w:rPr>
          <w:rtl w:val="0"/>
        </w:rPr>
      </w:r>
    </w:p>
    <w:p w:rsidR="00000000" w:rsidDel="00000000" w:rsidP="00000000" w:rsidRDefault="00000000" w:rsidRPr="00000000">
      <w:pPr>
        <w:contextualSpacing w:val="0"/>
        <w:jc w:val="left"/>
        <w:rPr>
          <w:sz w:val="36"/>
          <w:szCs w:val="36"/>
        </w:rPr>
      </w:pPr>
      <w:r w:rsidDel="00000000" w:rsidR="00000000" w:rsidRPr="00000000">
        <w:rPr>
          <w:rtl w:val="0"/>
        </w:rPr>
      </w:r>
    </w:p>
    <w:p w:rsidR="00000000" w:rsidDel="00000000" w:rsidP="00000000" w:rsidRDefault="00000000" w:rsidRPr="00000000">
      <w:pPr>
        <w:contextualSpacing w:val="0"/>
        <w:jc w:val="left"/>
        <w:rPr>
          <w:sz w:val="36"/>
          <w:szCs w:val="36"/>
        </w:rPr>
      </w:pPr>
      <w:r w:rsidDel="00000000" w:rsidR="00000000" w:rsidRPr="00000000">
        <w:rPr>
          <w:rtl w:val="0"/>
        </w:rPr>
      </w:r>
    </w:p>
    <w:p w:rsidR="00000000" w:rsidDel="00000000" w:rsidP="00000000" w:rsidRDefault="00000000" w:rsidRPr="00000000">
      <w:pPr>
        <w:contextualSpacing w:val="0"/>
        <w:jc w:val="left"/>
        <w:rPr>
          <w:sz w:val="36"/>
          <w:szCs w:val="36"/>
        </w:rPr>
      </w:pPr>
      <w:r w:rsidDel="00000000" w:rsidR="00000000" w:rsidRPr="00000000">
        <w:rPr>
          <w:sz w:val="36"/>
          <w:szCs w:val="36"/>
          <w:rtl w:val="0"/>
        </w:rPr>
        <w:t xml:space="preserve">Answers to the questions:</w:t>
      </w:r>
    </w:p>
    <w:p w:rsidR="00000000" w:rsidDel="00000000" w:rsidP="00000000" w:rsidRDefault="00000000" w:rsidRPr="00000000">
      <w:pPr>
        <w:numPr>
          <w:ilvl w:val="0"/>
          <w:numId w:val="1"/>
        </w:numPr>
        <w:ind w:left="720" w:hanging="360"/>
        <w:contextualSpacing w:val="1"/>
        <w:jc w:val="left"/>
        <w:rPr>
          <w:sz w:val="36"/>
          <w:szCs w:val="36"/>
          <w:u w:val="none"/>
        </w:rPr>
      </w:pPr>
      <w:r w:rsidDel="00000000" w:rsidR="00000000" w:rsidRPr="00000000">
        <w:rPr>
          <w:sz w:val="28"/>
          <w:szCs w:val="28"/>
          <w:rtl w:val="0"/>
        </w:rPr>
        <w:t xml:space="preserve">The rocks that forms the bedrock in the Cantley quarry was marble, and contained some xenolith intrusions as well. A limestone protolith must have been buried during the Grenville orogeny, which acted as the origin to the marble. Nepean sandstone must have, at one point, existed on top of the marble but has since eroded away; we can deduce this due to the age of the quarry. The xenoliths can be assumed to be igneous intrusions in the limestone. When the calcite rich protolith was placed under high pressures and temperatures, the limestone metamorphosed into marble, while this is occurring, the igneous intrusions went on to transform into the xenoliths, which contain no calcite, but feldspar and amphibole, making it harder than marble in composition. Glaciers are responsible for the Cantley Quarry, and the bedrock was smooth with half cylinder shapes called rat tails. Sediments must have been dragged along by glaciers due to the smoothness of the bedrock.</w:t>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sz w:val="28"/>
          <w:szCs w:val="28"/>
        </w:rPr>
      </w:pPr>
      <w:r w:rsidDel="00000000" w:rsidR="00000000" w:rsidRPr="00000000">
        <w:rPr>
          <w:rtl w:val="0"/>
        </w:rPr>
      </w:r>
    </w:p>
    <w:tbl>
      <w:tblPr>
        <w:tblStyle w:val="Table1"/>
        <w:tblW w:w="8640.0" w:type="dxa"/>
        <w:jc w:val="left"/>
        <w:tblInd w:w="8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34.2857142857142"/>
        <w:gridCol w:w="1234.2857142857142"/>
        <w:gridCol w:w="1234.2857142857142"/>
        <w:gridCol w:w="1234.2857142857142"/>
        <w:gridCol w:w="1234.2857142857142"/>
        <w:gridCol w:w="1234.2857142857142"/>
        <w:gridCol w:w="1234.2857142857142"/>
        <w:tblGridChange w:id="0">
          <w:tblGrid>
            <w:gridCol w:w="1234.2857142857142"/>
            <w:gridCol w:w="1234.2857142857142"/>
            <w:gridCol w:w="1234.2857142857142"/>
            <w:gridCol w:w="1234.2857142857142"/>
            <w:gridCol w:w="1234.2857142857142"/>
            <w:gridCol w:w="1234.2857142857142"/>
            <w:gridCol w:w="1234.2857142857142"/>
          </w:tblGrid>
        </w:tblGridChange>
      </w:tblGrid>
      <w:tr>
        <w:tc>
          <w:tcPr/>
          <w:p w:rsidR="00000000" w:rsidDel="00000000" w:rsidP="00000000" w:rsidRDefault="00000000" w:rsidRPr="00000000">
            <w:pPr>
              <w:spacing w:line="240" w:lineRule="auto"/>
              <w:contextualSpacing w:val="0"/>
              <w:rPr>
                <w:sz w:val="28"/>
                <w:szCs w:val="28"/>
              </w:rPr>
            </w:pPr>
            <w:r w:rsidDel="00000000" w:rsidR="00000000" w:rsidRPr="00000000">
              <w:rPr>
                <w:rtl w:val="0"/>
              </w:rPr>
            </w:r>
          </w:p>
        </w:tc>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1</w:t>
            </w:r>
          </w:p>
        </w:tc>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2</w:t>
            </w:r>
          </w:p>
        </w:tc>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3</w:t>
            </w:r>
          </w:p>
        </w:tc>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4</w:t>
            </w:r>
          </w:p>
        </w:tc>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5</w:t>
            </w:r>
          </w:p>
        </w:tc>
        <w:tc>
          <w:tcPr/>
          <w:p w:rsidR="00000000" w:rsidDel="00000000" w:rsidP="00000000" w:rsidRDefault="00000000" w:rsidRPr="00000000">
            <w:pPr>
              <w:widowControl w:val="0"/>
              <w:spacing w:line="240" w:lineRule="auto"/>
              <w:contextualSpacing w:val="0"/>
              <w:rPr>
                <w:sz w:val="28"/>
                <w:szCs w:val="28"/>
              </w:rPr>
            </w:pPr>
            <w:r w:rsidDel="00000000" w:rsidR="00000000" w:rsidRPr="00000000">
              <w:rPr>
                <w:sz w:val="28"/>
                <w:szCs w:val="28"/>
                <w:rtl w:val="0"/>
              </w:rPr>
              <w:t xml:space="preserve">Mean</w:t>
            </w:r>
          </w:p>
        </w:tc>
      </w:tr>
      <w:tr>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straight</w:t>
            </w:r>
          </w:p>
        </w:tc>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162°</w:t>
            </w:r>
          </w:p>
        </w:tc>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157°</w:t>
            </w:r>
          </w:p>
        </w:tc>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158°</w:t>
            </w:r>
          </w:p>
        </w:tc>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161°</w:t>
            </w:r>
          </w:p>
        </w:tc>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158°</w:t>
            </w:r>
          </w:p>
        </w:tc>
        <w:tc>
          <w:tcPr/>
          <w:p w:rsidR="00000000" w:rsidDel="00000000" w:rsidP="00000000" w:rsidRDefault="00000000" w:rsidRPr="00000000">
            <w:pPr>
              <w:widowControl w:val="0"/>
              <w:spacing w:line="240" w:lineRule="auto"/>
              <w:contextualSpacing w:val="0"/>
              <w:rPr>
                <w:sz w:val="28"/>
                <w:szCs w:val="28"/>
              </w:rPr>
            </w:pPr>
            <w:r w:rsidDel="00000000" w:rsidR="00000000" w:rsidRPr="00000000">
              <w:rPr>
                <w:sz w:val="28"/>
                <w:szCs w:val="28"/>
                <w:rtl w:val="0"/>
              </w:rPr>
              <w:t xml:space="preserve">159.2°</w:t>
            </w:r>
          </w:p>
        </w:tc>
      </w:tr>
      <w:tr>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angled</w:t>
            </w:r>
          </w:p>
        </w:tc>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148°</w:t>
            </w:r>
          </w:p>
        </w:tc>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149°</w:t>
            </w:r>
          </w:p>
        </w:tc>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146°</w:t>
            </w:r>
          </w:p>
        </w:tc>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147°</w:t>
            </w:r>
          </w:p>
        </w:tc>
        <w:tc>
          <w:tcPr/>
          <w:p w:rsidR="00000000" w:rsidDel="00000000" w:rsidP="00000000" w:rsidRDefault="00000000" w:rsidRPr="00000000">
            <w:pPr>
              <w:spacing w:line="240" w:lineRule="auto"/>
              <w:contextualSpacing w:val="0"/>
              <w:rPr>
                <w:sz w:val="28"/>
                <w:szCs w:val="28"/>
              </w:rPr>
            </w:pPr>
            <w:r w:rsidDel="00000000" w:rsidR="00000000" w:rsidRPr="00000000">
              <w:rPr>
                <w:sz w:val="28"/>
                <w:szCs w:val="28"/>
                <w:rtl w:val="0"/>
              </w:rPr>
              <w:t xml:space="preserve">142°</w:t>
            </w:r>
          </w:p>
        </w:tc>
        <w:tc>
          <w:tcPr/>
          <w:p w:rsidR="00000000" w:rsidDel="00000000" w:rsidP="00000000" w:rsidRDefault="00000000" w:rsidRPr="00000000">
            <w:pPr>
              <w:widowControl w:val="0"/>
              <w:spacing w:line="240" w:lineRule="auto"/>
              <w:contextualSpacing w:val="0"/>
              <w:rPr>
                <w:sz w:val="28"/>
                <w:szCs w:val="28"/>
              </w:rPr>
            </w:pPr>
            <w:r w:rsidDel="00000000" w:rsidR="00000000" w:rsidRPr="00000000">
              <w:rPr>
                <w:sz w:val="28"/>
                <w:szCs w:val="28"/>
                <w:rtl w:val="0"/>
              </w:rPr>
              <w:t xml:space="preserve">146.4°</w:t>
            </w:r>
          </w:p>
        </w:tc>
      </w:tr>
    </w:tbl>
    <w:p w:rsidR="00000000" w:rsidDel="00000000" w:rsidP="00000000" w:rsidRDefault="00000000" w:rsidRPr="00000000">
      <w:pPr>
        <w:ind w:firstLine="720"/>
        <w:contextualSpacing w:val="0"/>
        <w:jc w:val="left"/>
        <w:rPr>
          <w:sz w:val="28"/>
          <w:szCs w:val="28"/>
        </w:rPr>
      </w:pPr>
      <w:r w:rsidDel="00000000" w:rsidR="00000000" w:rsidRPr="00000000">
        <w:rPr>
          <w:rtl w:val="0"/>
        </w:rPr>
      </w:r>
    </w:p>
    <w:p w:rsidR="00000000" w:rsidDel="00000000" w:rsidP="00000000" w:rsidRDefault="00000000" w:rsidRPr="00000000">
      <w:pPr>
        <w:ind w:firstLine="720"/>
        <w:contextualSpacing w:val="0"/>
        <w:jc w:val="left"/>
        <w:rPr>
          <w:sz w:val="28"/>
          <w:szCs w:val="28"/>
        </w:rPr>
      </w:pPr>
      <w:r w:rsidDel="00000000" w:rsidR="00000000" w:rsidRPr="00000000">
        <w:rPr>
          <w:sz w:val="28"/>
          <w:szCs w:val="28"/>
          <w:rtl w:val="0"/>
        </w:rPr>
        <w:t xml:space="preserve">We concluded that the straight set is the younger of the 2 striation sets, due to the fact that it cross-cut the angled set and was much noticeably less weathered than the angled one</w:t>
      </w:r>
    </w:p>
    <w:p w:rsidR="00000000" w:rsidDel="00000000" w:rsidP="00000000" w:rsidRDefault="00000000" w:rsidRPr="00000000">
      <w:pPr>
        <w:ind w:firstLine="720"/>
        <w:contextualSpacing w:val="0"/>
        <w:jc w:val="left"/>
        <w:rPr>
          <w:sz w:val="28"/>
          <w:szCs w:val="28"/>
        </w:rPr>
      </w:pPr>
      <w:r w:rsidDel="00000000" w:rsidR="00000000" w:rsidRPr="00000000">
        <w:rPr>
          <w:rtl w:val="0"/>
        </w:rPr>
      </w:r>
    </w:p>
    <w:p w:rsidR="00000000" w:rsidDel="00000000" w:rsidP="00000000" w:rsidRDefault="00000000" w:rsidRPr="00000000">
      <w:pPr>
        <w:ind w:firstLine="720"/>
        <w:contextualSpacing w:val="0"/>
        <w:jc w:val="left"/>
        <w:rPr>
          <w:sz w:val="28"/>
          <w:szCs w:val="28"/>
        </w:rPr>
      </w:pPr>
      <w:r w:rsidDel="00000000" w:rsidR="00000000" w:rsidRPr="00000000">
        <w:rPr>
          <w:rtl w:val="0"/>
        </w:rPr>
      </w:r>
    </w:p>
    <w:p w:rsidR="00000000" w:rsidDel="00000000" w:rsidP="00000000" w:rsidRDefault="00000000" w:rsidRPr="00000000">
      <w:pPr>
        <w:ind w:firstLine="720"/>
        <w:contextualSpacing w:val="0"/>
        <w:jc w:val="left"/>
        <w:rPr>
          <w:sz w:val="28"/>
          <w:szCs w:val="28"/>
        </w:rPr>
      </w:pPr>
      <w:r w:rsidDel="00000000" w:rsidR="00000000" w:rsidRPr="00000000">
        <w:rPr>
          <w:rtl w:val="0"/>
        </w:rPr>
      </w:r>
    </w:p>
    <w:p w:rsidR="00000000" w:rsidDel="00000000" w:rsidP="00000000" w:rsidRDefault="00000000" w:rsidRPr="00000000">
      <w:pPr>
        <w:ind w:firstLine="720"/>
        <w:contextualSpacing w:val="0"/>
        <w:jc w:val="left"/>
        <w:rPr>
          <w:sz w:val="28"/>
          <w:szCs w:val="28"/>
        </w:rPr>
      </w:pPr>
      <w:r w:rsidDel="00000000" w:rsidR="00000000" w:rsidRPr="00000000">
        <w:rPr>
          <w:rtl w:val="0"/>
        </w:rPr>
      </w:r>
    </w:p>
    <w:p w:rsidR="00000000" w:rsidDel="00000000" w:rsidP="00000000" w:rsidRDefault="00000000" w:rsidRPr="00000000">
      <w:pPr>
        <w:ind w:left="0" w:firstLine="0"/>
        <w:contextualSpacing w:val="0"/>
        <w:jc w:val="left"/>
        <w:rPr>
          <w:sz w:val="28"/>
          <w:szCs w:val="28"/>
        </w:rPr>
      </w:pPr>
      <w:r w:rsidDel="00000000" w:rsidR="00000000" w:rsidRPr="00000000">
        <w:rPr>
          <w:rtl w:val="0"/>
        </w:rPr>
      </w:r>
    </w:p>
    <w:p w:rsidR="00000000" w:rsidDel="00000000" w:rsidP="00000000" w:rsidRDefault="00000000" w:rsidRPr="00000000">
      <w:pPr>
        <w:numPr>
          <w:ilvl w:val="0"/>
          <w:numId w:val="1"/>
        </w:numPr>
        <w:ind w:left="720" w:hanging="360"/>
        <w:contextualSpacing w:val="1"/>
        <w:jc w:val="left"/>
        <w:rPr>
          <w:sz w:val="28"/>
          <w:szCs w:val="28"/>
          <w:u w:val="none"/>
        </w:rPr>
      </w:pPr>
      <w:r w:rsidDel="00000000" w:rsidR="00000000" w:rsidRPr="00000000">
        <w:rPr>
          <w:sz w:val="28"/>
          <w:szCs w:val="28"/>
          <w:rtl w:val="0"/>
        </w:rPr>
        <w:t xml:space="preserve">The 2 major erosional structures that were observed at Cantley Quarry were the symmetrical striation sets and the asymmetrical rat tails. The striation sets indicated to the orientation of the ice flow due to the angled striation lines, while the rat tail indicated to the direction; the glacier moved from the right to the left, in accordance to the rat tail. We can deduce this due to the fact that the head of the rat tail is a xenolith (contains feldspar and amphibole), which is harder and tougher than the marble, so the ice would deform and go around it, and concentrate around the xenolith rather than behind it, hence the marble around the xenolith would be more eroded than the marble behind the xenolith directly; the xenolith acted as some kind of shield to the marble behind from the glaciers. The ridges of the rat tail are deeper near the xenolith and narrows it along the rat tail. The direction in which the rat tail is pointed is the same direction the glaciers went, and as the deformed ice eventually took its shape back, the marble went back to being flat. This can be inferred to the glacial abrasion model, however we can assume that both melt water and glacial contact helped in the formation of the rat tails, while the latter forming striations. (sketch in the back in the physical version)</w:t>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numPr>
          <w:ilvl w:val="0"/>
          <w:numId w:val="1"/>
        </w:numPr>
        <w:ind w:left="720" w:hanging="360"/>
        <w:contextualSpacing w:val="1"/>
        <w:jc w:val="left"/>
        <w:rPr>
          <w:sz w:val="28"/>
          <w:szCs w:val="28"/>
          <w:u w:val="none"/>
        </w:rPr>
      </w:pPr>
      <w:r w:rsidDel="00000000" w:rsidR="00000000" w:rsidRPr="00000000">
        <w:rPr>
          <w:sz w:val="28"/>
          <w:szCs w:val="28"/>
          <w:rtl w:val="0"/>
        </w:rPr>
        <w:t xml:space="preserve">The first Geological event in the quarry was the deposition and lithification of the precambrian limestone protolith. Igneous rocks then intruded the protolith, which was buried in the Grenville orogeny. which metamorphosed into metamorphic marble under extreme pressure and heat during the Grenville orogeny, while the igneous intrusions metamorphosed into the xenoliths. The top of the mountains formed during the Grenville orogeny erode, and the marble is uplifted and exposed. Rodina breaks, and the Iapetus ocean opens, forming the Ottawa embayment. Nepean sandstone sediment lithifies, and it continues to lithify while Pangea forms and breaks. 4 glaciation periods then happened, with the latest being the Wisconsinan Glaciation. During these glaciation periods, the sandstone and all the Paleozoic rocks above the marble erode, and the marble bedrock is smoothed as the glacier sheet moves across it due to the fine grain sediments between them. Angled striation sets were formed at a bearing of 146.4°. Eventually the Glaciers melted and reformed, changing its direction, causing another set of striations to form along the bearing of 159.2°. Rat tails were formed from a combination of meltwater and ice flow. The Lithosphere then sinks, depressing the Ottawa region, allowing the Atlantic Ocean to invade and create the Champlain Sea. Glacial fronts melting causes fluvial deposits in the sea. Sorted sediment was also deposited by the north end of the quarry by a subaqueous fan of melt water. The sediment was mostly sand and silt, so we assume that this deposit was located near the further end of the fan. The entire region then uplifts, causing the Champlain Sea to retreat. </w:t>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numPr>
          <w:ilvl w:val="0"/>
          <w:numId w:val="1"/>
        </w:numPr>
        <w:ind w:left="720" w:hanging="360"/>
        <w:contextualSpacing w:val="1"/>
        <w:jc w:val="left"/>
        <w:rPr>
          <w:sz w:val="28"/>
          <w:szCs w:val="28"/>
          <w:u w:val="none"/>
        </w:rPr>
      </w:pPr>
      <w:r w:rsidDel="00000000" w:rsidR="00000000" w:rsidRPr="00000000">
        <w:rPr>
          <w:sz w:val="28"/>
          <w:szCs w:val="28"/>
          <w:rtl w:val="0"/>
        </w:rPr>
        <w:t xml:space="preserve">Chatter marks occur due to the resistance of the bedrock as the glacier moves across it. At Lac Beauchamp, chatter marks were observed in the Nepean Sandstone, whereas no chatter marks were observed at the Quarry. Sandstone is made primarily of quartz, while the marble bedrock is made of calcite. Quartz has a hardness of 7, while calcite has a hardness of 3. The strength of the quartz might have been able to provide enough resistance to the glacier to leave chatter marks, which are permanent erosional features, however, since the calcite isn't as hard as the quartz , which elastically deformed when the glaciers passed over it,forming less of a resistance, causing less of a permanent erosion, and smooth out the bedrock surface.</w:t>
      </w:r>
    </w:p>
    <w:p w:rsidR="00000000" w:rsidDel="00000000" w:rsidP="00000000" w:rsidRDefault="00000000" w:rsidRPr="00000000">
      <w:pPr>
        <w:ind w:left="0" w:firstLine="0"/>
        <w:contextualSpacing w:val="0"/>
        <w:jc w:val="left"/>
        <w:rPr>
          <w:sz w:val="28"/>
          <w:szCs w:val="28"/>
        </w:rPr>
      </w:pPr>
      <w:r w:rsidDel="00000000" w:rsidR="00000000" w:rsidRPr="00000000">
        <w:rPr>
          <w:sz w:val="28"/>
          <w:szCs w:val="28"/>
          <w:rtl w:val="0"/>
        </w:rPr>
        <w:t xml:space="preserve"> </w:t>
      </w:r>
    </w:p>
    <w:p w:rsidR="00000000" w:rsidDel="00000000" w:rsidP="00000000" w:rsidRDefault="00000000" w:rsidRPr="00000000">
      <w:pPr>
        <w:ind w:left="0" w:firstLine="0"/>
        <w:contextualSpacing w:val="0"/>
        <w:jc w:val="left"/>
        <w:rPr>
          <w:sz w:val="28"/>
          <w:szCs w:val="28"/>
        </w:rPr>
      </w:pPr>
      <w:r w:rsidDel="00000000" w:rsidR="00000000" w:rsidRPr="00000000">
        <w:rPr>
          <w:rtl w:val="0"/>
        </w:rPr>
      </w:r>
    </w:p>
    <w:p w:rsidR="00000000" w:rsidDel="00000000" w:rsidP="00000000" w:rsidRDefault="00000000" w:rsidRPr="00000000">
      <w:pPr>
        <w:contextualSpacing w:val="0"/>
        <w:jc w:val="left"/>
        <w:rPr>
          <w:sz w:val="36"/>
          <w:szCs w:val="36"/>
        </w:rPr>
      </w:pPr>
      <w:r w:rsidDel="00000000" w:rsidR="00000000" w:rsidRPr="00000000">
        <w:rPr>
          <w:sz w:val="36"/>
          <w:szCs w:val="36"/>
          <w:rtl w:val="0"/>
        </w:rPr>
        <w:t xml:space="preserve">Conclusion:</w:t>
      </w:r>
    </w:p>
    <w:p w:rsidR="00000000" w:rsidDel="00000000" w:rsidP="00000000" w:rsidRDefault="00000000" w:rsidRPr="00000000">
      <w:pPr>
        <w:contextualSpacing w:val="0"/>
        <w:jc w:val="left"/>
        <w:rPr>
          <w:sz w:val="36"/>
          <w:szCs w:val="36"/>
        </w:rPr>
      </w:pPr>
      <w:r w:rsidDel="00000000" w:rsidR="00000000" w:rsidRPr="00000000">
        <w:rPr>
          <w:sz w:val="28"/>
          <w:szCs w:val="28"/>
          <w:rtl w:val="0"/>
        </w:rPr>
        <w:t xml:space="preserve">The Wisconsinan Glaciation was the primary reason for most of the glacial erosional features created at the Cantley Quarry. This Glaciation was the last to occur in the Quaternary Period. The marble bedrock was smoothed by the melt water and the fine sediments dragged over it by the glaciers. Rat tails were formed when these erosional forces met the xenoliths protruding from the marble, forming rat tails; these are asymmetrical erosional features, while glacial contact created the symmetrical erosional feature, striations. Different sets of striations were found on the marble, indication a change in the glacier’s direction travelling over the quarry. The glacier sheets above the Ottawa area caused the lithosphere to sink, thus creating the Champlain Sea due to the Atlantic Ocean invasion. Glacial retreat caused rapid water flow, which was then pressurized to carry a wide range of sediments (fluvial deposits). These deposits settled in a fan shape. The Champlain Sea retreated and the Ottawa area uplifted once deglaciation was complete.</w:t>
      </w: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