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0A6334" w14:textId="77777777" w:rsidR="00A1490A" w:rsidRDefault="008711CE">
      <w:pPr>
        <w:rPr>
          <w:lang w:val="fr-CA"/>
        </w:rPr>
      </w:pPr>
      <w:r>
        <w:rPr>
          <w:lang w:val="fr-CA"/>
        </w:rPr>
        <w:t xml:space="preserve">CULTURE ET GESTION </w:t>
      </w:r>
    </w:p>
    <w:p w14:paraId="018C9C7C" w14:textId="77777777" w:rsidR="00E24FF0" w:rsidRDefault="00E24FF0">
      <w:pPr>
        <w:rPr>
          <w:lang w:val="fr-CA"/>
        </w:rPr>
      </w:pPr>
    </w:p>
    <w:p w14:paraId="0A5BE551" w14:textId="77777777" w:rsidR="00E24FF0" w:rsidRPr="00E24FF0" w:rsidRDefault="00E24FF0" w:rsidP="003A6BB7">
      <w:pPr>
        <w:jc w:val="both"/>
        <w:rPr>
          <w:sz w:val="22"/>
          <w:szCs w:val="22"/>
          <w:lang w:val="fr-CA"/>
        </w:rPr>
      </w:pPr>
      <w:r w:rsidRPr="00E24FF0">
        <w:rPr>
          <w:sz w:val="22"/>
          <w:szCs w:val="22"/>
          <w:lang w:val="fr-CA"/>
        </w:rPr>
        <w:t>4 énoncés d’André Laurent :</w:t>
      </w:r>
    </w:p>
    <w:p w14:paraId="0279049C" w14:textId="77777777" w:rsidR="00E24FF0" w:rsidRPr="00E24FF0" w:rsidRDefault="00E24FF0" w:rsidP="003A6BB7">
      <w:pPr>
        <w:pStyle w:val="Pardeliste"/>
        <w:numPr>
          <w:ilvl w:val="0"/>
          <w:numId w:val="2"/>
        </w:numPr>
        <w:jc w:val="both"/>
      </w:pPr>
      <w:r w:rsidRPr="00E24FF0">
        <w:rPr>
          <w:sz w:val="22"/>
          <w:szCs w:val="22"/>
        </w:rPr>
        <w:t>1</w:t>
      </w:r>
      <w:r w:rsidRPr="00E24FF0">
        <w:rPr>
          <w:sz w:val="22"/>
          <w:szCs w:val="22"/>
          <w:vertAlign w:val="superscript"/>
        </w:rPr>
        <w:t>er</w:t>
      </w:r>
      <w:r w:rsidRPr="00E24FF0">
        <w:rPr>
          <w:sz w:val="22"/>
          <w:szCs w:val="22"/>
        </w:rPr>
        <w:t xml:space="preserve"> énoncé : le but principal d’une structure hiérarchique est de montrer qui a autorité sur qui ?</w:t>
      </w:r>
      <w:r w:rsidRPr="00E24FF0">
        <w:t xml:space="preserve"> </w:t>
      </w:r>
      <w:r w:rsidRPr="00E24FF0">
        <w:rPr>
          <w:sz w:val="20"/>
          <w:szCs w:val="20"/>
        </w:rPr>
        <w:t>(Autorité très forte : Italie, Japon, Indonésie, France – autorité faible : États-Unis)</w:t>
      </w:r>
    </w:p>
    <w:p w14:paraId="77B28BC7" w14:textId="77777777" w:rsidR="00E24FF0" w:rsidRPr="00E24FF0" w:rsidRDefault="00E24FF0" w:rsidP="003A6BB7">
      <w:pPr>
        <w:pStyle w:val="Pardeliste"/>
        <w:numPr>
          <w:ilvl w:val="0"/>
          <w:numId w:val="2"/>
        </w:numPr>
        <w:jc w:val="both"/>
      </w:pPr>
      <w:r w:rsidRPr="00E24FF0">
        <w:rPr>
          <w:sz w:val="22"/>
          <w:szCs w:val="22"/>
        </w:rPr>
        <w:t>2</w:t>
      </w:r>
      <w:r w:rsidRPr="00E24FF0">
        <w:rPr>
          <w:sz w:val="22"/>
          <w:szCs w:val="22"/>
          <w:vertAlign w:val="superscript"/>
        </w:rPr>
        <w:t>ème</w:t>
      </w:r>
      <w:r w:rsidRPr="00E24FF0">
        <w:rPr>
          <w:sz w:val="22"/>
          <w:szCs w:val="22"/>
        </w:rPr>
        <w:t xml:space="preserve"> énoncé : l’efficacité des relations de travail exigent souvent qu’on court-circuite la ligne hiérarchique</w:t>
      </w:r>
      <w:r w:rsidRPr="00E24FF0">
        <w:t xml:space="preserve"> </w:t>
      </w:r>
      <w:r>
        <w:rPr>
          <w:sz w:val="20"/>
          <w:szCs w:val="20"/>
        </w:rPr>
        <w:t>(</w:t>
      </w:r>
      <w:r w:rsidRPr="00E24FF0">
        <w:rPr>
          <w:sz w:val="20"/>
          <w:szCs w:val="20"/>
        </w:rPr>
        <w:t>l’Italie est plus d’accord avec ça – pays moins d’accord : G-B et Suède)</w:t>
      </w:r>
    </w:p>
    <w:p w14:paraId="17A95536" w14:textId="77777777" w:rsidR="00E24FF0" w:rsidRPr="00E24FF0" w:rsidRDefault="00E24FF0" w:rsidP="003A6BB7">
      <w:pPr>
        <w:pStyle w:val="Pardeliste"/>
        <w:numPr>
          <w:ilvl w:val="0"/>
          <w:numId w:val="2"/>
        </w:numPr>
        <w:jc w:val="both"/>
      </w:pPr>
      <w:r w:rsidRPr="00E24FF0">
        <w:rPr>
          <w:sz w:val="22"/>
          <w:szCs w:val="22"/>
        </w:rPr>
        <w:t>3</w:t>
      </w:r>
      <w:r w:rsidRPr="00E24FF0">
        <w:rPr>
          <w:sz w:val="22"/>
          <w:szCs w:val="22"/>
          <w:vertAlign w:val="superscript"/>
        </w:rPr>
        <w:t>ème</w:t>
      </w:r>
      <w:r w:rsidRPr="00E24FF0">
        <w:rPr>
          <w:sz w:val="22"/>
          <w:szCs w:val="22"/>
        </w:rPr>
        <w:t xml:space="preserve"> énoncé : le gestionnaire doit apporter des réponses précises aux questions que les subordonnés posent</w:t>
      </w:r>
      <w:r w:rsidRPr="00E24FF0">
        <w:t xml:space="preserve"> </w:t>
      </w:r>
      <w:r>
        <w:rPr>
          <w:sz w:val="20"/>
          <w:szCs w:val="20"/>
        </w:rPr>
        <w:t>(États-Unis : oui &amp; France</w:t>
      </w:r>
      <w:r w:rsidRPr="00E24FF0">
        <w:rPr>
          <w:sz w:val="20"/>
          <w:szCs w:val="20"/>
        </w:rPr>
        <w:t xml:space="preserve"> : non)</w:t>
      </w:r>
    </w:p>
    <w:p w14:paraId="5636A772" w14:textId="77777777" w:rsidR="00E24FF0" w:rsidRPr="00E24FF0" w:rsidRDefault="00E24FF0" w:rsidP="003A6BB7">
      <w:pPr>
        <w:pStyle w:val="Pardeliste"/>
        <w:numPr>
          <w:ilvl w:val="0"/>
          <w:numId w:val="2"/>
        </w:numPr>
        <w:jc w:val="both"/>
      </w:pPr>
      <w:r w:rsidRPr="00E24FF0">
        <w:rPr>
          <w:sz w:val="22"/>
          <w:szCs w:val="22"/>
        </w:rPr>
        <w:t>4</w:t>
      </w:r>
      <w:r w:rsidRPr="00E24FF0">
        <w:rPr>
          <w:sz w:val="22"/>
          <w:szCs w:val="22"/>
          <w:vertAlign w:val="superscript"/>
        </w:rPr>
        <w:t>ème</w:t>
      </w:r>
      <w:r w:rsidRPr="00E24FF0">
        <w:rPr>
          <w:sz w:val="22"/>
          <w:szCs w:val="22"/>
        </w:rPr>
        <w:t xml:space="preserve"> énoncé : le gestionnaire est-il un expert ou un animateur facilitateur ?</w:t>
      </w:r>
      <w:r w:rsidRPr="00E24FF0">
        <w:t xml:space="preserve"> </w:t>
      </w:r>
      <w:r>
        <w:rPr>
          <w:sz w:val="20"/>
          <w:szCs w:val="20"/>
        </w:rPr>
        <w:t>(Animateur</w:t>
      </w:r>
      <w:r w:rsidRPr="00E24FF0">
        <w:rPr>
          <w:sz w:val="20"/>
          <w:szCs w:val="20"/>
        </w:rPr>
        <w:t xml:space="preserve"> f</w:t>
      </w:r>
      <w:r>
        <w:rPr>
          <w:sz w:val="20"/>
          <w:szCs w:val="20"/>
        </w:rPr>
        <w:t>acilitateur : É-U, Canada, G-B &amp;</w:t>
      </w:r>
      <w:r w:rsidRPr="00E24FF0">
        <w:rPr>
          <w:sz w:val="20"/>
          <w:szCs w:val="20"/>
        </w:rPr>
        <w:t xml:space="preserve"> expert : France)</w:t>
      </w:r>
    </w:p>
    <w:p w14:paraId="09C2AE6A" w14:textId="77777777" w:rsidR="00E24FF0" w:rsidRPr="00E24FF0" w:rsidRDefault="00E24FF0" w:rsidP="003A6BB7">
      <w:pPr>
        <w:pStyle w:val="Pardeliste"/>
        <w:jc w:val="both"/>
      </w:pPr>
    </w:p>
    <w:p w14:paraId="0CA9BE80" w14:textId="77777777" w:rsidR="00E24FF0" w:rsidRPr="00E24FF0" w:rsidRDefault="00E24FF0" w:rsidP="003A6BB7">
      <w:pPr>
        <w:jc w:val="both"/>
        <w:rPr>
          <w:sz w:val="22"/>
          <w:szCs w:val="22"/>
        </w:rPr>
      </w:pPr>
      <w:r w:rsidRPr="00E24FF0">
        <w:rPr>
          <w:sz w:val="22"/>
          <w:szCs w:val="22"/>
        </w:rPr>
        <w:t xml:space="preserve">Conclusion globale de Laurent : </w:t>
      </w:r>
    </w:p>
    <w:p w14:paraId="66FDEB7F" w14:textId="77777777" w:rsidR="00E24FF0" w:rsidRDefault="00E24FF0" w:rsidP="003A6BB7">
      <w:pPr>
        <w:jc w:val="both"/>
        <w:rPr>
          <w:sz w:val="22"/>
          <w:szCs w:val="22"/>
          <w:lang w:val="fr-CA"/>
        </w:rPr>
      </w:pPr>
      <w:r w:rsidRPr="00E24FF0">
        <w:rPr>
          <w:sz w:val="22"/>
          <w:szCs w:val="22"/>
          <w:lang w:val="fr-CA"/>
        </w:rPr>
        <w:t>L’origine ethnique semble conditionner largement l’idée qu’ils se font d’</w:t>
      </w:r>
      <w:r>
        <w:rPr>
          <w:sz w:val="22"/>
          <w:szCs w:val="22"/>
          <w:lang w:val="fr-CA"/>
        </w:rPr>
        <w:t>un bon gestionnaire.</w:t>
      </w:r>
    </w:p>
    <w:p w14:paraId="36404D6A" w14:textId="77777777" w:rsidR="00E24FF0" w:rsidRDefault="00E24FF0" w:rsidP="003A6BB7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styles de gestion diffèrent </w:t>
      </w:r>
      <w:r w:rsidR="003C051A">
        <w:rPr>
          <w:sz w:val="22"/>
          <w:szCs w:val="22"/>
          <w:lang w:val="fr-CA"/>
        </w:rPr>
        <w:t xml:space="preserve">à travers le monde, il n’y a pas de bon ou mauvais gestionnaire. </w:t>
      </w:r>
    </w:p>
    <w:p w14:paraId="5BE6B306" w14:textId="77777777" w:rsidR="003C051A" w:rsidRDefault="003C051A" w:rsidP="003A6BB7">
      <w:pPr>
        <w:jc w:val="both"/>
        <w:rPr>
          <w:sz w:val="22"/>
          <w:szCs w:val="22"/>
          <w:lang w:val="fr-CA"/>
        </w:rPr>
      </w:pPr>
    </w:p>
    <w:p w14:paraId="3C6ECD03" w14:textId="77777777" w:rsidR="003C051A" w:rsidRDefault="003C051A" w:rsidP="003A6BB7">
      <w:pPr>
        <w:jc w:val="both"/>
        <w:rPr>
          <w:sz w:val="22"/>
          <w:szCs w:val="22"/>
          <w:lang w:val="fr-CA"/>
        </w:rPr>
      </w:pPr>
      <w:proofErr w:type="spellStart"/>
      <w:r>
        <w:rPr>
          <w:sz w:val="22"/>
          <w:szCs w:val="22"/>
          <w:lang w:val="fr-CA"/>
        </w:rPr>
        <w:t>Hofstede</w:t>
      </w:r>
      <w:proofErr w:type="spellEnd"/>
      <w:r>
        <w:rPr>
          <w:sz w:val="22"/>
          <w:szCs w:val="22"/>
          <w:lang w:val="fr-CA"/>
        </w:rPr>
        <w:t xml:space="preserve"> corrobore les résultats de Laurent : il a étudié 60 pays et 16 000 gestionnaires et employés d’une entreprise multinationale. </w:t>
      </w:r>
    </w:p>
    <w:p w14:paraId="01BBD225" w14:textId="77777777" w:rsidR="003C051A" w:rsidRDefault="003C051A" w:rsidP="003A6BB7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4 dimensions (échelles) de </w:t>
      </w:r>
      <w:proofErr w:type="spellStart"/>
      <w:r>
        <w:rPr>
          <w:sz w:val="22"/>
          <w:szCs w:val="22"/>
          <w:lang w:val="fr-CA"/>
        </w:rPr>
        <w:t>Hofstede</w:t>
      </w:r>
      <w:proofErr w:type="spellEnd"/>
      <w:r>
        <w:rPr>
          <w:sz w:val="22"/>
          <w:szCs w:val="22"/>
          <w:lang w:val="fr-CA"/>
        </w:rPr>
        <w:t xml:space="preserve"> : </w:t>
      </w:r>
    </w:p>
    <w:p w14:paraId="1D79980E" w14:textId="77777777" w:rsidR="003C051A" w:rsidRDefault="003C051A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3C051A">
        <w:rPr>
          <w:color w:val="ED7D31" w:themeColor="accent2"/>
          <w:sz w:val="22"/>
          <w:szCs w:val="22"/>
          <w:lang w:val="fr-CA"/>
        </w:rPr>
        <w:t>Individualisme</w:t>
      </w:r>
      <w:r>
        <w:rPr>
          <w:sz w:val="22"/>
          <w:szCs w:val="22"/>
          <w:lang w:val="fr-CA"/>
        </w:rPr>
        <w:t> : intérêt de l’individu prime sur celui du groupe. L’abondance peut amener à un plus grand individualisme (É-U, G-B, Allemagne)</w:t>
      </w:r>
    </w:p>
    <w:p w14:paraId="5CCB16EC" w14:textId="77777777" w:rsidR="003C051A" w:rsidRDefault="003C051A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3C051A">
        <w:rPr>
          <w:color w:val="ED7D31" w:themeColor="accent2"/>
          <w:sz w:val="22"/>
          <w:szCs w:val="22"/>
          <w:lang w:val="fr-CA"/>
        </w:rPr>
        <w:t>Collectivisme</w:t>
      </w:r>
      <w:r>
        <w:rPr>
          <w:sz w:val="22"/>
          <w:szCs w:val="22"/>
          <w:lang w:val="fr-CA"/>
        </w:rPr>
        <w:t> : intérêt du groupe prime sur celui de l’individu. [Loyauté envers l’entreprise, primes d’équipe sont très importantes] (Guatemala, Indonésie, Chine).</w:t>
      </w:r>
    </w:p>
    <w:p w14:paraId="763B314D" w14:textId="77777777" w:rsidR="003C051A" w:rsidRDefault="003C051A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3C051A">
        <w:rPr>
          <w:color w:val="5B9BD5" w:themeColor="accent5"/>
          <w:sz w:val="22"/>
          <w:szCs w:val="22"/>
          <w:lang w:val="fr-CA"/>
        </w:rPr>
        <w:t>Distance hiérarchique ou distance par rapport au pouvoir</w:t>
      </w:r>
      <w:r w:rsidRPr="003C051A">
        <w:rPr>
          <w:color w:val="FFC000" w:themeColor="accent4"/>
          <w:sz w:val="22"/>
          <w:szCs w:val="22"/>
          <w:lang w:val="fr-CA"/>
        </w:rPr>
        <w:t> </w:t>
      </w:r>
      <w:r>
        <w:rPr>
          <w:sz w:val="22"/>
          <w:szCs w:val="22"/>
          <w:lang w:val="fr-CA"/>
        </w:rPr>
        <w:t>: proportion de répartition du pouvoir attendue et acceptée par un groupe (distance hiérarchique forte : Russie, Malaisie, Brésil &amp; distance hiérarchique faible : Autriche, Suède, É-U)</w:t>
      </w:r>
    </w:p>
    <w:p w14:paraId="57DF4172" w14:textId="77777777" w:rsidR="003C051A" w:rsidRDefault="003C051A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3C051A">
        <w:rPr>
          <w:color w:val="70AD47" w:themeColor="accent6"/>
          <w:sz w:val="22"/>
          <w:szCs w:val="22"/>
          <w:lang w:val="fr-CA"/>
        </w:rPr>
        <w:t>L’élimination de l’incertitude</w:t>
      </w:r>
      <w:r>
        <w:rPr>
          <w:sz w:val="22"/>
          <w:szCs w:val="22"/>
          <w:lang w:val="fr-CA"/>
        </w:rPr>
        <w:t> : dans quelle mesure des individus d’une société se sentent menacés par l’incertitude, car peu de contrôle (forte incertitude : Grèce, Japon, Russie &amp; faible incertitude : Suède, pays nordique car ils sont ouverts au changement)</w:t>
      </w:r>
    </w:p>
    <w:p w14:paraId="2ADE909A" w14:textId="77777777" w:rsidR="003C051A" w:rsidRDefault="003C051A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820E03">
        <w:rPr>
          <w:color w:val="FF0000"/>
          <w:sz w:val="22"/>
          <w:szCs w:val="22"/>
          <w:lang w:val="fr-CA"/>
        </w:rPr>
        <w:t>Masculinité</w:t>
      </w:r>
      <w:r>
        <w:rPr>
          <w:sz w:val="22"/>
          <w:szCs w:val="22"/>
          <w:lang w:val="fr-CA"/>
        </w:rPr>
        <w:t xml:space="preserve"> : </w:t>
      </w:r>
      <w:r w:rsidR="00820E03">
        <w:rPr>
          <w:sz w:val="22"/>
          <w:szCs w:val="22"/>
          <w:lang w:val="fr-CA"/>
        </w:rPr>
        <w:t>clivage entre les deux sexes. L’homme est dur, indépendant, tandis que les femmes sont sensibles, humbles et donnent une importance aux relations interpersonnelles (Slovaquie, Japon, Autriche, Chine)</w:t>
      </w:r>
    </w:p>
    <w:p w14:paraId="375E23C9" w14:textId="77777777" w:rsidR="00820E03" w:rsidRDefault="00820E03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820E03">
        <w:rPr>
          <w:color w:val="FF0000"/>
          <w:sz w:val="22"/>
          <w:szCs w:val="22"/>
          <w:lang w:val="fr-CA"/>
        </w:rPr>
        <w:t>Féminité</w:t>
      </w:r>
      <w:r>
        <w:rPr>
          <w:sz w:val="22"/>
          <w:szCs w:val="22"/>
          <w:lang w:val="fr-CA"/>
        </w:rPr>
        <w:t> : les hommes/femmes sont humbles, délicats, beaucoup de valeurs aux relations interpersonnelles harmonieuses (société scandinave).</w:t>
      </w:r>
    </w:p>
    <w:p w14:paraId="318FA692" w14:textId="77777777" w:rsidR="003A6BB7" w:rsidRDefault="003A6BB7" w:rsidP="003A6BB7">
      <w:pPr>
        <w:pStyle w:val="Pardeliste"/>
        <w:jc w:val="both"/>
        <w:rPr>
          <w:sz w:val="22"/>
          <w:szCs w:val="22"/>
          <w:lang w:val="fr-CA"/>
        </w:rPr>
      </w:pPr>
    </w:p>
    <w:p w14:paraId="6EF5ECA1" w14:textId="77777777" w:rsidR="003A6BB7" w:rsidRDefault="003A6BB7" w:rsidP="003A6BB7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Étude de Child qui suggère que les organisations se ressemblent de plus en plus. Le comportement des gens au sein des entreprises garde des traits uniques, propres à chaque culture. </w:t>
      </w:r>
    </w:p>
    <w:p w14:paraId="6B83C22A" w14:textId="77777777" w:rsidR="003A6BB7" w:rsidRDefault="003A6BB7" w:rsidP="003A6BB7">
      <w:pPr>
        <w:jc w:val="both"/>
        <w:rPr>
          <w:sz w:val="22"/>
          <w:szCs w:val="22"/>
          <w:lang w:val="fr-CA"/>
        </w:rPr>
      </w:pPr>
    </w:p>
    <w:p w14:paraId="38BCB1D4" w14:textId="77777777" w:rsidR="003A6BB7" w:rsidRDefault="003A6BB7" w:rsidP="003A6BB7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organisations face aux dimensions culturelles : </w:t>
      </w:r>
      <w:proofErr w:type="spellStart"/>
      <w:r>
        <w:rPr>
          <w:sz w:val="22"/>
          <w:szCs w:val="22"/>
          <w:lang w:val="fr-CA"/>
        </w:rPr>
        <w:t>Barmeyer</w:t>
      </w:r>
      <w:proofErr w:type="spellEnd"/>
      <w:r>
        <w:rPr>
          <w:sz w:val="22"/>
          <w:szCs w:val="22"/>
          <w:lang w:val="fr-CA"/>
        </w:rPr>
        <w:t xml:space="preserve"> 2008</w:t>
      </w:r>
    </w:p>
    <w:p w14:paraId="39FEF37F" w14:textId="77777777" w:rsidR="003A6BB7" w:rsidRPr="003A6BB7" w:rsidRDefault="003A6BB7" w:rsidP="003A6BB7">
      <w:pPr>
        <w:pStyle w:val="Pardeliste"/>
        <w:numPr>
          <w:ilvl w:val="0"/>
          <w:numId w:val="3"/>
        </w:numPr>
        <w:jc w:val="both"/>
        <w:rPr>
          <w:sz w:val="22"/>
          <w:szCs w:val="22"/>
          <w:lang w:val="fr-CA"/>
        </w:rPr>
      </w:pPr>
      <w:r w:rsidRPr="003A6BB7">
        <w:rPr>
          <w:sz w:val="22"/>
          <w:szCs w:val="22"/>
          <w:lang w:val="fr-CA"/>
        </w:rPr>
        <w:t xml:space="preserve">Le rapport au temps, le rapport à l’information et les orientations de valeurs. </w:t>
      </w:r>
    </w:p>
    <w:p w14:paraId="04D0350B" w14:textId="77777777" w:rsidR="003A6BB7" w:rsidRDefault="003A6BB7" w:rsidP="003A6BB7">
      <w:pPr>
        <w:pStyle w:val="Pardeliste"/>
        <w:numPr>
          <w:ilvl w:val="0"/>
          <w:numId w:val="3"/>
        </w:numPr>
        <w:jc w:val="both"/>
        <w:rPr>
          <w:sz w:val="22"/>
          <w:szCs w:val="22"/>
          <w:lang w:val="fr-CA"/>
        </w:rPr>
      </w:pPr>
      <w:r w:rsidRPr="003A6BB7">
        <w:rPr>
          <w:sz w:val="22"/>
          <w:szCs w:val="22"/>
          <w:lang w:val="fr-CA"/>
        </w:rPr>
        <w:t xml:space="preserve">Dimensions culturelles servent de cadre d’orientation et d’explication qui permettent de gérer les employés de différentes cultures affectés dans divers pays. </w:t>
      </w:r>
    </w:p>
    <w:p w14:paraId="428F9BAC" w14:textId="77777777" w:rsidR="003A6BB7" w:rsidRDefault="003A6BB7" w:rsidP="003A6BB7">
      <w:pPr>
        <w:jc w:val="both"/>
        <w:rPr>
          <w:sz w:val="22"/>
          <w:szCs w:val="22"/>
          <w:lang w:val="fr-CA"/>
        </w:rPr>
      </w:pPr>
    </w:p>
    <w:p w14:paraId="1A53E390" w14:textId="77777777" w:rsidR="003A6BB7" w:rsidRDefault="003A6BB7" w:rsidP="003A6BB7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dimensions selon </w:t>
      </w:r>
      <w:proofErr w:type="spellStart"/>
      <w:r>
        <w:rPr>
          <w:sz w:val="22"/>
          <w:szCs w:val="22"/>
          <w:lang w:val="fr-CA"/>
        </w:rPr>
        <w:t>Trompenaars</w:t>
      </w:r>
      <w:proofErr w:type="spellEnd"/>
      <w:r>
        <w:rPr>
          <w:sz w:val="22"/>
          <w:szCs w:val="22"/>
          <w:lang w:val="fr-CA"/>
        </w:rPr>
        <w:t> :</w:t>
      </w:r>
    </w:p>
    <w:p w14:paraId="1F4DC921" w14:textId="77777777" w:rsidR="003A6BB7" w:rsidRDefault="003A6BB7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A01522">
        <w:rPr>
          <w:color w:val="4472C4" w:themeColor="accent1"/>
          <w:sz w:val="22"/>
          <w:szCs w:val="22"/>
          <w:u w:val="single"/>
          <w:lang w:val="fr-CA"/>
        </w:rPr>
        <w:t>L’universel </w:t>
      </w:r>
      <w:r>
        <w:rPr>
          <w:sz w:val="22"/>
          <w:szCs w:val="22"/>
          <w:lang w:val="fr-CA"/>
        </w:rPr>
        <w:t>: donne beaucoup d’importance aux lois, aux codes, plutôt qu’aux relations (É-U, Canada, G-B)</w:t>
      </w:r>
    </w:p>
    <w:p w14:paraId="0629CB36" w14:textId="77777777" w:rsidR="003A6BB7" w:rsidRDefault="003A6BB7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A01522">
        <w:rPr>
          <w:color w:val="4472C4" w:themeColor="accent1"/>
          <w:sz w:val="22"/>
          <w:szCs w:val="22"/>
          <w:u w:val="single"/>
          <w:lang w:val="fr-CA"/>
        </w:rPr>
        <w:lastRenderedPageBreak/>
        <w:t>Le particulier</w:t>
      </w:r>
      <w:r w:rsidRPr="00A01522">
        <w:rPr>
          <w:sz w:val="22"/>
          <w:szCs w:val="22"/>
          <w:u w:val="single"/>
          <w:lang w:val="fr-CA"/>
        </w:rPr>
        <w:t> </w:t>
      </w:r>
      <w:r>
        <w:rPr>
          <w:sz w:val="22"/>
          <w:szCs w:val="22"/>
          <w:lang w:val="fr-CA"/>
        </w:rPr>
        <w:t>: engagement particulier vis-à-vis de chaque individu est plus important que l’obéissance des règles</w:t>
      </w:r>
    </w:p>
    <w:p w14:paraId="0C659064" w14:textId="77777777" w:rsidR="003A6BB7" w:rsidRDefault="003A6BB7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A01522">
        <w:rPr>
          <w:sz w:val="22"/>
          <w:szCs w:val="22"/>
          <w:u w:val="single"/>
          <w:lang w:val="fr-CA"/>
        </w:rPr>
        <w:t>L’individu ou le groupe </w:t>
      </w:r>
      <w:r>
        <w:rPr>
          <w:sz w:val="22"/>
          <w:szCs w:val="22"/>
          <w:lang w:val="fr-CA"/>
        </w:rPr>
        <w:t>: centré sur l’individu ou le groupe</w:t>
      </w:r>
      <w:r w:rsidR="00A01522">
        <w:rPr>
          <w:sz w:val="22"/>
          <w:szCs w:val="22"/>
          <w:lang w:val="fr-CA"/>
        </w:rPr>
        <w:t xml:space="preserve"> (collectivisme/individualisme)</w:t>
      </w:r>
    </w:p>
    <w:p w14:paraId="2F610187" w14:textId="77777777" w:rsidR="003A6BB7" w:rsidRDefault="003A6BB7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A01522">
        <w:rPr>
          <w:sz w:val="22"/>
          <w:szCs w:val="22"/>
          <w:u w:val="single"/>
          <w:lang w:val="fr-CA"/>
        </w:rPr>
        <w:t>La neutralité ou l’affectivité </w:t>
      </w:r>
      <w:r>
        <w:rPr>
          <w:sz w:val="22"/>
          <w:szCs w:val="22"/>
          <w:lang w:val="fr-CA"/>
        </w:rPr>
        <w:t>: degré de faciliter d’expression des sentiments. Dans quelle mesure l’expression des sentiments doit ê</w:t>
      </w:r>
      <w:r w:rsidR="00A01522">
        <w:rPr>
          <w:sz w:val="22"/>
          <w:szCs w:val="22"/>
          <w:lang w:val="fr-CA"/>
        </w:rPr>
        <w:t xml:space="preserve">tre objective et neutre </w:t>
      </w:r>
      <w:r>
        <w:rPr>
          <w:sz w:val="22"/>
          <w:szCs w:val="22"/>
          <w:lang w:val="fr-CA"/>
        </w:rPr>
        <w:t>(Allemagne)</w:t>
      </w:r>
      <w:r w:rsidR="00A01522">
        <w:rPr>
          <w:sz w:val="22"/>
          <w:szCs w:val="22"/>
          <w:lang w:val="fr-CA"/>
        </w:rPr>
        <w:t xml:space="preserve"> ou est-il acceptable d’exprimer un sentiment</w:t>
      </w:r>
      <w:r>
        <w:rPr>
          <w:sz w:val="22"/>
          <w:szCs w:val="22"/>
          <w:lang w:val="fr-CA"/>
        </w:rPr>
        <w:t xml:space="preserve"> (Italie, France, </w:t>
      </w:r>
      <w:r w:rsidR="00A01522">
        <w:rPr>
          <w:sz w:val="22"/>
          <w:szCs w:val="22"/>
          <w:lang w:val="fr-CA"/>
        </w:rPr>
        <w:t>Espagne, Amérique latine) ?</w:t>
      </w:r>
    </w:p>
    <w:p w14:paraId="37847089" w14:textId="77777777" w:rsidR="00A01522" w:rsidRDefault="00A01522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 w:rsidRPr="00A01522">
        <w:rPr>
          <w:sz w:val="22"/>
          <w:szCs w:val="22"/>
          <w:u w:val="single"/>
          <w:lang w:val="fr-CA"/>
        </w:rPr>
        <w:t>Spécificité ou le diffus </w:t>
      </w:r>
      <w:r>
        <w:rPr>
          <w:sz w:val="22"/>
          <w:szCs w:val="22"/>
          <w:lang w:val="fr-CA"/>
        </w:rPr>
        <w:t>: décrit le degré d’engagement. Cette opposition définit la manière dont les individus perçoivent et mettent en commun leur espace privé et public (spécificité : È-U, Suisse &amp; diffus : Argentine, Espagne, Maroc où il y a un lien entre le travail et la vie personnelle et parfois les relations professionnelles ne sont pas que professionnelles)</w:t>
      </w:r>
    </w:p>
    <w:p w14:paraId="6EDDFF19" w14:textId="77777777" w:rsidR="00A01522" w:rsidRDefault="00A01522" w:rsidP="003A6BB7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u w:val="single"/>
          <w:lang w:val="fr-CA"/>
        </w:rPr>
        <w:t>Le statut attribu</w:t>
      </w:r>
      <w:r w:rsidRPr="00A01522">
        <w:rPr>
          <w:sz w:val="22"/>
          <w:szCs w:val="22"/>
          <w:u w:val="single"/>
          <w:lang w:val="fr-CA"/>
        </w:rPr>
        <w:t>é</w:t>
      </w:r>
      <w:r>
        <w:rPr>
          <w:sz w:val="22"/>
          <w:szCs w:val="22"/>
          <w:lang w:val="fr-CA"/>
        </w:rPr>
        <w:t> : le jugement ou l’évaluation que l’on porte sur l’autre est-il plutôt basé sur ses réalisations (Italie, Japon, France) ou sur sa position sociale, son âge, ses études, sa formatio</w:t>
      </w:r>
      <w:r w:rsidR="002A52D7">
        <w:rPr>
          <w:sz w:val="22"/>
          <w:szCs w:val="22"/>
          <w:lang w:val="fr-CA"/>
        </w:rPr>
        <w:t>n, ses relations, ses origines (Inde).</w:t>
      </w:r>
    </w:p>
    <w:p w14:paraId="55905F49" w14:textId="77777777" w:rsidR="002A52D7" w:rsidRDefault="002A52D7" w:rsidP="002A52D7">
      <w:pPr>
        <w:jc w:val="both"/>
        <w:rPr>
          <w:sz w:val="22"/>
          <w:szCs w:val="22"/>
          <w:lang w:val="fr-CA"/>
        </w:rPr>
      </w:pPr>
    </w:p>
    <w:p w14:paraId="1EA46171" w14:textId="77777777" w:rsidR="002A52D7" w:rsidRDefault="002A52D7" w:rsidP="002A52D7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dimensions selon Hall : </w:t>
      </w:r>
    </w:p>
    <w:p w14:paraId="233AF170" w14:textId="77777777" w:rsidR="002A52D7" w:rsidRDefault="002A52D7" w:rsidP="002A52D7">
      <w:pPr>
        <w:pStyle w:val="Pardeliste"/>
        <w:numPr>
          <w:ilvl w:val="0"/>
          <w:numId w:val="4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Concept de temps : manière dont chaque culture perçoit et organise le temps </w:t>
      </w:r>
    </w:p>
    <w:p w14:paraId="274D10CF" w14:textId="77777777" w:rsidR="002A52D7" w:rsidRDefault="002A52D7" w:rsidP="002A52D7">
      <w:pPr>
        <w:pStyle w:val="Pardeliste"/>
        <w:numPr>
          <w:ilvl w:val="1"/>
          <w:numId w:val="4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Conception monochrome : faire une chose après l’autre (Amérique du Nord, Allemagne)</w:t>
      </w:r>
    </w:p>
    <w:p w14:paraId="528A94BD" w14:textId="77777777" w:rsidR="002A52D7" w:rsidRDefault="002A52D7" w:rsidP="002A52D7">
      <w:pPr>
        <w:pStyle w:val="Pardeliste"/>
        <w:numPr>
          <w:ilvl w:val="1"/>
          <w:numId w:val="4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Conception polychrome : faire plusieurs choses en même temps (Amérique latine)</w:t>
      </w:r>
    </w:p>
    <w:p w14:paraId="2978F1B3" w14:textId="77777777" w:rsidR="002A52D7" w:rsidRDefault="002A52D7" w:rsidP="002A52D7">
      <w:pPr>
        <w:pStyle w:val="Pardeliste"/>
        <w:numPr>
          <w:ilvl w:val="0"/>
          <w:numId w:val="4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 contexte de communication L </w:t>
      </w:r>
    </w:p>
    <w:p w14:paraId="1FDD2E1B" w14:textId="77777777" w:rsidR="002A52D7" w:rsidRDefault="002A52D7" w:rsidP="002A52D7">
      <w:pPr>
        <w:pStyle w:val="Pardeliste"/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Réfère à la quantité d’information nécessaire pour comprendre un message (explicite et implicite) </w:t>
      </w:r>
    </w:p>
    <w:p w14:paraId="033E7FA1" w14:textId="77777777" w:rsidR="002A52D7" w:rsidRDefault="002A52D7" w:rsidP="002A52D7">
      <w:pPr>
        <w:pStyle w:val="Pardeliste"/>
        <w:numPr>
          <w:ilvl w:val="0"/>
          <w:numId w:val="5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Faible densité d’information/contexte faible : Japon, Moyen-Orient</w:t>
      </w:r>
    </w:p>
    <w:p w14:paraId="0FB2F159" w14:textId="77777777" w:rsidR="002A52D7" w:rsidRDefault="002A52D7" w:rsidP="002A52D7">
      <w:pPr>
        <w:pStyle w:val="Pardeliste"/>
        <w:numPr>
          <w:ilvl w:val="0"/>
          <w:numId w:val="5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Haute densité d’information/contexte élevé : Suisse, Allemagne, Canada, É-U</w:t>
      </w:r>
    </w:p>
    <w:p w14:paraId="5EE19D1A" w14:textId="77777777" w:rsidR="002A52D7" w:rsidRDefault="002A52D7" w:rsidP="002A52D7">
      <w:pPr>
        <w:jc w:val="both"/>
        <w:rPr>
          <w:sz w:val="22"/>
          <w:szCs w:val="22"/>
          <w:lang w:val="fr-CA"/>
        </w:rPr>
      </w:pPr>
    </w:p>
    <w:p w14:paraId="1054E104" w14:textId="77777777" w:rsidR="00267238" w:rsidRDefault="00267238" w:rsidP="002A52D7">
      <w:pPr>
        <w:jc w:val="both"/>
        <w:rPr>
          <w:sz w:val="22"/>
          <w:szCs w:val="22"/>
          <w:lang w:val="fr-CA"/>
        </w:rPr>
      </w:pPr>
      <w:r w:rsidRPr="00267238">
        <w:rPr>
          <w:sz w:val="22"/>
          <w:szCs w:val="22"/>
          <w:highlight w:val="cyan"/>
          <w:lang w:val="fr-CA"/>
        </w:rPr>
        <w:t>Les gestionnaires et leurs réactions face aux dynamiques culturelles :</w:t>
      </w:r>
    </w:p>
    <w:p w14:paraId="2348FF84" w14:textId="77777777" w:rsidR="00267238" w:rsidRPr="00267238" w:rsidRDefault="00267238" w:rsidP="00267238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Chauvinisme : gestionnaire chauvin qui ne reconnaît pas la diversité culturelle</w:t>
      </w:r>
    </w:p>
    <w:p w14:paraId="427F331C" w14:textId="77777777" w:rsidR="00267238" w:rsidRDefault="00267238" w:rsidP="00267238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Ethnocentrisme : gestionnaire va voir la diversité culturelle, mais va la voir comme un élément perturbateur</w:t>
      </w:r>
    </w:p>
    <w:p w14:paraId="24D88FF1" w14:textId="77777777" w:rsidR="00267238" w:rsidRDefault="00267238" w:rsidP="00267238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Synergie : le gestionnaire accepte que le mode de gestion puisse varier d’une entreprise à l’autre, d’un pays à l’autre. Il n’y pas de bon mode de gestion meilleure que l’autre. </w:t>
      </w:r>
    </w:p>
    <w:p w14:paraId="2316D111" w14:textId="77777777" w:rsidR="00267238" w:rsidRDefault="00267238" w:rsidP="00267238">
      <w:pPr>
        <w:jc w:val="both"/>
        <w:rPr>
          <w:sz w:val="22"/>
          <w:szCs w:val="22"/>
          <w:lang w:val="fr-CA"/>
        </w:rPr>
      </w:pPr>
    </w:p>
    <w:p w14:paraId="3D5F3BB6" w14:textId="77777777" w:rsidR="00267238" w:rsidRDefault="00267238" w:rsidP="00267238">
      <w:pPr>
        <w:jc w:val="both"/>
        <w:rPr>
          <w:sz w:val="22"/>
          <w:szCs w:val="22"/>
          <w:lang w:val="fr-CA"/>
        </w:rPr>
      </w:pPr>
      <w:r w:rsidRPr="00267238">
        <w:rPr>
          <w:sz w:val="22"/>
          <w:szCs w:val="22"/>
          <w:highlight w:val="cyan"/>
          <w:lang w:val="fr-CA"/>
        </w:rPr>
        <w:t>Développer des synergies culturelles :</w:t>
      </w:r>
    </w:p>
    <w:p w14:paraId="09829A59" w14:textId="77777777" w:rsidR="00267238" w:rsidRPr="00267238" w:rsidRDefault="00267238" w:rsidP="00267238">
      <w:pPr>
        <w:pStyle w:val="Pardeliste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  <w:lang w:val="fr-CA"/>
        </w:rPr>
        <w:t xml:space="preserve">Description de la situation : </w:t>
      </w:r>
      <w:r w:rsidRPr="00267238">
        <w:rPr>
          <w:sz w:val="22"/>
          <w:szCs w:val="22"/>
        </w:rPr>
        <w:t>À quel dilemme l’entreprise est-elle confrontée?  Quelles sont les différentes perspectives sur la situation ?</w:t>
      </w:r>
    </w:p>
    <w:p w14:paraId="72680B04" w14:textId="77777777" w:rsidR="00267238" w:rsidRPr="00267238" w:rsidRDefault="00267238" w:rsidP="00267238">
      <w:pPr>
        <w:pStyle w:val="Pardeliste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  <w:lang w:val="fr-CA"/>
        </w:rPr>
        <w:t xml:space="preserve">Interprétation culturelle : </w:t>
      </w:r>
      <w:r w:rsidRPr="00267238">
        <w:rPr>
          <w:sz w:val="22"/>
          <w:szCs w:val="22"/>
        </w:rPr>
        <w:t>Pourquoi les acteurs se comportent-ils ainsi? Comment peut-on comprendre et expliquer la situation à l’aide des connaissances sur les systèmes culturels et les différentes perspectives</w:t>
      </w:r>
      <w:r>
        <w:rPr>
          <w:sz w:val="22"/>
          <w:szCs w:val="22"/>
        </w:rPr>
        <w:t xml:space="preserve"> </w:t>
      </w:r>
      <w:r w:rsidRPr="00267238">
        <w:rPr>
          <w:sz w:val="22"/>
          <w:szCs w:val="22"/>
        </w:rPr>
        <w:t>?</w:t>
      </w:r>
    </w:p>
    <w:p w14:paraId="1C7B8B9F" w14:textId="77777777" w:rsidR="00267238" w:rsidRDefault="00267238" w:rsidP="00267238">
      <w:pPr>
        <w:pStyle w:val="Pardeliste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  <w:lang w:val="fr-CA"/>
        </w:rPr>
        <w:t>Créativité culturelle :</w:t>
      </w:r>
      <w:r>
        <w:rPr>
          <w:rFonts w:ascii="Times" w:hAnsi="Times" w:cs="Times"/>
          <w:color w:val="000000"/>
          <w:sz w:val="64"/>
          <w:szCs w:val="64"/>
        </w:rPr>
        <w:t xml:space="preserve"> </w:t>
      </w:r>
      <w:r w:rsidRPr="00267238">
        <w:rPr>
          <w:sz w:val="22"/>
          <w:szCs w:val="22"/>
        </w:rPr>
        <w:t>Qu’est-ce qu’une culture peut apporter à une autre en termes de solutions face aux problèmes? Que peut-on apprendre de l’autre en termes de meilleures pratiques</w:t>
      </w:r>
      <w:r>
        <w:rPr>
          <w:sz w:val="22"/>
          <w:szCs w:val="22"/>
        </w:rPr>
        <w:t xml:space="preserve"> </w:t>
      </w:r>
      <w:r w:rsidRPr="00267238">
        <w:rPr>
          <w:sz w:val="22"/>
          <w:szCs w:val="22"/>
        </w:rPr>
        <w:t>? Comment mettre les différentes solutio</w:t>
      </w:r>
      <w:bookmarkStart w:id="0" w:name="_GoBack"/>
      <w:bookmarkEnd w:id="0"/>
      <w:r w:rsidRPr="00267238">
        <w:rPr>
          <w:sz w:val="22"/>
          <w:szCs w:val="22"/>
        </w:rPr>
        <w:t>ns en pratique</w:t>
      </w:r>
      <w:r>
        <w:rPr>
          <w:sz w:val="22"/>
          <w:szCs w:val="22"/>
        </w:rPr>
        <w:t xml:space="preserve"> </w:t>
      </w:r>
      <w:r w:rsidRPr="00267238">
        <w:rPr>
          <w:sz w:val="22"/>
          <w:szCs w:val="22"/>
        </w:rPr>
        <w:t xml:space="preserve">? </w:t>
      </w:r>
    </w:p>
    <w:p w14:paraId="4AA80D48" w14:textId="77777777" w:rsidR="00267238" w:rsidRDefault="00267238" w:rsidP="00267238">
      <w:pPr>
        <w:jc w:val="both"/>
        <w:rPr>
          <w:sz w:val="22"/>
          <w:szCs w:val="22"/>
        </w:rPr>
      </w:pPr>
    </w:p>
    <w:p w14:paraId="2C1257AD" w14:textId="77777777" w:rsidR="00267238" w:rsidRPr="00267238" w:rsidRDefault="00267238" w:rsidP="00267238">
      <w:pPr>
        <w:pStyle w:val="Pardeliste"/>
        <w:numPr>
          <w:ilvl w:val="0"/>
          <w:numId w:val="7"/>
        </w:numPr>
        <w:jc w:val="both"/>
        <w:rPr>
          <w:sz w:val="22"/>
          <w:szCs w:val="22"/>
        </w:rPr>
      </w:pPr>
      <w:r w:rsidRPr="00267238">
        <w:rPr>
          <w:sz w:val="22"/>
          <w:szCs w:val="22"/>
        </w:rPr>
        <w:t xml:space="preserve">Dilemmes récurrents dans le domaine de la GRH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267238" w14:paraId="3B33062F" w14:textId="77777777" w:rsidTr="00267238">
        <w:tc>
          <w:tcPr>
            <w:tcW w:w="4315" w:type="dxa"/>
          </w:tcPr>
          <w:p w14:paraId="56BA5D7D" w14:textId="77777777" w:rsidR="00267238" w:rsidRDefault="00267238" w:rsidP="002672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Standardisation</w:t>
            </w:r>
          </w:p>
        </w:tc>
        <w:tc>
          <w:tcPr>
            <w:tcW w:w="4315" w:type="dxa"/>
          </w:tcPr>
          <w:p w14:paraId="46A175DA" w14:textId="77777777" w:rsidR="00267238" w:rsidRDefault="00267238" w:rsidP="002672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Autonomie</w:t>
            </w:r>
          </w:p>
        </w:tc>
      </w:tr>
      <w:tr w:rsidR="00267238" w14:paraId="46E7022E" w14:textId="77777777" w:rsidTr="00267238">
        <w:tc>
          <w:tcPr>
            <w:tcW w:w="4315" w:type="dxa"/>
          </w:tcPr>
          <w:p w14:paraId="2F8118AF" w14:textId="77777777" w:rsidR="00267238" w:rsidRDefault="00267238" w:rsidP="002672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Orientation à LT</w:t>
            </w:r>
          </w:p>
        </w:tc>
        <w:tc>
          <w:tcPr>
            <w:tcW w:w="4315" w:type="dxa"/>
          </w:tcPr>
          <w:p w14:paraId="069CC2BA" w14:textId="77777777" w:rsidR="00267238" w:rsidRDefault="00267238" w:rsidP="002672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Orientation à CT</w:t>
            </w:r>
          </w:p>
        </w:tc>
      </w:tr>
      <w:tr w:rsidR="00267238" w14:paraId="2D8C6F6F" w14:textId="77777777" w:rsidTr="00267238">
        <w:tc>
          <w:tcPr>
            <w:tcW w:w="4315" w:type="dxa"/>
          </w:tcPr>
          <w:p w14:paraId="274B89C9" w14:textId="77777777" w:rsidR="00267238" w:rsidRDefault="00267238" w:rsidP="002672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Planification</w:t>
            </w:r>
          </w:p>
        </w:tc>
        <w:tc>
          <w:tcPr>
            <w:tcW w:w="4315" w:type="dxa"/>
          </w:tcPr>
          <w:p w14:paraId="17F1AD27" w14:textId="77777777" w:rsidR="00267238" w:rsidRDefault="00267238" w:rsidP="002672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Flexibilité </w:t>
            </w:r>
          </w:p>
        </w:tc>
      </w:tr>
    </w:tbl>
    <w:p w14:paraId="7F9BCCFD" w14:textId="77777777" w:rsidR="00267238" w:rsidRPr="00267238" w:rsidRDefault="00267238" w:rsidP="00267238">
      <w:pPr>
        <w:jc w:val="both"/>
        <w:rPr>
          <w:sz w:val="22"/>
          <w:szCs w:val="22"/>
        </w:rPr>
      </w:pPr>
    </w:p>
    <w:p w14:paraId="1713F3AF" w14:textId="77777777" w:rsidR="00267238" w:rsidRPr="00267238" w:rsidRDefault="00267238" w:rsidP="00267238">
      <w:pPr>
        <w:pStyle w:val="Pardeliste"/>
        <w:jc w:val="both"/>
        <w:rPr>
          <w:sz w:val="22"/>
          <w:szCs w:val="22"/>
          <w:lang w:val="fr-CA"/>
        </w:rPr>
      </w:pPr>
    </w:p>
    <w:sectPr w:rsidR="00267238" w:rsidRPr="00267238" w:rsidSect="00E351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676F35"/>
    <w:multiLevelType w:val="hybridMultilevel"/>
    <w:tmpl w:val="2406633E"/>
    <w:lvl w:ilvl="0" w:tplc="46E8970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6668E"/>
    <w:multiLevelType w:val="hybridMultilevel"/>
    <w:tmpl w:val="C40ED6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5682F"/>
    <w:multiLevelType w:val="hybridMultilevel"/>
    <w:tmpl w:val="35A4572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E43AF3"/>
    <w:multiLevelType w:val="hybridMultilevel"/>
    <w:tmpl w:val="65CCB44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01621"/>
    <w:multiLevelType w:val="hybridMultilevel"/>
    <w:tmpl w:val="0FC416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EA23C8"/>
    <w:multiLevelType w:val="hybridMultilevel"/>
    <w:tmpl w:val="CEE6D29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D3D20"/>
    <w:multiLevelType w:val="hybridMultilevel"/>
    <w:tmpl w:val="81CAB41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1CE"/>
    <w:rsid w:val="00267238"/>
    <w:rsid w:val="002A52D7"/>
    <w:rsid w:val="003A6BB7"/>
    <w:rsid w:val="003C051A"/>
    <w:rsid w:val="00820E03"/>
    <w:rsid w:val="00867B7C"/>
    <w:rsid w:val="008711CE"/>
    <w:rsid w:val="00A01522"/>
    <w:rsid w:val="00E24FF0"/>
    <w:rsid w:val="00E3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04ADE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E24FF0"/>
    <w:pPr>
      <w:ind w:left="720"/>
      <w:contextualSpacing/>
    </w:pPr>
  </w:style>
  <w:style w:type="table" w:styleId="Grilledutableau">
    <w:name w:val="Table Grid"/>
    <w:basedOn w:val="TableauNormal"/>
    <w:uiPriority w:val="39"/>
    <w:rsid w:val="002672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884</Words>
  <Characters>4863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Emmanuelle Valluet</dc:creator>
  <cp:keywords/>
  <dc:description/>
  <cp:lastModifiedBy>Emmanuelle Valluet</cp:lastModifiedBy>
  <cp:revision>1</cp:revision>
  <dcterms:created xsi:type="dcterms:W3CDTF">2017-10-08T19:36:00Z</dcterms:created>
  <dcterms:modified xsi:type="dcterms:W3CDTF">2017-10-08T23:12:00Z</dcterms:modified>
</cp:coreProperties>
</file>