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6330" w:rsidRPr="0070222E" w:rsidRDefault="0070222E">
      <w:pPr>
        <w:rPr>
          <w:rFonts w:ascii="Times New Roman" w:hAnsi="Times New Roman" w:cs="Times New Roman"/>
          <w:b/>
          <w:sz w:val="24"/>
        </w:rPr>
      </w:pPr>
      <w:r w:rsidRPr="0070222E">
        <w:rPr>
          <w:rFonts w:ascii="Times New Roman" w:hAnsi="Times New Roman" w:cs="Times New Roman"/>
          <w:b/>
          <w:sz w:val="24"/>
        </w:rPr>
        <w:t xml:space="preserve">2.1 Data analysis </w:t>
      </w:r>
    </w:p>
    <w:p w:rsidR="0070222E" w:rsidRPr="0070222E" w:rsidRDefault="0070222E" w:rsidP="0070222E">
      <w:pPr>
        <w:pStyle w:val="NormalWeb"/>
        <w:rPr>
          <w:color w:val="000000"/>
          <w:szCs w:val="27"/>
        </w:rPr>
      </w:pPr>
      <w:r w:rsidRPr="0070222E">
        <w:rPr>
          <w:b/>
          <w:bCs/>
          <w:color w:val="000000"/>
          <w:szCs w:val="27"/>
        </w:rPr>
        <w:t>Variables</w:t>
      </w:r>
      <w:r w:rsidRPr="0070222E">
        <w:rPr>
          <w:color w:val="000000"/>
          <w:szCs w:val="27"/>
        </w:rPr>
        <w:t>: measures that can take on different sizes.</w:t>
      </w:r>
    </w:p>
    <w:p w:rsidR="0070222E" w:rsidRDefault="0070222E" w:rsidP="0070222E">
      <w:pPr>
        <w:pStyle w:val="NormalWeb"/>
        <w:rPr>
          <w:color w:val="000000"/>
          <w:szCs w:val="27"/>
        </w:rPr>
      </w:pPr>
      <w:r w:rsidRPr="0070222E">
        <w:rPr>
          <w:b/>
          <w:bCs/>
          <w:color w:val="000000"/>
          <w:szCs w:val="27"/>
        </w:rPr>
        <w:t>Data</w:t>
      </w:r>
      <w:r w:rsidRPr="0070222E">
        <w:rPr>
          <w:color w:val="000000"/>
          <w:szCs w:val="27"/>
        </w:rPr>
        <w:t>: recorded values of variables.</w:t>
      </w:r>
    </w:p>
    <w:p w:rsidR="0070222E" w:rsidRDefault="0070222E" w:rsidP="0070222E">
      <w:pPr>
        <w:pStyle w:val="NormalWeb"/>
        <w:numPr>
          <w:ilvl w:val="0"/>
          <w:numId w:val="1"/>
        </w:numPr>
        <w:rPr>
          <w:color w:val="000000"/>
          <w:szCs w:val="27"/>
        </w:rPr>
      </w:pPr>
      <w:r>
        <w:rPr>
          <w:color w:val="000000"/>
          <w:szCs w:val="27"/>
        </w:rPr>
        <w:t>Sets of data provide values for the variables we want to study</w:t>
      </w:r>
    </w:p>
    <w:p w:rsidR="0070222E" w:rsidRDefault="0070222E" w:rsidP="0070222E">
      <w:pPr>
        <w:pStyle w:val="NormalWeb"/>
        <w:numPr>
          <w:ilvl w:val="0"/>
          <w:numId w:val="1"/>
        </w:numPr>
        <w:rPr>
          <w:color w:val="000000"/>
          <w:szCs w:val="27"/>
        </w:rPr>
      </w:pPr>
      <w:r>
        <w:rPr>
          <w:color w:val="000000"/>
          <w:szCs w:val="27"/>
        </w:rPr>
        <w:t>Sets of data help us test models or theories</w:t>
      </w:r>
    </w:p>
    <w:p w:rsidR="0070222E" w:rsidRDefault="0070222E" w:rsidP="0070222E">
      <w:pPr>
        <w:pStyle w:val="NormalWeb"/>
        <w:rPr>
          <w:color w:val="000000"/>
          <w:szCs w:val="27"/>
        </w:rPr>
      </w:pPr>
      <w:r>
        <w:rPr>
          <w:color w:val="000000"/>
          <w:szCs w:val="27"/>
        </w:rPr>
        <w:t xml:space="preserve">Important </w:t>
      </w:r>
      <w:r w:rsidRPr="0070222E">
        <w:rPr>
          <w:color w:val="000000"/>
          <w:szCs w:val="27"/>
        </w:rPr>
        <w:t xml:space="preserve">task is to distinguish between </w:t>
      </w:r>
      <w:r w:rsidRPr="0070222E">
        <w:rPr>
          <w:b/>
          <w:color w:val="000000"/>
          <w:szCs w:val="27"/>
        </w:rPr>
        <w:t>coincidence</w:t>
      </w:r>
      <w:r w:rsidRPr="0070222E">
        <w:rPr>
          <w:color w:val="000000"/>
          <w:szCs w:val="27"/>
        </w:rPr>
        <w:t xml:space="preserve"> and </w:t>
      </w:r>
      <w:r w:rsidRPr="0070222E">
        <w:rPr>
          <w:b/>
          <w:color w:val="000000"/>
          <w:szCs w:val="27"/>
        </w:rPr>
        <w:t>economic causation</w:t>
      </w:r>
      <w:r>
        <w:rPr>
          <w:color w:val="000000"/>
          <w:szCs w:val="27"/>
        </w:rPr>
        <w:t xml:space="preserve"> (ex. Baggy pants popular during economic expansion, is there really a direct correlation between the two? Or are they just a coincidence?)</w:t>
      </w:r>
    </w:p>
    <w:p w:rsidR="0070222E" w:rsidRDefault="0070222E" w:rsidP="0070222E">
      <w:pPr>
        <w:pStyle w:val="NormalWeb"/>
        <w:rPr>
          <w:b/>
          <w:color w:val="000000"/>
          <w:szCs w:val="27"/>
        </w:rPr>
      </w:pPr>
      <w:r w:rsidRPr="0070222E">
        <w:rPr>
          <w:b/>
          <w:color w:val="000000"/>
          <w:szCs w:val="27"/>
        </w:rPr>
        <w:t>Forms of Data:</w:t>
      </w:r>
    </w:p>
    <w:p w:rsidR="0070222E" w:rsidRDefault="0070222E" w:rsidP="007A53A3">
      <w:pPr>
        <w:pStyle w:val="NormalWeb"/>
        <w:numPr>
          <w:ilvl w:val="0"/>
          <w:numId w:val="1"/>
        </w:numPr>
        <w:rPr>
          <w:color w:val="000000"/>
          <w:szCs w:val="27"/>
        </w:rPr>
      </w:pPr>
      <w:r w:rsidRPr="007A53A3">
        <w:rPr>
          <w:b/>
          <w:bCs/>
          <w:color w:val="000000"/>
          <w:szCs w:val="27"/>
        </w:rPr>
        <w:t>High (low) frequency data</w:t>
      </w:r>
      <w:r w:rsidR="007A53A3">
        <w:rPr>
          <w:b/>
          <w:color w:val="000000"/>
          <w:szCs w:val="27"/>
        </w:rPr>
        <w:t>/</w:t>
      </w:r>
      <w:r w:rsidR="007A53A3" w:rsidRPr="007A53A3">
        <w:rPr>
          <w:b/>
          <w:color w:val="000000"/>
          <w:szCs w:val="27"/>
        </w:rPr>
        <w:t>time series</w:t>
      </w:r>
      <w:r w:rsidR="007A53A3">
        <w:rPr>
          <w:color w:val="000000"/>
          <w:szCs w:val="27"/>
        </w:rPr>
        <w:t xml:space="preserve">: </w:t>
      </w:r>
      <w:r w:rsidRPr="007A53A3">
        <w:rPr>
          <w:color w:val="000000"/>
          <w:szCs w:val="27"/>
        </w:rPr>
        <w:t>series have short (long) intervals between observations.</w:t>
      </w:r>
    </w:p>
    <w:p w:rsidR="007A53A3" w:rsidRPr="00743FA4" w:rsidRDefault="007A53A3" w:rsidP="007A53A3">
      <w:pPr>
        <w:pStyle w:val="NormalWeb"/>
        <w:numPr>
          <w:ilvl w:val="1"/>
          <w:numId w:val="1"/>
        </w:numPr>
        <w:rPr>
          <w:color w:val="000000"/>
          <w:szCs w:val="27"/>
        </w:rPr>
      </w:pPr>
      <w:r>
        <w:rPr>
          <w:bCs/>
          <w:i/>
          <w:color w:val="000000"/>
          <w:szCs w:val="27"/>
        </w:rPr>
        <w:t xml:space="preserve">Price of Coca-Cola in 2006Q1 </w:t>
      </w:r>
      <w:r>
        <w:rPr>
          <w:bCs/>
          <w:i/>
          <w:color w:val="000000"/>
          <w:szCs w:val="27"/>
        </w:rPr>
        <w:sym w:font="Wingdings" w:char="F0E0"/>
      </w:r>
      <w:r>
        <w:rPr>
          <w:bCs/>
          <w:i/>
          <w:color w:val="000000"/>
          <w:szCs w:val="27"/>
        </w:rPr>
        <w:t>Price of Coca-Cola in 2012Q1</w:t>
      </w:r>
    </w:p>
    <w:p w:rsidR="00743FA4" w:rsidRPr="007A53A3" w:rsidRDefault="00743FA4" w:rsidP="007A53A3">
      <w:pPr>
        <w:pStyle w:val="NormalWeb"/>
        <w:numPr>
          <w:ilvl w:val="1"/>
          <w:numId w:val="1"/>
        </w:numPr>
        <w:rPr>
          <w:color w:val="000000"/>
          <w:szCs w:val="27"/>
        </w:rPr>
      </w:pPr>
      <w:r>
        <w:rPr>
          <w:bCs/>
          <w:i/>
          <w:color w:val="000000"/>
          <w:szCs w:val="27"/>
        </w:rPr>
        <w:t xml:space="preserve">Annual data= low freq. </w:t>
      </w:r>
      <w:r>
        <w:rPr>
          <w:bCs/>
          <w:i/>
          <w:color w:val="000000"/>
          <w:szCs w:val="27"/>
        </w:rPr>
        <w:sym w:font="Wingdings" w:char="F0E0"/>
      </w:r>
      <w:r>
        <w:rPr>
          <w:bCs/>
          <w:i/>
          <w:color w:val="000000"/>
          <w:szCs w:val="27"/>
        </w:rPr>
        <w:t xml:space="preserve"> Minute by Minute = High freq.</w:t>
      </w:r>
    </w:p>
    <w:p w:rsidR="0070222E" w:rsidRDefault="0070222E" w:rsidP="007A53A3">
      <w:pPr>
        <w:pStyle w:val="NormalWeb"/>
        <w:numPr>
          <w:ilvl w:val="0"/>
          <w:numId w:val="1"/>
        </w:numPr>
        <w:rPr>
          <w:color w:val="000000"/>
          <w:szCs w:val="27"/>
        </w:rPr>
      </w:pPr>
      <w:r w:rsidRPr="007A53A3">
        <w:rPr>
          <w:b/>
          <w:bCs/>
          <w:color w:val="000000"/>
          <w:szCs w:val="27"/>
        </w:rPr>
        <w:t>Cross-section data</w:t>
      </w:r>
      <w:r w:rsidRPr="007A53A3">
        <w:rPr>
          <w:color w:val="000000"/>
          <w:szCs w:val="27"/>
        </w:rPr>
        <w:t>: values for different variables recorded at a point in time.</w:t>
      </w:r>
      <w:r w:rsidR="007A53A3">
        <w:rPr>
          <w:color w:val="000000"/>
          <w:szCs w:val="27"/>
        </w:rPr>
        <w:t xml:space="preserve"> </w:t>
      </w:r>
    </w:p>
    <w:p w:rsidR="007A53A3" w:rsidRPr="007A53A3" w:rsidRDefault="007A53A3" w:rsidP="007A53A3">
      <w:pPr>
        <w:pStyle w:val="NormalWeb"/>
        <w:numPr>
          <w:ilvl w:val="1"/>
          <w:numId w:val="1"/>
        </w:numPr>
        <w:rPr>
          <w:color w:val="000000"/>
          <w:szCs w:val="27"/>
        </w:rPr>
      </w:pPr>
      <w:r>
        <w:rPr>
          <w:bCs/>
          <w:i/>
          <w:color w:val="000000"/>
          <w:szCs w:val="27"/>
        </w:rPr>
        <w:t>Unemployment rates across Canada for month of JANUARY</w:t>
      </w:r>
    </w:p>
    <w:p w:rsidR="007A53A3" w:rsidRDefault="007A53A3" w:rsidP="007A53A3">
      <w:pPr>
        <w:pStyle w:val="NormalWeb"/>
        <w:numPr>
          <w:ilvl w:val="0"/>
          <w:numId w:val="1"/>
        </w:numPr>
        <w:rPr>
          <w:color w:val="000000"/>
          <w:szCs w:val="27"/>
        </w:rPr>
      </w:pPr>
      <w:r w:rsidRPr="007A53A3">
        <w:rPr>
          <w:b/>
          <w:bCs/>
          <w:color w:val="000000"/>
          <w:szCs w:val="27"/>
        </w:rPr>
        <w:t>Longitudinal data</w:t>
      </w:r>
      <w:r w:rsidRPr="007A53A3">
        <w:rPr>
          <w:color w:val="000000"/>
          <w:szCs w:val="27"/>
        </w:rPr>
        <w:t> follow the same units of observation through time.</w:t>
      </w:r>
    </w:p>
    <w:p w:rsidR="007A53A3" w:rsidRPr="007A53A3" w:rsidRDefault="007A53A3" w:rsidP="007A53A3">
      <w:pPr>
        <w:pStyle w:val="NormalWeb"/>
        <w:numPr>
          <w:ilvl w:val="1"/>
          <w:numId w:val="1"/>
        </w:numPr>
        <w:rPr>
          <w:color w:val="000000"/>
          <w:szCs w:val="27"/>
        </w:rPr>
      </w:pPr>
      <w:r>
        <w:rPr>
          <w:bCs/>
          <w:i/>
          <w:color w:val="000000"/>
          <w:szCs w:val="27"/>
        </w:rPr>
        <w:t>Survey of same participants yielding data to define that group (health survey)</w:t>
      </w:r>
    </w:p>
    <w:p w:rsidR="0070222E" w:rsidRPr="007A53A3" w:rsidRDefault="0070222E" w:rsidP="007A53A3">
      <w:pPr>
        <w:pStyle w:val="NormalWeb"/>
        <w:numPr>
          <w:ilvl w:val="0"/>
          <w:numId w:val="1"/>
        </w:numPr>
        <w:rPr>
          <w:color w:val="000000"/>
          <w:szCs w:val="27"/>
        </w:rPr>
      </w:pPr>
      <w:r w:rsidRPr="007A53A3">
        <w:rPr>
          <w:b/>
          <w:bCs/>
          <w:color w:val="000000"/>
          <w:szCs w:val="27"/>
        </w:rPr>
        <w:t>Repeated cross-section data</w:t>
      </w:r>
      <w:r w:rsidRPr="007A53A3">
        <w:rPr>
          <w:color w:val="000000"/>
          <w:szCs w:val="27"/>
        </w:rPr>
        <w:t>: cross-section data recorded at regular or irregular intervals.</w:t>
      </w:r>
    </w:p>
    <w:p w:rsidR="0070222E" w:rsidRDefault="00C17CED" w:rsidP="0070222E">
      <w:pPr>
        <w:pStyle w:val="NormalWeb"/>
        <w:rPr>
          <w:b/>
          <w:color w:val="000000"/>
          <w:szCs w:val="27"/>
        </w:rPr>
      </w:pPr>
      <w:r>
        <w:rPr>
          <w:b/>
          <w:color w:val="000000"/>
          <w:szCs w:val="27"/>
        </w:rPr>
        <w:t>Percentage Changes/</w:t>
      </w:r>
      <w:r w:rsidR="00743FA4">
        <w:rPr>
          <w:b/>
          <w:color w:val="000000"/>
          <w:szCs w:val="27"/>
        </w:rPr>
        <w:t>Index Numbers</w:t>
      </w:r>
    </w:p>
    <w:p w:rsidR="00C17CED" w:rsidRDefault="00C17CED" w:rsidP="0070222E">
      <w:pPr>
        <w:pStyle w:val="NormalWeb"/>
        <w:rPr>
          <w:color w:val="000000"/>
          <w:szCs w:val="27"/>
        </w:rPr>
      </w:pPr>
      <w:r w:rsidRPr="00C17CED">
        <w:rPr>
          <w:color w:val="000000"/>
          <w:szCs w:val="27"/>
        </w:rPr>
        <w:t xml:space="preserve">Suppose we wanted to compare the prices of New York luxury condominiums with the prices of homes in rural Mississippi. In the latter case, a change in average prices of $10,000 might be considered enormous, whereas a change of one million dollars in New York might be pretty normal – because the average price in New York is so much higher than in Mississippi. </w:t>
      </w:r>
    </w:p>
    <w:p w:rsidR="00C17CED" w:rsidRPr="00C17CED" w:rsidRDefault="00C17CED" w:rsidP="0070222E">
      <w:pPr>
        <w:pStyle w:val="NormalWeb"/>
        <w:rPr>
          <w:color w:val="000000"/>
          <w:szCs w:val="27"/>
        </w:rPr>
      </w:pPr>
      <w:r w:rsidRPr="00C17CED">
        <w:rPr>
          <w:color w:val="000000"/>
          <w:szCs w:val="27"/>
        </w:rPr>
        <w:t>To make comparisons between the two markets, we can use the concept of a </w:t>
      </w:r>
      <w:r w:rsidRPr="00C17CED">
        <w:rPr>
          <w:color w:val="000000"/>
        </w:rPr>
        <w:t>percentage change</w:t>
      </w:r>
      <w:r w:rsidRPr="00C17CED">
        <w:rPr>
          <w:color w:val="000000"/>
          <w:szCs w:val="27"/>
        </w:rPr>
        <w:t>. This is defined as the change in the value of the variable, relative to its initial value, multiplied by 100.</w:t>
      </w:r>
    </w:p>
    <w:p w:rsidR="00047F47" w:rsidRDefault="00047F47" w:rsidP="00047F47">
      <w:pPr>
        <w:pStyle w:val="NormalWeb"/>
        <w:numPr>
          <w:ilvl w:val="0"/>
          <w:numId w:val="2"/>
        </w:numPr>
        <w:spacing w:line="360" w:lineRule="auto"/>
        <w:rPr>
          <w:color w:val="000000"/>
          <w:szCs w:val="27"/>
        </w:rPr>
      </w:pPr>
      <w:r w:rsidRPr="00C17CED">
        <w:rPr>
          <w:color w:val="000000"/>
          <w:szCs w:val="27"/>
        </w:rPr>
        <w:t>Percentage change=</w:t>
      </w:r>
      <w:r>
        <w:rPr>
          <w:color w:val="000000"/>
          <w:szCs w:val="27"/>
        </w:rPr>
        <w:t xml:space="preserve"> </w:t>
      </w:r>
      <w:r w:rsidRPr="00C17CED">
        <w:rPr>
          <w:color w:val="000000"/>
          <w:szCs w:val="27"/>
        </w:rPr>
        <w:t>[(change in values)/ (original value)] ×100.</w:t>
      </w:r>
    </w:p>
    <w:p w:rsidR="000D76DA" w:rsidRDefault="00743FA4" w:rsidP="000D76DA">
      <w:pPr>
        <w:pStyle w:val="NormalWeb"/>
        <w:numPr>
          <w:ilvl w:val="0"/>
          <w:numId w:val="2"/>
        </w:numPr>
        <w:spacing w:line="360" w:lineRule="auto"/>
        <w:rPr>
          <w:b/>
          <w:color w:val="000000"/>
          <w:szCs w:val="27"/>
        </w:rPr>
      </w:pPr>
      <m:oMath>
        <m:r>
          <m:rPr>
            <m:sty m:val="bi"/>
          </m:rPr>
          <w:rPr>
            <w:rFonts w:ascii="Cambria Math" w:hAnsi="Cambria Math"/>
            <w:color w:val="000000"/>
            <w:szCs w:val="27"/>
          </w:rPr>
          <m:t>Value of index= </m:t>
        </m:r>
        <m:f>
          <m:fPr>
            <m:ctrlPr>
              <w:rPr>
                <w:rFonts w:ascii="Cambria Math" w:hAnsi="Cambria Math"/>
                <w:b/>
                <w:i/>
                <w:iCs/>
                <w:color w:val="000000"/>
                <w:szCs w:val="27"/>
              </w:rPr>
            </m:ctrlPr>
          </m:fPr>
          <m:num>
            <m:r>
              <m:rPr>
                <m:sty m:val="b"/>
              </m:rPr>
              <w:rPr>
                <w:rFonts w:ascii="Cambria Math" w:hAnsi="Cambria Math"/>
                <w:color w:val="000000"/>
                <w:szCs w:val="27"/>
              </w:rPr>
              <m:t>Absolute value in year t</m:t>
            </m:r>
          </m:num>
          <m:den>
            <m:r>
              <m:rPr>
                <m:sty m:val="b"/>
              </m:rPr>
              <w:rPr>
                <w:rFonts w:ascii="Cambria Math" w:hAnsi="Cambria Math"/>
                <w:color w:val="000000"/>
                <w:szCs w:val="27"/>
              </w:rPr>
              <m:t>Absolute value in base year</m:t>
            </m:r>
          </m:den>
        </m:f>
        <m:r>
          <m:rPr>
            <m:sty m:val="b"/>
          </m:rPr>
          <w:rPr>
            <w:rFonts w:ascii="Cambria Math" w:hAnsi="Cambria Math"/>
            <w:color w:val="000000"/>
            <w:szCs w:val="27"/>
          </w:rPr>
          <m:t>x </m:t>
        </m:r>
        <m:r>
          <m:rPr>
            <m:sty m:val="b"/>
          </m:rPr>
          <w:rPr>
            <w:rFonts w:ascii="Cambria Math" w:hAnsi="Cambria Math"/>
            <w:color w:val="000000"/>
            <w:szCs w:val="27"/>
          </w:rPr>
          <m:t>100</m:t>
        </m:r>
      </m:oMath>
      <w:r w:rsidR="000D76DA">
        <w:rPr>
          <w:b/>
          <w:color w:val="000000"/>
          <w:szCs w:val="27"/>
        </w:rPr>
        <w:t xml:space="preserve"> = Price index</w:t>
      </w:r>
    </w:p>
    <w:p w:rsidR="00583FBB" w:rsidRDefault="006A4F8A" w:rsidP="00583FBB">
      <w:pPr>
        <w:pStyle w:val="NormalWeb"/>
        <w:numPr>
          <w:ilvl w:val="0"/>
          <w:numId w:val="2"/>
        </w:numPr>
        <w:spacing w:line="360" w:lineRule="auto"/>
        <w:rPr>
          <w:color w:val="000000"/>
          <w:szCs w:val="27"/>
        </w:rPr>
      </w:pPr>
      <w:r w:rsidRPr="006A4F8A">
        <w:rPr>
          <w:color w:val="000000"/>
          <w:szCs w:val="27"/>
        </w:rPr>
        <w:t>Regression line: representation of the average relationship between two variables in a scatter diagram</w:t>
      </w:r>
      <w:r>
        <w:rPr>
          <w:color w:val="000000"/>
          <w:szCs w:val="27"/>
        </w:rPr>
        <w:t>.</w:t>
      </w:r>
    </w:p>
    <w:p w:rsidR="006A4F8A" w:rsidRDefault="00583FBB" w:rsidP="00583FBB">
      <w:pPr>
        <w:pStyle w:val="NormalWeb"/>
        <w:numPr>
          <w:ilvl w:val="1"/>
          <w:numId w:val="2"/>
        </w:numPr>
        <w:spacing w:line="360" w:lineRule="auto"/>
        <w:rPr>
          <w:color w:val="000000"/>
          <w:szCs w:val="27"/>
        </w:rPr>
      </w:pPr>
      <w:r>
        <w:rPr>
          <w:color w:val="000000"/>
          <w:szCs w:val="27"/>
        </w:rPr>
        <w:t>* Not a perfect fit, an approximation*</w:t>
      </w:r>
    </w:p>
    <w:p w:rsidR="00583FBB" w:rsidRDefault="00583FBB" w:rsidP="00583FBB">
      <w:pPr>
        <w:pStyle w:val="NormalWeb"/>
        <w:numPr>
          <w:ilvl w:val="1"/>
          <w:numId w:val="2"/>
        </w:numPr>
        <w:spacing w:line="360" w:lineRule="auto"/>
        <w:rPr>
          <w:color w:val="000000"/>
          <w:szCs w:val="27"/>
        </w:rPr>
      </w:pPr>
      <w:r>
        <w:rPr>
          <w:color w:val="000000"/>
          <w:szCs w:val="27"/>
        </w:rPr>
        <w:t xml:space="preserve">Not always linear: ex. Driving accidents/ age </w:t>
      </w:r>
      <w:r>
        <w:rPr>
          <w:color w:val="000000"/>
          <w:szCs w:val="27"/>
        </w:rPr>
        <w:sym w:font="Wingdings" w:char="F0E0"/>
      </w:r>
      <w:r>
        <w:rPr>
          <w:color w:val="000000"/>
          <w:szCs w:val="27"/>
        </w:rPr>
        <w:t>parabola</w:t>
      </w:r>
    </w:p>
    <w:p w:rsidR="0052591D" w:rsidRDefault="0052591D" w:rsidP="0052591D">
      <w:pPr>
        <w:pStyle w:val="NormalWeb"/>
        <w:spacing w:line="276" w:lineRule="auto"/>
        <w:rPr>
          <w:color w:val="000000"/>
          <w:szCs w:val="27"/>
        </w:rPr>
      </w:pPr>
      <w:r w:rsidRPr="0052591D">
        <w:rPr>
          <w:b/>
          <w:color w:val="000000"/>
        </w:rPr>
        <w:lastRenderedPageBreak/>
        <w:t>Positive economic</w:t>
      </w:r>
      <w:r w:rsidRPr="0052591D">
        <w:rPr>
          <w:color w:val="000000"/>
          <w:szCs w:val="27"/>
        </w:rPr>
        <w:t> </w:t>
      </w:r>
      <w:r w:rsidRPr="0052591D">
        <w:rPr>
          <w:i/>
          <w:color w:val="000000"/>
          <w:szCs w:val="27"/>
        </w:rPr>
        <w:t>studies objective or scientific explanations of how the economy functions</w:t>
      </w:r>
      <w:r w:rsidRPr="0052591D">
        <w:rPr>
          <w:color w:val="000000"/>
          <w:szCs w:val="27"/>
        </w:rPr>
        <w:t xml:space="preserve">. </w:t>
      </w:r>
    </w:p>
    <w:p w:rsidR="0052591D" w:rsidRDefault="0052591D" w:rsidP="0052591D">
      <w:pPr>
        <w:pStyle w:val="NormalWeb"/>
        <w:numPr>
          <w:ilvl w:val="0"/>
          <w:numId w:val="1"/>
        </w:numPr>
        <w:spacing w:line="276" w:lineRule="auto"/>
        <w:rPr>
          <w:color w:val="000000"/>
          <w:szCs w:val="27"/>
        </w:rPr>
      </w:pPr>
      <w:r w:rsidRPr="0052591D">
        <w:rPr>
          <w:color w:val="000000"/>
          <w:szCs w:val="27"/>
        </w:rPr>
        <w:t>Its aim is to understand and generate predictions about how the economy may respond to changes and policy initiatives. In this effort economists strive to act as detached scientists, regardless of political sympathies or ethical code. Personal judgments and preferences are (ideally) kept apart. </w:t>
      </w:r>
    </w:p>
    <w:p w:rsidR="0052591D" w:rsidRDefault="0052591D" w:rsidP="0052591D">
      <w:pPr>
        <w:pStyle w:val="NormalWeb"/>
        <w:spacing w:line="276" w:lineRule="auto"/>
        <w:rPr>
          <w:color w:val="000000"/>
          <w:szCs w:val="27"/>
        </w:rPr>
      </w:pPr>
      <w:r w:rsidRPr="0052591D">
        <w:rPr>
          <w:b/>
          <w:color w:val="000000"/>
          <w:szCs w:val="27"/>
        </w:rPr>
        <w:t xml:space="preserve">Normative economics: </w:t>
      </w:r>
      <w:r w:rsidRPr="0052591D">
        <w:rPr>
          <w:color w:val="000000"/>
          <w:szCs w:val="27"/>
        </w:rPr>
        <w:t>offers recommendations that incorporate value judgments.</w:t>
      </w:r>
    </w:p>
    <w:p w:rsidR="0052591D" w:rsidRPr="0052591D" w:rsidRDefault="0052591D" w:rsidP="0052591D">
      <w:pPr>
        <w:pStyle w:val="NormalWeb"/>
        <w:numPr>
          <w:ilvl w:val="0"/>
          <w:numId w:val="1"/>
        </w:numPr>
        <w:spacing w:line="276" w:lineRule="auto"/>
        <w:rPr>
          <w:b/>
          <w:color w:val="000000"/>
          <w:szCs w:val="27"/>
        </w:rPr>
      </w:pPr>
      <w:r w:rsidRPr="0052591D">
        <w:rPr>
          <w:color w:val="000000"/>
          <w:szCs w:val="27"/>
        </w:rPr>
        <w:t>While economists of different political persuasions can agree that raising the income tax rate would lead to some reduction in the number of hours worked, they may yet differ in their views on the advisability of such a rise</w:t>
      </w:r>
      <w:r>
        <w:rPr>
          <w:color w:val="000000"/>
          <w:sz w:val="27"/>
          <w:szCs w:val="27"/>
        </w:rPr>
        <w:t>.</w:t>
      </w:r>
    </w:p>
    <w:p w:rsidR="0052591D" w:rsidRDefault="0052591D" w:rsidP="0052591D">
      <w:pPr>
        <w:pStyle w:val="NormalWeb"/>
        <w:spacing w:line="276" w:lineRule="auto"/>
        <w:rPr>
          <w:color w:val="000000"/>
          <w:szCs w:val="27"/>
        </w:rPr>
      </w:pPr>
      <w:r w:rsidRPr="0052591D">
        <w:rPr>
          <w:b/>
          <w:color w:val="000000"/>
          <w:szCs w:val="27"/>
        </w:rPr>
        <w:t>Economic equity</w:t>
      </w:r>
      <w:r w:rsidRPr="0052591D">
        <w:rPr>
          <w:color w:val="000000"/>
          <w:szCs w:val="27"/>
        </w:rPr>
        <w:t> is concerned with the distribution of well-being among members of the economy.</w:t>
      </w:r>
    </w:p>
    <w:p w:rsidR="0052591D" w:rsidRPr="0052591D" w:rsidRDefault="0052591D" w:rsidP="0052591D">
      <w:pPr>
        <w:pStyle w:val="NormalWeb"/>
        <w:numPr>
          <w:ilvl w:val="0"/>
          <w:numId w:val="1"/>
        </w:numPr>
        <w:spacing w:line="276" w:lineRule="auto"/>
        <w:rPr>
          <w:color w:val="000000"/>
          <w:szCs w:val="27"/>
        </w:rPr>
      </w:pPr>
      <w:r>
        <w:rPr>
          <w:color w:val="000000"/>
          <w:szCs w:val="27"/>
        </w:rPr>
        <w:t xml:space="preserve">Problems with equity: </w:t>
      </w:r>
      <w:bookmarkStart w:id="0" w:name="_GoBack"/>
      <w:bookmarkEnd w:id="0"/>
      <w:r w:rsidRPr="0052591D">
        <w:rPr>
          <w:color w:val="000000"/>
          <w:szCs w:val="27"/>
        </w:rPr>
        <w:t>For example, high taxes may provide disincentives to work in the marketplace and therefore reduce the efficiency of the economy: Plumbers and gardeners may decide to do their own gardening and their own plumbing because, by staying out of the marketplace where monetary transactions are taxed, they can avoid the taxes. And avoiding the taxes may turn out to be as valuable as the efficiency gains they forgo.</w:t>
      </w:r>
    </w:p>
    <w:p w:rsidR="000D76DA" w:rsidRPr="00C17CED" w:rsidRDefault="000D76DA" w:rsidP="0052591D">
      <w:pPr>
        <w:pStyle w:val="NormalWeb"/>
        <w:spacing w:line="360" w:lineRule="auto"/>
        <w:rPr>
          <w:b/>
          <w:color w:val="000000"/>
          <w:szCs w:val="27"/>
        </w:rPr>
      </w:pPr>
    </w:p>
    <w:p w:rsidR="00C17CED" w:rsidRPr="00C17CED" w:rsidRDefault="00C17CED" w:rsidP="00C17CED">
      <w:pPr>
        <w:pStyle w:val="NormalWeb"/>
        <w:spacing w:line="360" w:lineRule="auto"/>
        <w:ind w:left="360"/>
        <w:rPr>
          <w:color w:val="000000"/>
          <w:szCs w:val="27"/>
        </w:rPr>
      </w:pPr>
    </w:p>
    <w:p w:rsidR="00743FA4" w:rsidRPr="0070222E" w:rsidRDefault="00743FA4" w:rsidP="0070222E">
      <w:pPr>
        <w:pStyle w:val="NormalWeb"/>
        <w:rPr>
          <w:b/>
          <w:color w:val="000000"/>
          <w:szCs w:val="27"/>
        </w:rPr>
      </w:pPr>
    </w:p>
    <w:p w:rsidR="0070222E" w:rsidRPr="0070222E" w:rsidRDefault="0070222E">
      <w:pPr>
        <w:rPr>
          <w:rFonts w:ascii="Times New Roman" w:hAnsi="Times New Roman" w:cs="Times New Roman"/>
          <w:sz w:val="24"/>
        </w:rPr>
      </w:pPr>
    </w:p>
    <w:sectPr w:rsidR="0070222E" w:rsidRPr="007022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880138"/>
    <w:multiLevelType w:val="hybridMultilevel"/>
    <w:tmpl w:val="43F44A26"/>
    <w:lvl w:ilvl="0" w:tplc="E040911C">
      <w:start w:val="2"/>
      <w:numFmt w:val="bullet"/>
      <w:lvlText w:val="-"/>
      <w:lvlJc w:val="left"/>
      <w:pPr>
        <w:ind w:left="1080" w:hanging="360"/>
      </w:pPr>
      <w:rPr>
        <w:rFonts w:ascii="Times New Roman" w:eastAsia="Times New Roman" w:hAnsi="Times New Roman" w:cs="Times New Roman"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15:restartNumberingAfterBreak="0">
    <w:nsid w:val="3FB42360"/>
    <w:multiLevelType w:val="hybridMultilevel"/>
    <w:tmpl w:val="C262A10E"/>
    <w:lvl w:ilvl="0" w:tplc="2F0E96F6">
      <w:start w:val="1"/>
      <w:numFmt w:val="bullet"/>
      <w:lvlText w:val="•"/>
      <w:lvlJc w:val="left"/>
      <w:pPr>
        <w:tabs>
          <w:tab w:val="num" w:pos="720"/>
        </w:tabs>
        <w:ind w:left="720" w:hanging="360"/>
      </w:pPr>
      <w:rPr>
        <w:rFonts w:ascii="Arial" w:hAnsi="Arial" w:hint="default"/>
      </w:rPr>
    </w:lvl>
    <w:lvl w:ilvl="1" w:tplc="D1228E7A">
      <w:start w:val="1"/>
      <w:numFmt w:val="bullet"/>
      <w:lvlText w:val="•"/>
      <w:lvlJc w:val="left"/>
      <w:pPr>
        <w:tabs>
          <w:tab w:val="num" w:pos="1440"/>
        </w:tabs>
        <w:ind w:left="1440" w:hanging="360"/>
      </w:pPr>
      <w:rPr>
        <w:rFonts w:ascii="Arial" w:hAnsi="Arial" w:hint="default"/>
      </w:rPr>
    </w:lvl>
    <w:lvl w:ilvl="2" w:tplc="731C822A">
      <w:start w:val="1"/>
      <w:numFmt w:val="bullet"/>
      <w:lvlText w:val="•"/>
      <w:lvlJc w:val="left"/>
      <w:pPr>
        <w:tabs>
          <w:tab w:val="num" w:pos="2160"/>
        </w:tabs>
        <w:ind w:left="2160" w:hanging="360"/>
      </w:pPr>
      <w:rPr>
        <w:rFonts w:ascii="Arial" w:hAnsi="Arial" w:hint="default"/>
      </w:rPr>
    </w:lvl>
    <w:lvl w:ilvl="3" w:tplc="0CAC7CE6" w:tentative="1">
      <w:start w:val="1"/>
      <w:numFmt w:val="bullet"/>
      <w:lvlText w:val="•"/>
      <w:lvlJc w:val="left"/>
      <w:pPr>
        <w:tabs>
          <w:tab w:val="num" w:pos="2880"/>
        </w:tabs>
        <w:ind w:left="2880" w:hanging="360"/>
      </w:pPr>
      <w:rPr>
        <w:rFonts w:ascii="Arial" w:hAnsi="Arial" w:hint="default"/>
      </w:rPr>
    </w:lvl>
    <w:lvl w:ilvl="4" w:tplc="F4167C2E" w:tentative="1">
      <w:start w:val="1"/>
      <w:numFmt w:val="bullet"/>
      <w:lvlText w:val="•"/>
      <w:lvlJc w:val="left"/>
      <w:pPr>
        <w:tabs>
          <w:tab w:val="num" w:pos="3600"/>
        </w:tabs>
        <w:ind w:left="3600" w:hanging="360"/>
      </w:pPr>
      <w:rPr>
        <w:rFonts w:ascii="Arial" w:hAnsi="Arial" w:hint="default"/>
      </w:rPr>
    </w:lvl>
    <w:lvl w:ilvl="5" w:tplc="66AADF2C" w:tentative="1">
      <w:start w:val="1"/>
      <w:numFmt w:val="bullet"/>
      <w:lvlText w:val="•"/>
      <w:lvlJc w:val="left"/>
      <w:pPr>
        <w:tabs>
          <w:tab w:val="num" w:pos="4320"/>
        </w:tabs>
        <w:ind w:left="4320" w:hanging="360"/>
      </w:pPr>
      <w:rPr>
        <w:rFonts w:ascii="Arial" w:hAnsi="Arial" w:hint="default"/>
      </w:rPr>
    </w:lvl>
    <w:lvl w:ilvl="6" w:tplc="5B74F282" w:tentative="1">
      <w:start w:val="1"/>
      <w:numFmt w:val="bullet"/>
      <w:lvlText w:val="•"/>
      <w:lvlJc w:val="left"/>
      <w:pPr>
        <w:tabs>
          <w:tab w:val="num" w:pos="5040"/>
        </w:tabs>
        <w:ind w:left="5040" w:hanging="360"/>
      </w:pPr>
      <w:rPr>
        <w:rFonts w:ascii="Arial" w:hAnsi="Arial" w:hint="default"/>
      </w:rPr>
    </w:lvl>
    <w:lvl w:ilvl="7" w:tplc="ED2C497E" w:tentative="1">
      <w:start w:val="1"/>
      <w:numFmt w:val="bullet"/>
      <w:lvlText w:val="•"/>
      <w:lvlJc w:val="left"/>
      <w:pPr>
        <w:tabs>
          <w:tab w:val="num" w:pos="5760"/>
        </w:tabs>
        <w:ind w:left="5760" w:hanging="360"/>
      </w:pPr>
      <w:rPr>
        <w:rFonts w:ascii="Arial" w:hAnsi="Arial" w:hint="default"/>
      </w:rPr>
    </w:lvl>
    <w:lvl w:ilvl="8" w:tplc="FC8C2286"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6BE"/>
    <w:rsid w:val="00047F47"/>
    <w:rsid w:val="000D76DA"/>
    <w:rsid w:val="0052591D"/>
    <w:rsid w:val="00546330"/>
    <w:rsid w:val="00583FBB"/>
    <w:rsid w:val="006A4F8A"/>
    <w:rsid w:val="006B6BCE"/>
    <w:rsid w:val="0070222E"/>
    <w:rsid w:val="00743FA4"/>
    <w:rsid w:val="007A53A3"/>
    <w:rsid w:val="00B546BE"/>
    <w:rsid w:val="00BF59DA"/>
    <w:rsid w:val="00C17CE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11DF8F-670E-4D83-A717-C017BBF34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0222E"/>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terminology">
    <w:name w:val="terminology"/>
    <w:basedOn w:val="DefaultParagraphFont"/>
    <w:rsid w:val="00C17CED"/>
  </w:style>
  <w:style w:type="character" w:customStyle="1" w:styleId="mo">
    <w:name w:val="mo"/>
    <w:basedOn w:val="DefaultParagraphFont"/>
    <w:rsid w:val="00C17CED"/>
  </w:style>
  <w:style w:type="character" w:customStyle="1" w:styleId="mtext">
    <w:name w:val="mtext"/>
    <w:basedOn w:val="DefaultParagraphFont"/>
    <w:rsid w:val="00C17CED"/>
  </w:style>
  <w:style w:type="character" w:customStyle="1" w:styleId="mn">
    <w:name w:val="mn"/>
    <w:basedOn w:val="DefaultParagraphFont"/>
    <w:rsid w:val="00C17CED"/>
  </w:style>
  <w:style w:type="character" w:styleId="PlaceholderText">
    <w:name w:val="Placeholder Text"/>
    <w:basedOn w:val="DefaultParagraphFont"/>
    <w:uiPriority w:val="99"/>
    <w:semiHidden/>
    <w:rsid w:val="000D76D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557694">
      <w:bodyDiv w:val="1"/>
      <w:marLeft w:val="0"/>
      <w:marRight w:val="0"/>
      <w:marTop w:val="0"/>
      <w:marBottom w:val="0"/>
      <w:divBdr>
        <w:top w:val="none" w:sz="0" w:space="0" w:color="auto"/>
        <w:left w:val="none" w:sz="0" w:space="0" w:color="auto"/>
        <w:bottom w:val="none" w:sz="0" w:space="0" w:color="auto"/>
        <w:right w:val="none" w:sz="0" w:space="0" w:color="auto"/>
      </w:divBdr>
    </w:div>
    <w:div w:id="1033532902">
      <w:bodyDiv w:val="1"/>
      <w:marLeft w:val="0"/>
      <w:marRight w:val="0"/>
      <w:marTop w:val="0"/>
      <w:marBottom w:val="0"/>
      <w:divBdr>
        <w:top w:val="none" w:sz="0" w:space="0" w:color="auto"/>
        <w:left w:val="none" w:sz="0" w:space="0" w:color="auto"/>
        <w:bottom w:val="none" w:sz="0" w:space="0" w:color="auto"/>
        <w:right w:val="none" w:sz="0" w:space="0" w:color="auto"/>
      </w:divBdr>
    </w:div>
    <w:div w:id="1111703229">
      <w:bodyDiv w:val="1"/>
      <w:marLeft w:val="0"/>
      <w:marRight w:val="0"/>
      <w:marTop w:val="0"/>
      <w:marBottom w:val="0"/>
      <w:divBdr>
        <w:top w:val="none" w:sz="0" w:space="0" w:color="auto"/>
        <w:left w:val="none" w:sz="0" w:space="0" w:color="auto"/>
        <w:bottom w:val="none" w:sz="0" w:space="0" w:color="auto"/>
        <w:right w:val="none" w:sz="0" w:space="0" w:color="auto"/>
      </w:divBdr>
    </w:div>
    <w:div w:id="1504053878">
      <w:bodyDiv w:val="1"/>
      <w:marLeft w:val="0"/>
      <w:marRight w:val="0"/>
      <w:marTop w:val="0"/>
      <w:marBottom w:val="0"/>
      <w:divBdr>
        <w:top w:val="none" w:sz="0" w:space="0" w:color="auto"/>
        <w:left w:val="none" w:sz="0" w:space="0" w:color="auto"/>
        <w:bottom w:val="none" w:sz="0" w:space="0" w:color="auto"/>
        <w:right w:val="none" w:sz="0" w:space="0" w:color="auto"/>
      </w:divBdr>
      <w:divsChild>
        <w:div w:id="63761243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2547</TotalTime>
  <Pages>2</Pages>
  <Words>487</Words>
  <Characters>2780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nobert</dc:creator>
  <cp:keywords/>
  <dc:description/>
  <cp:lastModifiedBy>paul nobert</cp:lastModifiedBy>
  <cp:revision>7</cp:revision>
  <dcterms:created xsi:type="dcterms:W3CDTF">2017-09-19T20:43:00Z</dcterms:created>
  <dcterms:modified xsi:type="dcterms:W3CDTF">2017-09-21T15:10:00Z</dcterms:modified>
</cp:coreProperties>
</file>