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olor w:val="8496B0" w:themeColor="text2" w:themeTint="99"/>
          <w:sz w:val="72"/>
          <w:szCs w:val="72"/>
        </w:rPr>
        <w:id w:val="-1182667597"/>
        <w:docPartObj>
          <w:docPartGallery w:val="Cover Pages"/>
          <w:docPartUnique/>
        </w:docPartObj>
      </w:sdtPr>
      <w:sdtEndPr>
        <w:rPr>
          <w:rFonts w:ascii="Times New Roman" w:eastAsiaTheme="minorEastAsia" w:hAnsi="Times New Roman" w:cs="Times New Roman"/>
          <w:b/>
          <w:color w:val="000000"/>
          <w:sz w:val="26"/>
          <w:szCs w:val="26"/>
        </w:rPr>
      </w:sdtEndPr>
      <w:sdtContent>
        <w:p w14:paraId="743FBBF5" w14:textId="77777777" w:rsidR="00957D09" w:rsidRDefault="00957D09" w:rsidP="00957D09">
          <w:pPr>
            <w:spacing w:after="120"/>
            <w:rPr>
              <w:rFonts w:asciiTheme="majorHAnsi" w:eastAsiaTheme="majorEastAsia" w:hAnsiTheme="majorHAnsi"/>
              <w:color w:val="8496B0" w:themeColor="text2" w:themeTint="99"/>
              <w:sz w:val="72"/>
              <w:szCs w:val="72"/>
            </w:rPr>
          </w:pPr>
        </w:p>
        <w:p w14:paraId="4C1A99D8" w14:textId="77777777" w:rsidR="00957D09" w:rsidRPr="00E94BC0" w:rsidRDefault="00957D09" w:rsidP="00957D09">
          <w:pPr>
            <w:spacing w:after="200" w:line="276" w:lineRule="auto"/>
            <w:rPr>
              <w:rFonts w:ascii="Calibri" w:eastAsia="Calibri" w:hAnsi="Calibri" w:cs="Times New Roman"/>
              <w:color w:val="auto"/>
              <w:sz w:val="22"/>
              <w:szCs w:val="22"/>
            </w:rPr>
          </w:pPr>
        </w:p>
        <w:p w14:paraId="338CC66A" w14:textId="77777777" w:rsidR="00957D09" w:rsidRPr="00E94BC0" w:rsidRDefault="00957D09" w:rsidP="00957D09">
          <w:pPr>
            <w:spacing w:after="200" w:line="276" w:lineRule="auto"/>
            <w:rPr>
              <w:rFonts w:ascii="Calibri" w:eastAsia="Calibri" w:hAnsi="Calibri" w:cs="Times New Roman"/>
              <w:color w:val="auto"/>
              <w:sz w:val="22"/>
              <w:szCs w:val="22"/>
            </w:rPr>
          </w:pPr>
        </w:p>
        <w:p w14:paraId="3AA4AD45" w14:textId="77777777" w:rsidR="00957D09" w:rsidRPr="00E94BC0" w:rsidRDefault="00957D09" w:rsidP="00957D09">
          <w:pPr>
            <w:spacing w:after="200" w:line="276" w:lineRule="auto"/>
            <w:rPr>
              <w:rFonts w:ascii="Calibri" w:eastAsia="Calibri" w:hAnsi="Calibri" w:cs="Times New Roman"/>
              <w:color w:val="auto"/>
              <w:sz w:val="22"/>
              <w:szCs w:val="22"/>
            </w:rPr>
          </w:pPr>
        </w:p>
        <w:p w14:paraId="5A9804F5" w14:textId="77777777" w:rsidR="00957D09" w:rsidRPr="00E94BC0" w:rsidRDefault="00957D09" w:rsidP="00957D09">
          <w:pPr>
            <w:spacing w:after="200" w:line="276" w:lineRule="auto"/>
            <w:rPr>
              <w:rFonts w:ascii="Calibri" w:eastAsia="Calibri" w:hAnsi="Calibri" w:cs="Times New Roman"/>
              <w:color w:val="auto"/>
              <w:sz w:val="22"/>
              <w:szCs w:val="22"/>
            </w:rPr>
          </w:pPr>
        </w:p>
        <w:p w14:paraId="1503237E" w14:textId="77777777" w:rsidR="00957D09" w:rsidRPr="00E94BC0" w:rsidRDefault="00957D09" w:rsidP="00957D09">
          <w:pPr>
            <w:spacing w:after="200" w:line="276" w:lineRule="auto"/>
            <w:rPr>
              <w:rFonts w:ascii="Calibri" w:eastAsia="Calibri" w:hAnsi="Calibri" w:cs="Times New Roman"/>
              <w:color w:val="auto"/>
              <w:sz w:val="22"/>
              <w:szCs w:val="22"/>
            </w:rPr>
          </w:pPr>
        </w:p>
        <w:p w14:paraId="34754F3F" w14:textId="77777777" w:rsidR="00957D09" w:rsidRPr="00E94BC0" w:rsidRDefault="00957D09" w:rsidP="00957D09">
          <w:pPr>
            <w:spacing w:after="200" w:line="276" w:lineRule="auto"/>
            <w:rPr>
              <w:rFonts w:ascii="Calibri" w:eastAsia="Calibri" w:hAnsi="Calibri" w:cs="Times New Roman"/>
              <w:color w:val="auto"/>
              <w:sz w:val="22"/>
              <w:szCs w:val="22"/>
            </w:rPr>
          </w:pPr>
        </w:p>
        <w:p w14:paraId="136DFFC0" w14:textId="77777777" w:rsidR="00957D09" w:rsidRPr="006F007C" w:rsidRDefault="00957D09" w:rsidP="00957D09">
          <w:pPr>
            <w:spacing w:after="200" w:line="276" w:lineRule="auto"/>
            <w:jc w:val="center"/>
            <w:rPr>
              <w:rFonts w:ascii="Calibri" w:eastAsia="Calibri" w:hAnsi="Calibri" w:cs="Times New Roman"/>
              <w:b/>
              <w:color w:val="auto"/>
              <w:sz w:val="40"/>
              <w:szCs w:val="22"/>
            </w:rPr>
          </w:pPr>
          <w:r w:rsidRPr="006F007C">
            <w:rPr>
              <w:rFonts w:ascii="Calibri" w:eastAsia="Calibri" w:hAnsi="Calibri" w:cs="Times New Roman"/>
              <w:b/>
              <w:color w:val="auto"/>
              <w:sz w:val="40"/>
              <w:szCs w:val="22"/>
            </w:rPr>
            <w:t>ADM 2352 B Finance Theory</w:t>
          </w:r>
        </w:p>
        <w:p w14:paraId="7DF936BF" w14:textId="77777777" w:rsidR="00957D09" w:rsidRPr="006F007C" w:rsidRDefault="00957D09" w:rsidP="00957D09">
          <w:pPr>
            <w:spacing w:after="200" w:line="276" w:lineRule="auto"/>
            <w:jc w:val="center"/>
            <w:rPr>
              <w:rFonts w:ascii="Calibri" w:eastAsia="Calibri" w:hAnsi="Calibri" w:cs="Times New Roman"/>
              <w:b/>
              <w:color w:val="auto"/>
              <w:sz w:val="40"/>
              <w:szCs w:val="22"/>
            </w:rPr>
          </w:pPr>
          <w:r>
            <w:rPr>
              <w:rFonts w:ascii="Calibri" w:eastAsia="Calibri" w:hAnsi="Calibri" w:cs="Times New Roman"/>
              <w:b/>
              <w:color w:val="auto"/>
              <w:sz w:val="40"/>
              <w:szCs w:val="22"/>
            </w:rPr>
            <w:t>Assignment #3</w:t>
          </w:r>
        </w:p>
        <w:p w14:paraId="5CB640F6" w14:textId="77777777" w:rsidR="00957D09" w:rsidRPr="00E94BC0" w:rsidRDefault="00957D09" w:rsidP="00957D09">
          <w:pPr>
            <w:spacing w:after="200" w:line="276" w:lineRule="auto"/>
            <w:jc w:val="center"/>
            <w:rPr>
              <w:rFonts w:ascii="Calibri" w:eastAsia="Calibri" w:hAnsi="Calibri" w:cs="Times New Roman"/>
              <w:color w:val="auto"/>
              <w:sz w:val="40"/>
              <w:szCs w:val="22"/>
            </w:rPr>
          </w:pPr>
        </w:p>
        <w:p w14:paraId="56E6F5B5" w14:textId="77777777" w:rsidR="00957D09" w:rsidRPr="00E94BC0" w:rsidRDefault="00957D09" w:rsidP="00957D09">
          <w:pPr>
            <w:spacing w:after="200" w:line="276" w:lineRule="auto"/>
            <w:jc w:val="center"/>
            <w:rPr>
              <w:rFonts w:ascii="Calibri" w:eastAsia="Calibri" w:hAnsi="Calibri" w:cs="Times New Roman"/>
              <w:color w:val="auto"/>
              <w:sz w:val="40"/>
              <w:szCs w:val="22"/>
            </w:rPr>
          </w:pPr>
        </w:p>
        <w:p w14:paraId="5E3707EE" w14:textId="77777777" w:rsidR="00865AC2" w:rsidRDefault="00865AC2" w:rsidP="00957D09">
          <w:pPr>
            <w:tabs>
              <w:tab w:val="left" w:pos="5355"/>
            </w:tabs>
            <w:spacing w:after="200" w:line="276" w:lineRule="auto"/>
            <w:rPr>
              <w:rFonts w:ascii="Calibri" w:eastAsia="Calibri" w:hAnsi="Calibri" w:cs="Times New Roman"/>
              <w:color w:val="auto"/>
              <w:sz w:val="40"/>
              <w:szCs w:val="22"/>
            </w:rPr>
          </w:pPr>
        </w:p>
        <w:p w14:paraId="05AC40BD" w14:textId="77777777" w:rsidR="00865AC2" w:rsidRDefault="00865AC2" w:rsidP="00957D09">
          <w:pPr>
            <w:tabs>
              <w:tab w:val="left" w:pos="5355"/>
            </w:tabs>
            <w:spacing w:after="200" w:line="276" w:lineRule="auto"/>
            <w:rPr>
              <w:rFonts w:ascii="Calibri" w:eastAsia="Calibri" w:hAnsi="Calibri" w:cs="Times New Roman"/>
              <w:color w:val="auto"/>
              <w:sz w:val="40"/>
              <w:szCs w:val="22"/>
            </w:rPr>
          </w:pPr>
        </w:p>
        <w:p w14:paraId="6E83F675" w14:textId="77777777" w:rsidR="00865AC2" w:rsidRDefault="00865AC2" w:rsidP="00957D09">
          <w:pPr>
            <w:tabs>
              <w:tab w:val="left" w:pos="5355"/>
            </w:tabs>
            <w:spacing w:after="200" w:line="276" w:lineRule="auto"/>
            <w:rPr>
              <w:rFonts w:ascii="Calibri" w:eastAsia="Calibri" w:hAnsi="Calibri" w:cs="Times New Roman"/>
              <w:color w:val="auto"/>
              <w:sz w:val="40"/>
              <w:szCs w:val="22"/>
            </w:rPr>
          </w:pPr>
        </w:p>
        <w:p w14:paraId="35C6EC40" w14:textId="77777777" w:rsidR="00865AC2" w:rsidRDefault="00865AC2" w:rsidP="00957D09">
          <w:pPr>
            <w:tabs>
              <w:tab w:val="left" w:pos="5355"/>
            </w:tabs>
            <w:spacing w:after="200" w:line="276" w:lineRule="auto"/>
            <w:rPr>
              <w:rFonts w:ascii="Calibri" w:eastAsia="Calibri" w:hAnsi="Calibri" w:cs="Times New Roman"/>
              <w:color w:val="auto"/>
              <w:sz w:val="40"/>
              <w:szCs w:val="22"/>
            </w:rPr>
          </w:pPr>
        </w:p>
        <w:p w14:paraId="61C41CF2" w14:textId="5792CCC8" w:rsidR="00957D09" w:rsidRPr="00E94BC0" w:rsidRDefault="00957D09" w:rsidP="00957D09">
          <w:pPr>
            <w:tabs>
              <w:tab w:val="left" w:pos="5355"/>
            </w:tabs>
            <w:spacing w:after="200" w:line="276" w:lineRule="auto"/>
            <w:rPr>
              <w:rFonts w:ascii="Calibri" w:eastAsia="Calibri" w:hAnsi="Calibri" w:cs="Times New Roman"/>
              <w:color w:val="auto"/>
              <w:sz w:val="40"/>
              <w:szCs w:val="22"/>
            </w:rPr>
          </w:pPr>
          <w:bookmarkStart w:id="0" w:name="_GoBack"/>
          <w:bookmarkEnd w:id="0"/>
          <w:r>
            <w:rPr>
              <w:rFonts w:ascii="Calibri" w:eastAsia="Calibri" w:hAnsi="Calibri" w:cs="Times New Roman"/>
              <w:color w:val="auto"/>
              <w:sz w:val="40"/>
              <w:szCs w:val="22"/>
            </w:rPr>
            <w:tab/>
          </w:r>
        </w:p>
        <w:p w14:paraId="3B9751FF" w14:textId="77777777" w:rsidR="00957D09" w:rsidRPr="00E94BC0" w:rsidRDefault="00957D09" w:rsidP="00957D09">
          <w:pPr>
            <w:spacing w:after="200" w:line="276" w:lineRule="auto"/>
            <w:jc w:val="center"/>
            <w:rPr>
              <w:rFonts w:ascii="Calibri" w:eastAsia="Calibri" w:hAnsi="Calibri" w:cs="Times New Roman"/>
              <w:color w:val="auto"/>
              <w:sz w:val="40"/>
              <w:szCs w:val="22"/>
            </w:rPr>
          </w:pPr>
        </w:p>
        <w:p w14:paraId="3731748F" w14:textId="77777777" w:rsidR="00957D09" w:rsidRPr="00504CEE" w:rsidRDefault="00957D09" w:rsidP="00957D09">
          <w:pPr>
            <w:spacing w:after="200" w:line="276" w:lineRule="auto"/>
            <w:jc w:val="center"/>
            <w:rPr>
              <w:rFonts w:ascii="Calibri" w:eastAsia="Calibri" w:hAnsi="Calibri" w:cs="Times New Roman"/>
              <w:color w:val="auto"/>
            </w:rPr>
          </w:pPr>
          <w:r>
            <w:rPr>
              <w:rFonts w:ascii="Calibri" w:eastAsia="Calibri" w:hAnsi="Calibri" w:cs="Times New Roman"/>
              <w:color w:val="auto"/>
            </w:rPr>
            <w:t xml:space="preserve">For: Professor </w:t>
          </w:r>
          <w:proofErr w:type="spellStart"/>
          <w:r>
            <w:rPr>
              <w:rFonts w:ascii="Calibri" w:eastAsia="Calibri" w:hAnsi="Calibri" w:cs="Times New Roman"/>
              <w:color w:val="auto"/>
            </w:rPr>
            <w:t>Saadi</w:t>
          </w:r>
          <w:proofErr w:type="spellEnd"/>
        </w:p>
        <w:p w14:paraId="7F517261" w14:textId="77777777" w:rsidR="00AA2969" w:rsidRDefault="00957D09" w:rsidP="00AA2969">
          <w:pPr>
            <w:spacing w:after="200" w:line="276" w:lineRule="auto"/>
            <w:jc w:val="center"/>
            <w:rPr>
              <w:rFonts w:ascii="Calibri" w:eastAsia="Calibri" w:hAnsi="Calibri" w:cs="Times New Roman"/>
              <w:color w:val="auto"/>
              <w:szCs w:val="22"/>
            </w:rPr>
          </w:pPr>
          <w:r>
            <w:rPr>
              <w:rFonts w:ascii="Calibri" w:eastAsia="Calibri" w:hAnsi="Calibri" w:cs="Times New Roman"/>
              <w:color w:val="auto"/>
              <w:szCs w:val="22"/>
            </w:rPr>
            <w:t>November 25</w:t>
          </w:r>
          <w:r w:rsidRPr="00E94BC0">
            <w:rPr>
              <w:rFonts w:ascii="Calibri" w:eastAsia="Calibri" w:hAnsi="Calibri" w:cs="Times New Roman"/>
              <w:color w:val="auto"/>
              <w:szCs w:val="22"/>
            </w:rPr>
            <w:t>, 2015</w:t>
          </w:r>
        </w:p>
        <w:p w14:paraId="729DEAAC" w14:textId="77777777" w:rsidR="00AA2969" w:rsidRPr="00AA2969" w:rsidRDefault="00865AC2" w:rsidP="00AA2969">
          <w:pPr>
            <w:spacing w:after="200" w:line="276" w:lineRule="auto"/>
            <w:jc w:val="center"/>
            <w:rPr>
              <w:rFonts w:ascii="Calibri" w:eastAsia="Calibri" w:hAnsi="Calibri" w:cs="Times New Roman"/>
              <w:color w:val="auto"/>
              <w:szCs w:val="22"/>
            </w:rPr>
          </w:pPr>
        </w:p>
      </w:sdtContent>
    </w:sdt>
    <w:p w14:paraId="2F40B701" w14:textId="77777777" w:rsidR="00957D09" w:rsidRPr="00AA2969" w:rsidRDefault="00957D09" w:rsidP="00AA2969">
      <w:pPr>
        <w:rPr>
          <w:rFonts w:cs="Times New Roman"/>
          <w:b/>
          <w:sz w:val="26"/>
          <w:szCs w:val="26"/>
        </w:rPr>
      </w:pPr>
      <w:r w:rsidRPr="006278D0">
        <w:rPr>
          <w:rFonts w:ascii="Calibri" w:eastAsia="Calibri" w:hAnsi="Calibri" w:cs="Times New Roman"/>
          <w:b/>
          <w:color w:val="auto"/>
          <w:szCs w:val="22"/>
        </w:rPr>
        <w:t xml:space="preserve">Personal Ethics Statement Concerning Telfer School Assignments  </w:t>
      </w:r>
    </w:p>
    <w:p w14:paraId="60B97834" w14:textId="77777777" w:rsidR="00957D09" w:rsidRPr="006278D0" w:rsidRDefault="00957D09" w:rsidP="00957D09">
      <w:pPr>
        <w:spacing w:line="256" w:lineRule="auto"/>
        <w:rPr>
          <w:rFonts w:ascii="Calibri" w:eastAsia="Calibri" w:hAnsi="Calibri" w:cs="Times New Roman"/>
          <w:b/>
          <w:color w:val="auto"/>
          <w:szCs w:val="22"/>
        </w:rPr>
      </w:pPr>
      <w:r w:rsidRPr="006278D0">
        <w:rPr>
          <w:rFonts w:ascii="Calibri" w:eastAsia="Calibri" w:hAnsi="Calibri" w:cs="Times New Roman"/>
          <w:b/>
          <w:color w:val="auto"/>
          <w:szCs w:val="22"/>
        </w:rPr>
        <w:t xml:space="preserve">Group Assignment:  </w:t>
      </w:r>
    </w:p>
    <w:p w14:paraId="464550BC"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By signing this Statement, I am attesting to the fact that I have reviewed not only my own work, but the work of my colleagues, in its entirety.   </w:t>
      </w:r>
    </w:p>
    <w:p w14:paraId="6C372113"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I attest to the fact that my own work in this project meets all of the rules of quotation and referencing in use at the Telfer School of Management at the University of Ottawa, as well as adheres to the fraud policies as outlined in the Academic Regulations in the University’s Undergraduate Studies Calendar. I further attest that I have knowledge of and have respected the “Beware of Plagiarism”   </w:t>
      </w:r>
    </w:p>
    <w:p w14:paraId="19FCBB82"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To the best of my knowledge, I also believe that each of my group colleagues has also met the rules of quotation and referencing aforementioned in this Statement.   </w:t>
      </w:r>
    </w:p>
    <w:p w14:paraId="0FB22965" w14:textId="77777777" w:rsidR="00957D09"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I understand that if my group assignment is submitted without a signed copy of this Personal Ethics Statement from each group member, it will be interpreted by the Telfer School that the missing student(s) signature is confirmation of non-participation of the aforementioned student(s) in the required work.  </w:t>
      </w:r>
    </w:p>
    <w:p w14:paraId="40EABFE3" w14:textId="77777777" w:rsidR="00957D09" w:rsidRPr="006278D0" w:rsidRDefault="00957D09" w:rsidP="00957D09">
      <w:pPr>
        <w:spacing w:line="256" w:lineRule="auto"/>
        <w:rPr>
          <w:rFonts w:ascii="Calibri" w:eastAsia="Calibri" w:hAnsi="Calibri" w:cs="Times New Roman"/>
          <w:color w:val="auto"/>
          <w:szCs w:val="22"/>
        </w:rPr>
      </w:pPr>
    </w:p>
    <w:p w14:paraId="08D04A26"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     _______________ </w:t>
      </w:r>
    </w:p>
    <w:p w14:paraId="39B94FBF" w14:textId="77777777" w:rsidR="00957D09"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Signature      </w:t>
      </w:r>
      <w:r w:rsidRPr="006278D0">
        <w:rPr>
          <w:rFonts w:ascii="Calibri" w:eastAsia="Calibri" w:hAnsi="Calibri" w:cs="Times New Roman"/>
          <w:color w:val="auto"/>
          <w:szCs w:val="22"/>
        </w:rPr>
        <w:tab/>
      </w:r>
      <w:r w:rsidRPr="006278D0">
        <w:rPr>
          <w:rFonts w:ascii="Calibri" w:eastAsia="Calibri" w:hAnsi="Calibri" w:cs="Times New Roman"/>
          <w:color w:val="auto"/>
          <w:szCs w:val="22"/>
        </w:rPr>
        <w:tab/>
        <w:t>Date</w:t>
      </w:r>
    </w:p>
    <w:p w14:paraId="15353838" w14:textId="77777777" w:rsidR="00957D09" w:rsidRPr="006278D0" w:rsidRDefault="00957D09" w:rsidP="00957D09">
      <w:pPr>
        <w:spacing w:line="256" w:lineRule="auto"/>
        <w:rPr>
          <w:rFonts w:ascii="Calibri" w:eastAsia="Calibri" w:hAnsi="Calibri" w:cs="Times New Roman"/>
          <w:color w:val="auto"/>
          <w:szCs w:val="22"/>
        </w:rPr>
      </w:pPr>
    </w:p>
    <w:p w14:paraId="35BA6A0D"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________________________________  </w:t>
      </w:r>
      <w:r w:rsidRPr="006278D0">
        <w:rPr>
          <w:rFonts w:ascii="Calibri" w:eastAsia="Calibri" w:hAnsi="Calibri" w:cs="Times New Roman"/>
          <w:color w:val="auto"/>
          <w:szCs w:val="22"/>
        </w:rPr>
        <w:tab/>
        <w:t xml:space="preserve">_______________ </w:t>
      </w:r>
    </w:p>
    <w:p w14:paraId="4B8346EB"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Last Name (print), First Name (print)   </w:t>
      </w:r>
      <w:r w:rsidRPr="006278D0">
        <w:rPr>
          <w:rFonts w:ascii="Calibri" w:eastAsia="Calibri" w:hAnsi="Calibri" w:cs="Times New Roman"/>
          <w:color w:val="auto"/>
          <w:szCs w:val="22"/>
        </w:rPr>
        <w:tab/>
        <w:t xml:space="preserve">Student Number  </w:t>
      </w:r>
    </w:p>
    <w:p w14:paraId="0644892E" w14:textId="77777777" w:rsidR="00957D09" w:rsidRPr="006278D0" w:rsidRDefault="00957D09" w:rsidP="00957D09">
      <w:pPr>
        <w:spacing w:line="256" w:lineRule="auto"/>
        <w:rPr>
          <w:rFonts w:ascii="Calibri" w:eastAsia="Calibri" w:hAnsi="Calibri" w:cs="Times New Roman"/>
          <w:color w:val="auto"/>
          <w:szCs w:val="22"/>
        </w:rPr>
      </w:pPr>
    </w:p>
    <w:p w14:paraId="0E4F5B18"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     _______________ </w:t>
      </w:r>
    </w:p>
    <w:p w14:paraId="15664FBC" w14:textId="77777777" w:rsidR="00957D09"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Signature      </w:t>
      </w:r>
      <w:r w:rsidRPr="006278D0">
        <w:rPr>
          <w:rFonts w:ascii="Calibri" w:eastAsia="Calibri" w:hAnsi="Calibri" w:cs="Times New Roman"/>
          <w:color w:val="auto"/>
          <w:szCs w:val="22"/>
        </w:rPr>
        <w:tab/>
      </w:r>
      <w:r w:rsidRPr="006278D0">
        <w:rPr>
          <w:rFonts w:ascii="Calibri" w:eastAsia="Calibri" w:hAnsi="Calibri" w:cs="Times New Roman"/>
          <w:color w:val="auto"/>
          <w:szCs w:val="22"/>
        </w:rPr>
        <w:tab/>
        <w:t>Date</w:t>
      </w:r>
    </w:p>
    <w:p w14:paraId="110D92A0" w14:textId="77777777" w:rsidR="00957D09" w:rsidRPr="006278D0" w:rsidRDefault="00957D09" w:rsidP="00957D09">
      <w:pPr>
        <w:spacing w:line="256" w:lineRule="auto"/>
        <w:rPr>
          <w:rFonts w:ascii="Calibri" w:eastAsia="Calibri" w:hAnsi="Calibri" w:cs="Times New Roman"/>
          <w:color w:val="auto"/>
          <w:szCs w:val="22"/>
        </w:rPr>
      </w:pPr>
    </w:p>
    <w:p w14:paraId="50BEC7DC"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________________________________  </w:t>
      </w:r>
      <w:r w:rsidRPr="006278D0">
        <w:rPr>
          <w:rFonts w:ascii="Calibri" w:eastAsia="Calibri" w:hAnsi="Calibri" w:cs="Times New Roman"/>
          <w:color w:val="auto"/>
          <w:szCs w:val="22"/>
        </w:rPr>
        <w:tab/>
        <w:t xml:space="preserve">_______________ </w:t>
      </w:r>
    </w:p>
    <w:p w14:paraId="4206248E" w14:textId="77777777" w:rsidR="00957D09" w:rsidRPr="006278D0" w:rsidRDefault="00957D09" w:rsidP="00957D09">
      <w:pPr>
        <w:spacing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Last Name (print), First Name (print)   </w:t>
      </w:r>
      <w:r w:rsidRPr="006278D0">
        <w:rPr>
          <w:rFonts w:ascii="Calibri" w:eastAsia="Calibri" w:hAnsi="Calibri" w:cs="Times New Roman"/>
          <w:color w:val="auto"/>
          <w:szCs w:val="22"/>
        </w:rPr>
        <w:tab/>
        <w:t xml:space="preserve">Student Number  </w:t>
      </w:r>
    </w:p>
    <w:p w14:paraId="00B52911" w14:textId="77777777" w:rsidR="00957D09" w:rsidRPr="006278D0" w:rsidRDefault="00957D09" w:rsidP="00957D09">
      <w:pPr>
        <w:spacing w:line="256" w:lineRule="auto"/>
        <w:rPr>
          <w:rFonts w:ascii="Calibri" w:eastAsia="Calibri" w:hAnsi="Calibri" w:cs="Times New Roman"/>
          <w:color w:val="auto"/>
          <w:szCs w:val="22"/>
        </w:rPr>
      </w:pPr>
    </w:p>
    <w:p w14:paraId="40F51D9C" w14:textId="77777777" w:rsidR="00957D09" w:rsidRDefault="00957D09" w:rsidP="00957D09">
      <w:pPr>
        <w:spacing w:line="360" w:lineRule="auto"/>
        <w:rPr>
          <w:b/>
          <w:u w:val="single"/>
        </w:rPr>
      </w:pPr>
    </w:p>
    <w:p w14:paraId="167DB880" w14:textId="77777777" w:rsidR="00957D09" w:rsidRPr="00F6169F" w:rsidRDefault="00957D09" w:rsidP="00957D09">
      <w:pPr>
        <w:spacing w:line="360" w:lineRule="auto"/>
        <w:rPr>
          <w:rFonts w:asciiTheme="minorHAnsi" w:hAnsiTheme="minorHAnsi"/>
          <w:b/>
          <w:sz w:val="22"/>
          <w:szCs w:val="22"/>
          <w:u w:val="single"/>
        </w:rPr>
      </w:pPr>
    </w:p>
    <w:p w14:paraId="701BC8BC" w14:textId="77777777" w:rsidR="00957D09" w:rsidRPr="00F6169F" w:rsidRDefault="00957D09" w:rsidP="00957D09">
      <w:pPr>
        <w:spacing w:line="240" w:lineRule="auto"/>
        <w:rPr>
          <w:rFonts w:asciiTheme="minorHAnsi" w:hAnsiTheme="minorHAnsi"/>
          <w:b/>
          <w:sz w:val="22"/>
          <w:szCs w:val="22"/>
          <w:u w:val="single"/>
        </w:rPr>
      </w:pPr>
      <w:r w:rsidRPr="00F6169F">
        <w:rPr>
          <w:rFonts w:asciiTheme="minorHAnsi" w:hAnsiTheme="minorHAnsi"/>
          <w:b/>
          <w:sz w:val="22"/>
          <w:szCs w:val="22"/>
          <w:u w:val="single"/>
        </w:rPr>
        <w:t>Question #1</w:t>
      </w:r>
    </w:p>
    <w:p w14:paraId="74F0C403" w14:textId="77777777" w:rsidR="00957D09" w:rsidRPr="00F6169F" w:rsidRDefault="00957D09" w:rsidP="00957D09">
      <w:pPr>
        <w:spacing w:line="240" w:lineRule="auto"/>
        <w:rPr>
          <w:rFonts w:asciiTheme="minorHAnsi" w:hAnsiTheme="minorHAnsi"/>
          <w:b/>
          <w:sz w:val="22"/>
          <w:szCs w:val="22"/>
        </w:rPr>
      </w:pPr>
      <w:r w:rsidRPr="00F6169F">
        <w:rPr>
          <w:rFonts w:asciiTheme="minorHAnsi" w:hAnsiTheme="minorHAnsi"/>
          <w:b/>
          <w:sz w:val="22"/>
          <w:szCs w:val="22"/>
        </w:rPr>
        <w:t xml:space="preserve">Consider a large number of privately-held firms headquartered in different counties in the U.S. Some are located in central areas (i.e. urban areas or financial centers such New York City, Boston, etc.) and other are located in remote areas (i.e. rural areas or non-financial centers). Assume that these firms are considering becoming publicly listed. Discuss in detail whether and how the geographic location of these firms would influence the level of IPO underpricing associated with these firms?  </w:t>
      </w:r>
    </w:p>
    <w:p w14:paraId="539CA0B3" w14:textId="77777777" w:rsidR="00BA2842" w:rsidRPr="00F6169F" w:rsidRDefault="00BA2842" w:rsidP="00BA2842">
      <w:pPr>
        <w:spacing w:line="240" w:lineRule="auto"/>
        <w:rPr>
          <w:rFonts w:asciiTheme="minorHAnsi" w:hAnsiTheme="minorHAnsi"/>
          <w:sz w:val="22"/>
          <w:szCs w:val="22"/>
        </w:rPr>
      </w:pPr>
      <w:r w:rsidRPr="00F6169F">
        <w:rPr>
          <w:rFonts w:asciiTheme="minorHAnsi" w:hAnsiTheme="minorHAnsi"/>
          <w:sz w:val="22"/>
          <w:szCs w:val="22"/>
        </w:rPr>
        <w:tab/>
        <w:t>The initial public offering (IPO) of a stock is the chance for the general public to buy a stock of a firm for the first time with hope of growth and development within the firm. There are endless amounts of factors that can affect initial price of a firm, including – but not limited to location of the firm, the current mana</w:t>
      </w:r>
      <w:r w:rsidR="00953AD9" w:rsidRPr="00F6169F">
        <w:rPr>
          <w:rFonts w:asciiTheme="minorHAnsi" w:hAnsiTheme="minorHAnsi"/>
          <w:sz w:val="22"/>
          <w:szCs w:val="22"/>
        </w:rPr>
        <w:t>gement of the firm</w:t>
      </w:r>
      <w:r w:rsidRPr="00F6169F">
        <w:rPr>
          <w:rFonts w:asciiTheme="minorHAnsi" w:hAnsiTheme="minorHAnsi"/>
          <w:sz w:val="22"/>
          <w:szCs w:val="22"/>
        </w:rPr>
        <w:t xml:space="preserve">. </w:t>
      </w:r>
    </w:p>
    <w:p w14:paraId="3ACDC560" w14:textId="77777777" w:rsidR="00BA2842" w:rsidRPr="00F6169F" w:rsidRDefault="00BA2842" w:rsidP="00BA2842">
      <w:pPr>
        <w:spacing w:line="240" w:lineRule="auto"/>
        <w:ind w:firstLine="720"/>
        <w:rPr>
          <w:rFonts w:asciiTheme="minorHAnsi" w:hAnsiTheme="minorHAnsi"/>
          <w:sz w:val="22"/>
          <w:szCs w:val="22"/>
        </w:rPr>
      </w:pPr>
      <w:r w:rsidRPr="00F6169F">
        <w:rPr>
          <w:rFonts w:asciiTheme="minorHAnsi" w:hAnsiTheme="minorHAnsi"/>
          <w:sz w:val="22"/>
          <w:szCs w:val="22"/>
        </w:rPr>
        <w:t>As stated above, t</w:t>
      </w:r>
      <w:r w:rsidR="00953AD9" w:rsidRPr="00F6169F">
        <w:rPr>
          <w:rFonts w:asciiTheme="minorHAnsi" w:hAnsiTheme="minorHAnsi"/>
          <w:sz w:val="22"/>
          <w:szCs w:val="22"/>
        </w:rPr>
        <w:t xml:space="preserve">he level of IPO </w:t>
      </w:r>
      <w:r w:rsidRPr="00F6169F">
        <w:rPr>
          <w:rFonts w:asciiTheme="minorHAnsi" w:hAnsiTheme="minorHAnsi"/>
          <w:sz w:val="22"/>
          <w:szCs w:val="22"/>
        </w:rPr>
        <w:t>pricing is related to the geographic location of th</w:t>
      </w:r>
      <w:r w:rsidR="00953AD9" w:rsidRPr="00F6169F">
        <w:rPr>
          <w:rFonts w:asciiTheme="minorHAnsi" w:hAnsiTheme="minorHAnsi"/>
          <w:sz w:val="22"/>
          <w:szCs w:val="22"/>
        </w:rPr>
        <w:t>e firms. Firms that are located</w:t>
      </w:r>
      <w:r w:rsidRPr="00F6169F">
        <w:rPr>
          <w:rFonts w:asciiTheme="minorHAnsi" w:hAnsiTheme="minorHAnsi"/>
          <w:sz w:val="22"/>
          <w:szCs w:val="22"/>
        </w:rPr>
        <w:t xml:space="preserve"> in more central areas of the United States of American, such as New York City, Boston, and many other major cities, are less likely to be underpriced at the initial public offering. There are many reasons as to why a firm in a larger city are less likely to be underpriced; one major reason is the amount of media and publicity surrounding these companies.</w:t>
      </w:r>
    </w:p>
    <w:p w14:paraId="0319BF42" w14:textId="77777777" w:rsidR="00BA2842" w:rsidRPr="00F6169F" w:rsidRDefault="00BA2842" w:rsidP="00BA2842">
      <w:pPr>
        <w:spacing w:line="240" w:lineRule="auto"/>
        <w:ind w:firstLine="720"/>
        <w:rPr>
          <w:rFonts w:asciiTheme="minorHAnsi" w:hAnsiTheme="minorHAnsi"/>
          <w:sz w:val="22"/>
          <w:szCs w:val="22"/>
        </w:rPr>
      </w:pPr>
      <w:r w:rsidRPr="00F6169F">
        <w:rPr>
          <w:rFonts w:asciiTheme="minorHAnsi" w:hAnsiTheme="minorHAnsi"/>
          <w:sz w:val="22"/>
          <w:szCs w:val="22"/>
        </w:rPr>
        <w:t>In a larger city, companies have more resources available to them, including broadcasting companies, radio stations, print media, as well as the general public that is surrounding them on a daily basis. With the resources that surround them firms in a larger city are more likely to get media attention and press coverage during the process of setting up the IPO with an underwriter. T</w:t>
      </w:r>
      <w:r w:rsidR="00953AD9" w:rsidRPr="00F6169F">
        <w:rPr>
          <w:rFonts w:asciiTheme="minorHAnsi" w:hAnsiTheme="minorHAnsi"/>
          <w:sz w:val="22"/>
          <w:szCs w:val="22"/>
        </w:rPr>
        <w:t xml:space="preserve">his then reacts by giving </w:t>
      </w:r>
      <w:r w:rsidRPr="00F6169F">
        <w:rPr>
          <w:rFonts w:asciiTheme="minorHAnsi" w:hAnsiTheme="minorHAnsi"/>
          <w:sz w:val="22"/>
          <w:szCs w:val="22"/>
        </w:rPr>
        <w:t>the</w:t>
      </w:r>
      <w:r w:rsidR="00953AD9" w:rsidRPr="00F6169F">
        <w:rPr>
          <w:rFonts w:asciiTheme="minorHAnsi" w:hAnsiTheme="minorHAnsi"/>
          <w:sz w:val="22"/>
          <w:szCs w:val="22"/>
        </w:rPr>
        <w:t xml:space="preserve"> firms an</w:t>
      </w:r>
      <w:r w:rsidRPr="00F6169F">
        <w:rPr>
          <w:rFonts w:asciiTheme="minorHAnsi" w:hAnsiTheme="minorHAnsi"/>
          <w:sz w:val="22"/>
          <w:szCs w:val="22"/>
        </w:rPr>
        <w:t xml:space="preserve"> opportunity to see how the public and current stock market reacts to the new firm becoming a public company. The underwriter preparing the IPO for this company would then know that they are able to offer a higher price, </w:t>
      </w:r>
      <w:r w:rsidR="00953AD9" w:rsidRPr="00F6169F">
        <w:rPr>
          <w:rFonts w:asciiTheme="minorHAnsi" w:hAnsiTheme="minorHAnsi"/>
          <w:sz w:val="22"/>
          <w:szCs w:val="22"/>
        </w:rPr>
        <w:t>if the firm has generated a higher general public interest</w:t>
      </w:r>
      <w:r w:rsidRPr="00F6169F">
        <w:rPr>
          <w:rFonts w:asciiTheme="minorHAnsi" w:hAnsiTheme="minorHAnsi"/>
          <w:sz w:val="22"/>
          <w:szCs w:val="22"/>
        </w:rPr>
        <w:t>.</w:t>
      </w:r>
    </w:p>
    <w:p w14:paraId="0DCAF01E" w14:textId="77777777" w:rsidR="00BA2842" w:rsidRPr="00F6169F" w:rsidRDefault="00BA2842" w:rsidP="00BA2842">
      <w:pPr>
        <w:spacing w:line="240" w:lineRule="auto"/>
        <w:ind w:firstLine="720"/>
        <w:rPr>
          <w:rFonts w:asciiTheme="minorHAnsi" w:hAnsiTheme="minorHAnsi"/>
          <w:sz w:val="22"/>
          <w:szCs w:val="22"/>
        </w:rPr>
      </w:pPr>
      <w:r w:rsidRPr="00F6169F">
        <w:rPr>
          <w:rFonts w:asciiTheme="minorHAnsi" w:hAnsiTheme="minorHAnsi"/>
          <w:sz w:val="22"/>
          <w:szCs w:val="22"/>
        </w:rPr>
        <w:t xml:space="preserve">In a small city many companies do not have the luxury of being constantly surrounded by large numbers of people, and different forms of media. Due to this they are more likely to have underpriced IPO’s. The underwriter who is preparing for the IPO will see a smaller amount of interest, as for the firm is not generating much talk. When the IPO is released, they do have the possibility of being significantly underpriced, and they may see a large jump in price very quickly. </w:t>
      </w:r>
    </w:p>
    <w:p w14:paraId="3D6A57AA" w14:textId="77777777" w:rsidR="00BA2842" w:rsidRPr="00F6169F" w:rsidRDefault="00BA2842" w:rsidP="00BA2842">
      <w:pPr>
        <w:spacing w:line="240" w:lineRule="auto"/>
        <w:ind w:firstLine="720"/>
        <w:rPr>
          <w:rFonts w:asciiTheme="minorHAnsi" w:hAnsiTheme="minorHAnsi"/>
          <w:sz w:val="22"/>
          <w:szCs w:val="22"/>
        </w:rPr>
      </w:pPr>
      <w:r w:rsidRPr="00F6169F">
        <w:rPr>
          <w:rFonts w:asciiTheme="minorHAnsi" w:hAnsiTheme="minorHAnsi"/>
          <w:sz w:val="22"/>
          <w:szCs w:val="22"/>
        </w:rPr>
        <w:t xml:space="preserve">According to Patricia C. O’Brien and </w:t>
      </w:r>
      <w:proofErr w:type="spellStart"/>
      <w:r w:rsidRPr="00F6169F">
        <w:rPr>
          <w:rFonts w:asciiTheme="minorHAnsi" w:hAnsiTheme="minorHAnsi"/>
          <w:sz w:val="22"/>
          <w:szCs w:val="22"/>
        </w:rPr>
        <w:t>Hongping</w:t>
      </w:r>
      <w:proofErr w:type="spellEnd"/>
      <w:r w:rsidRPr="00F6169F">
        <w:rPr>
          <w:rFonts w:asciiTheme="minorHAnsi" w:hAnsiTheme="minorHAnsi"/>
          <w:sz w:val="22"/>
          <w:szCs w:val="22"/>
        </w:rPr>
        <w:t xml:space="preserve"> Tan of the University of Waterloo people are 67% more likely to buy IPO’s from their own city. This means cities and states with higher population densities are </w:t>
      </w:r>
      <w:r w:rsidR="00953AD9" w:rsidRPr="00F6169F">
        <w:rPr>
          <w:rFonts w:asciiTheme="minorHAnsi" w:hAnsiTheme="minorHAnsi"/>
          <w:sz w:val="22"/>
          <w:szCs w:val="22"/>
        </w:rPr>
        <w:t>less likely to be underpriced, as for it is know that the IPO will generate high amounts of sales</w:t>
      </w:r>
      <w:r w:rsidRPr="00F6169F">
        <w:rPr>
          <w:rFonts w:asciiTheme="minorHAnsi" w:hAnsiTheme="minorHAnsi"/>
          <w:sz w:val="22"/>
          <w:szCs w:val="22"/>
        </w:rPr>
        <w:t xml:space="preserve">. This gives larger firms which are typically located in busy cities a bigger advantage than smaller firms. </w:t>
      </w:r>
    </w:p>
    <w:p w14:paraId="33B1D80B" w14:textId="77777777" w:rsidR="00BA2842" w:rsidRPr="00F6169F" w:rsidRDefault="00BA2842" w:rsidP="00BA2842">
      <w:pPr>
        <w:spacing w:line="240" w:lineRule="auto"/>
        <w:ind w:firstLine="720"/>
        <w:rPr>
          <w:rFonts w:asciiTheme="minorHAnsi" w:hAnsiTheme="minorHAnsi"/>
          <w:sz w:val="22"/>
          <w:szCs w:val="22"/>
        </w:rPr>
      </w:pPr>
      <w:r w:rsidRPr="00F6169F">
        <w:rPr>
          <w:rFonts w:asciiTheme="minorHAnsi" w:hAnsiTheme="minorHAnsi"/>
          <w:sz w:val="22"/>
          <w:szCs w:val="22"/>
        </w:rPr>
        <w:t xml:space="preserve">In conclusion, I find that firms located in larger cities are less likely to be underpriced as for they have the advantage to being continuously close to people, and media coverage which generates public interest near the IPO. The underwriter then takes this into consideration and adjusts the price accordingly. Firms in smaller cities and rural areas do not have this advantage, therefore they are more likely to be underpriced at the IPO. </w:t>
      </w:r>
    </w:p>
    <w:p w14:paraId="48B9FC2E" w14:textId="77777777" w:rsidR="00BA2842" w:rsidRPr="00F6169F" w:rsidRDefault="00BA2842" w:rsidP="00BA2842">
      <w:pPr>
        <w:spacing w:line="240" w:lineRule="auto"/>
        <w:rPr>
          <w:rFonts w:asciiTheme="minorHAnsi" w:hAnsiTheme="minorHAnsi"/>
          <w:b/>
          <w:sz w:val="22"/>
          <w:szCs w:val="22"/>
        </w:rPr>
      </w:pPr>
      <w:r w:rsidRPr="00F6169F">
        <w:rPr>
          <w:rFonts w:asciiTheme="minorHAnsi" w:hAnsiTheme="minorHAnsi"/>
          <w:b/>
          <w:sz w:val="22"/>
          <w:szCs w:val="22"/>
        </w:rPr>
        <w:t xml:space="preserve">*Please note the response to this question was a mix of in class discuss as well as research based. I have listed my source below. </w:t>
      </w:r>
    </w:p>
    <w:p w14:paraId="4E6F1F8E" w14:textId="6D5EA1B2" w:rsidR="00D157AE" w:rsidRPr="00F6169F" w:rsidRDefault="00BA2842" w:rsidP="00957D09">
      <w:pPr>
        <w:spacing w:line="240" w:lineRule="auto"/>
        <w:rPr>
          <w:rFonts w:asciiTheme="minorHAnsi" w:hAnsiTheme="minorHAnsi"/>
          <w:b/>
          <w:sz w:val="22"/>
          <w:szCs w:val="22"/>
        </w:rPr>
      </w:pPr>
      <w:r w:rsidRPr="00F6169F">
        <w:rPr>
          <w:rFonts w:asciiTheme="minorHAnsi" w:hAnsiTheme="minorHAnsi"/>
          <w:b/>
          <w:sz w:val="22"/>
          <w:szCs w:val="22"/>
        </w:rPr>
        <w:lastRenderedPageBreak/>
        <w:t>Source:</w:t>
      </w:r>
      <w:r w:rsidRPr="00F6169F">
        <w:rPr>
          <w:rFonts w:asciiTheme="minorHAnsi" w:hAnsiTheme="minorHAnsi"/>
          <w:b/>
          <w:sz w:val="22"/>
          <w:szCs w:val="22"/>
        </w:rPr>
        <w:br/>
      </w:r>
      <w:hyperlink r:id="rId5" w:history="1">
        <w:r w:rsidRPr="00F6169F">
          <w:rPr>
            <w:rStyle w:val="Hyperlink"/>
            <w:rFonts w:asciiTheme="minorHAnsi" w:hAnsiTheme="minorHAnsi"/>
            <w:sz w:val="22"/>
            <w:szCs w:val="22"/>
          </w:rPr>
          <w:t>https://www.economics.utoronto.ca/index.php/index/research/downloadSeminarPaper/3421</w:t>
        </w:r>
      </w:hyperlink>
    </w:p>
    <w:p w14:paraId="626E0EF7" w14:textId="77777777" w:rsidR="00F6169F" w:rsidRPr="00F6169F" w:rsidRDefault="00F6169F" w:rsidP="00957D09">
      <w:pPr>
        <w:spacing w:line="240" w:lineRule="auto"/>
        <w:rPr>
          <w:rFonts w:asciiTheme="minorHAnsi" w:hAnsiTheme="minorHAnsi"/>
          <w:b/>
          <w:sz w:val="22"/>
          <w:szCs w:val="22"/>
        </w:rPr>
      </w:pPr>
    </w:p>
    <w:p w14:paraId="181A6E8B" w14:textId="77777777" w:rsidR="00957D09" w:rsidRPr="00F6169F" w:rsidRDefault="00957D09" w:rsidP="00957D09">
      <w:pPr>
        <w:spacing w:line="240" w:lineRule="auto"/>
        <w:rPr>
          <w:rFonts w:asciiTheme="minorHAnsi" w:hAnsiTheme="minorHAnsi"/>
          <w:b/>
          <w:sz w:val="22"/>
          <w:szCs w:val="22"/>
          <w:u w:val="single"/>
        </w:rPr>
      </w:pPr>
      <w:r w:rsidRPr="00F6169F">
        <w:rPr>
          <w:rFonts w:asciiTheme="minorHAnsi" w:hAnsiTheme="minorHAnsi"/>
          <w:b/>
          <w:sz w:val="22"/>
          <w:szCs w:val="22"/>
          <w:u w:val="single"/>
        </w:rPr>
        <w:t>Question #2</w:t>
      </w:r>
    </w:p>
    <w:p w14:paraId="490F89CF" w14:textId="77777777" w:rsidR="00957D09" w:rsidRPr="00F6169F" w:rsidRDefault="00957D09" w:rsidP="00957D09">
      <w:pPr>
        <w:spacing w:line="240" w:lineRule="auto"/>
        <w:rPr>
          <w:rFonts w:asciiTheme="minorHAnsi" w:hAnsiTheme="minorHAnsi"/>
          <w:b/>
          <w:sz w:val="22"/>
          <w:szCs w:val="22"/>
        </w:rPr>
      </w:pPr>
      <w:r w:rsidRPr="00F6169F">
        <w:rPr>
          <w:rFonts w:asciiTheme="minorHAnsi" w:hAnsiTheme="minorHAnsi"/>
          <w:b/>
          <w:sz w:val="22"/>
          <w:szCs w:val="22"/>
        </w:rPr>
        <w:t>There is a theoretical work suggesting that the level of IPO underpricing should be negatively associated with the level of trust in a society. However, a recent empirical work testing this theoretical prediction (using over 12,000 IPOs in located in 43 countries in the world) finds that the relationship between trust and IPO is actually positive. That is the higher the level of trust in a society, the higher the IPO underpricing in a country. Hence the theory is not supported (i.e. does not hold). Find an explanation to this empirical finding. For your information trust in a society is defined as the fundamental confidence an individual has toward others to have a fair return in any contract.</w:t>
      </w:r>
    </w:p>
    <w:p w14:paraId="7426B6B1" w14:textId="77777777" w:rsidR="00F83248" w:rsidRPr="00F6169F" w:rsidRDefault="00F83248" w:rsidP="00957D09">
      <w:pPr>
        <w:spacing w:line="240" w:lineRule="auto"/>
        <w:rPr>
          <w:rFonts w:asciiTheme="minorHAnsi" w:hAnsiTheme="minorHAnsi"/>
          <w:sz w:val="22"/>
          <w:szCs w:val="22"/>
        </w:rPr>
      </w:pPr>
      <w:r w:rsidRPr="00F6169F">
        <w:rPr>
          <w:rFonts w:asciiTheme="minorHAnsi" w:hAnsiTheme="minorHAnsi"/>
          <w:sz w:val="22"/>
          <w:szCs w:val="22"/>
        </w:rPr>
        <w:t xml:space="preserve">Going on my intuition, there are a few ways to explain the findings: the higher the levels of trust in a society, the higher the IPO underpricing in a country. To begin, perhaps this can be explained through the idea it is more risky to overprice than it is to underprice IPOs, therefore creating a sense of security (and trust) in a society. Underwriters want to safeguard that their clients earn a good average return on IPOs, and underpricing will make everyone feel more trusting that it will be a successful IPO. </w:t>
      </w:r>
    </w:p>
    <w:p w14:paraId="0C3BA51B" w14:textId="77777777" w:rsidR="00F83248" w:rsidRPr="00F6169F" w:rsidRDefault="00F83248" w:rsidP="00957D09">
      <w:pPr>
        <w:spacing w:line="240" w:lineRule="auto"/>
        <w:rPr>
          <w:rFonts w:asciiTheme="minorHAnsi" w:hAnsiTheme="minorHAnsi"/>
          <w:sz w:val="22"/>
          <w:szCs w:val="22"/>
        </w:rPr>
      </w:pPr>
    </w:p>
    <w:p w14:paraId="6739B993" w14:textId="77777777" w:rsidR="00957D09" w:rsidRPr="00F6169F" w:rsidRDefault="00F83248" w:rsidP="00957D09">
      <w:pPr>
        <w:spacing w:line="240" w:lineRule="auto"/>
        <w:rPr>
          <w:rFonts w:asciiTheme="minorHAnsi" w:hAnsiTheme="minorHAnsi"/>
          <w:sz w:val="22"/>
          <w:szCs w:val="22"/>
        </w:rPr>
      </w:pPr>
      <w:r w:rsidRPr="00F6169F">
        <w:rPr>
          <w:rFonts w:asciiTheme="minorHAnsi" w:hAnsiTheme="minorHAnsi"/>
          <w:sz w:val="22"/>
          <w:szCs w:val="22"/>
        </w:rPr>
        <w:t xml:space="preserve">Although it is considered that issuer is not getting as much in return as they could – a society that is trusting would be willing to do so as it is less risky and will attract investors to look into your IPO. Plus, these ideas can be backed up by the fact that some of the most successful IPOs have been underpriced (I.e. EBay, Alibaba), which would create society where they trust more in underpricing of IPOs. Often the issuer understands that in order to attract investors they must first underprice and then charge a realistic price later based on the end of day offer price. </w:t>
      </w:r>
    </w:p>
    <w:p w14:paraId="2C912228" w14:textId="77777777" w:rsidR="00F83248" w:rsidRPr="00F6169F" w:rsidRDefault="00F83248" w:rsidP="00957D09">
      <w:pPr>
        <w:spacing w:line="240" w:lineRule="auto"/>
        <w:rPr>
          <w:rFonts w:asciiTheme="minorHAnsi" w:hAnsiTheme="minorHAnsi"/>
          <w:sz w:val="22"/>
          <w:szCs w:val="22"/>
        </w:rPr>
      </w:pPr>
    </w:p>
    <w:p w14:paraId="56D825A2" w14:textId="77777777" w:rsidR="00F83248" w:rsidRPr="00F6169F" w:rsidRDefault="00F83248" w:rsidP="00957D09">
      <w:pPr>
        <w:spacing w:line="240" w:lineRule="auto"/>
        <w:rPr>
          <w:rFonts w:asciiTheme="minorHAnsi" w:hAnsiTheme="minorHAnsi"/>
          <w:sz w:val="22"/>
          <w:szCs w:val="22"/>
        </w:rPr>
      </w:pPr>
      <w:r w:rsidRPr="00F6169F">
        <w:rPr>
          <w:rFonts w:asciiTheme="minorHAnsi" w:hAnsiTheme="minorHAnsi"/>
          <w:sz w:val="22"/>
          <w:szCs w:val="22"/>
        </w:rPr>
        <w:t xml:space="preserve">A good firm will underprice its issue in order to attract investors. Investors will collect information about the firm in order to figure out if it is a good firm to invest in. The firm benefits from this since when the true market value is found, the owners have more of incentive to come out with more offer at the higher market price and therefore the cost (losses) of underprice are offset in regards to the firm selling more shares at a higher price. Again, higher trusting societies will see this method as beneficial to them. </w:t>
      </w:r>
    </w:p>
    <w:p w14:paraId="3D288E2B" w14:textId="77777777" w:rsidR="00957D09" w:rsidRPr="00F6169F" w:rsidRDefault="00957D09" w:rsidP="00957D09">
      <w:pPr>
        <w:spacing w:line="240" w:lineRule="auto"/>
        <w:rPr>
          <w:rFonts w:asciiTheme="minorHAnsi" w:hAnsiTheme="minorHAnsi"/>
          <w:sz w:val="22"/>
          <w:szCs w:val="22"/>
        </w:rPr>
      </w:pPr>
    </w:p>
    <w:p w14:paraId="57E2EB0D" w14:textId="77777777" w:rsidR="00F83248" w:rsidRPr="00F6169F" w:rsidRDefault="00F83248" w:rsidP="00957D09">
      <w:pPr>
        <w:spacing w:line="240" w:lineRule="auto"/>
        <w:rPr>
          <w:rFonts w:asciiTheme="minorHAnsi" w:hAnsiTheme="minorHAnsi"/>
          <w:b/>
          <w:sz w:val="22"/>
          <w:szCs w:val="22"/>
          <w:u w:val="single"/>
        </w:rPr>
      </w:pPr>
      <w:r w:rsidRPr="00F6169F">
        <w:rPr>
          <w:rFonts w:asciiTheme="minorHAnsi" w:hAnsiTheme="minorHAnsi"/>
          <w:b/>
          <w:sz w:val="22"/>
          <w:szCs w:val="22"/>
        </w:rPr>
        <w:t>Source</w:t>
      </w:r>
      <w:r w:rsidRPr="00F6169F">
        <w:rPr>
          <w:rFonts w:asciiTheme="minorHAnsi" w:hAnsiTheme="minorHAnsi"/>
          <w:sz w:val="22"/>
          <w:szCs w:val="22"/>
        </w:rPr>
        <w:t>: https://www.philadelphiafed.org/research-and-data/publications/business-review/1990/brma90as.pdf.</w:t>
      </w:r>
    </w:p>
    <w:p w14:paraId="37602CFC" w14:textId="77777777" w:rsidR="00E00CE3" w:rsidRPr="00F6169F" w:rsidRDefault="00E00CE3" w:rsidP="00957D09">
      <w:pPr>
        <w:spacing w:line="240" w:lineRule="auto"/>
        <w:rPr>
          <w:rFonts w:asciiTheme="minorHAnsi" w:hAnsiTheme="minorHAnsi"/>
          <w:sz w:val="22"/>
          <w:szCs w:val="22"/>
        </w:rPr>
      </w:pPr>
    </w:p>
    <w:p w14:paraId="2F93EC1E" w14:textId="77777777" w:rsidR="00F6169F" w:rsidRPr="00F6169F" w:rsidRDefault="00F6169F">
      <w:pPr>
        <w:spacing w:line="240" w:lineRule="auto"/>
        <w:rPr>
          <w:rFonts w:asciiTheme="minorHAnsi" w:hAnsiTheme="minorHAnsi"/>
          <w:sz w:val="22"/>
          <w:szCs w:val="22"/>
        </w:rPr>
      </w:pPr>
    </w:p>
    <w:sectPr w:rsidR="00F6169F" w:rsidRPr="00F616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D09"/>
    <w:rsid w:val="002F12AF"/>
    <w:rsid w:val="004A36D7"/>
    <w:rsid w:val="004D0492"/>
    <w:rsid w:val="006963F8"/>
    <w:rsid w:val="00865AC2"/>
    <w:rsid w:val="00953AD9"/>
    <w:rsid w:val="00957D09"/>
    <w:rsid w:val="00AA2969"/>
    <w:rsid w:val="00AD2390"/>
    <w:rsid w:val="00BA2842"/>
    <w:rsid w:val="00D157AE"/>
    <w:rsid w:val="00E00CE3"/>
    <w:rsid w:val="00F6169F"/>
    <w:rsid w:val="00F8324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29ECDC"/>
  <w15:docId w15:val="{E0457F8C-7187-44A1-8C5C-BB6F45768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7D09"/>
    <w:rPr>
      <w:rFonts w:ascii="Times New Roman" w:eastAsiaTheme="minorEastAsia" w:hAnsi="Times New Roman" w:cstheme="majorBidi"/>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7D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2842"/>
    <w:rPr>
      <w:color w:val="0563C1" w:themeColor="hyperlink"/>
      <w:u w:val="single"/>
    </w:rPr>
  </w:style>
  <w:style w:type="paragraph" w:styleId="BalloonText">
    <w:name w:val="Balloon Text"/>
    <w:basedOn w:val="Normal"/>
    <w:link w:val="BalloonTextChar"/>
    <w:uiPriority w:val="99"/>
    <w:semiHidden/>
    <w:unhideWhenUsed/>
    <w:rsid w:val="00F616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169F"/>
    <w:rPr>
      <w:rFonts w:ascii="Segoe UI" w:eastAsiaTheme="minorEastAsi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19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economics.utoronto.ca/index.php/index/research/downloadSeminarPaper/342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3133E-541F-460B-811B-3836AF1C4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Mahava</dc:creator>
  <cp:keywords/>
  <dc:description/>
  <cp:lastModifiedBy>Liam Smith</cp:lastModifiedBy>
  <cp:revision>5</cp:revision>
  <cp:lastPrinted>2015-11-25T01:39:00Z</cp:lastPrinted>
  <dcterms:created xsi:type="dcterms:W3CDTF">2015-11-23T17:27:00Z</dcterms:created>
  <dcterms:modified xsi:type="dcterms:W3CDTF">2017-09-27T03:53:00Z</dcterms:modified>
</cp:coreProperties>
</file>