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21C697" w14:textId="77777777" w:rsidR="00F31961" w:rsidRPr="00430FCB" w:rsidRDefault="00430FCB" w:rsidP="00430FCB">
      <w:pPr>
        <w:jc w:val="center"/>
        <w:rPr>
          <w:b/>
          <w:sz w:val="32"/>
          <w:szCs w:val="32"/>
        </w:rPr>
      </w:pPr>
      <w:r w:rsidRPr="00430FCB">
        <w:rPr>
          <w:b/>
          <w:sz w:val="32"/>
          <w:szCs w:val="32"/>
        </w:rPr>
        <w:t>Guide d’études</w:t>
      </w:r>
    </w:p>
    <w:p w14:paraId="3BCC6F4A" w14:textId="77777777" w:rsidR="00430FCB" w:rsidRPr="00430FCB" w:rsidRDefault="00430FCB" w:rsidP="00430FCB">
      <w:pPr>
        <w:jc w:val="center"/>
        <w:rPr>
          <w:b/>
          <w:sz w:val="40"/>
          <w:szCs w:val="40"/>
        </w:rPr>
      </w:pPr>
      <w:r w:rsidRPr="00430FCB">
        <w:rPr>
          <w:b/>
          <w:sz w:val="40"/>
          <w:szCs w:val="40"/>
        </w:rPr>
        <w:t>ADM2737</w:t>
      </w:r>
    </w:p>
    <w:p w14:paraId="2CD63AF5" w14:textId="77777777" w:rsidR="00430FCB" w:rsidRPr="00430FCB" w:rsidRDefault="00430FCB" w:rsidP="00430FCB">
      <w:pPr>
        <w:jc w:val="center"/>
        <w:rPr>
          <w:b/>
          <w:sz w:val="40"/>
          <w:szCs w:val="40"/>
        </w:rPr>
      </w:pPr>
      <w:r w:rsidRPr="00430FCB">
        <w:rPr>
          <w:b/>
          <w:sz w:val="40"/>
          <w:szCs w:val="40"/>
        </w:rPr>
        <w:t>Gestion des ressources humaines</w:t>
      </w:r>
    </w:p>
    <w:p w14:paraId="3A2AAB2D" w14:textId="3CAB77C8" w:rsidR="004D358D" w:rsidRPr="004D358D" w:rsidRDefault="00430FCB" w:rsidP="004D358D">
      <w:pPr>
        <w:jc w:val="center"/>
        <w:rPr>
          <w:b/>
          <w:sz w:val="32"/>
          <w:szCs w:val="32"/>
        </w:rPr>
      </w:pPr>
      <w:r w:rsidRPr="00430FCB">
        <w:rPr>
          <w:b/>
          <w:sz w:val="32"/>
          <w:szCs w:val="32"/>
        </w:rPr>
        <w:t>Automne 2015</w:t>
      </w:r>
    </w:p>
    <w:p w14:paraId="77E7E8EB" w14:textId="77777777" w:rsidR="00430FCB" w:rsidRDefault="00430FCB" w:rsidP="00430FCB">
      <w:pPr>
        <w:jc w:val="center"/>
        <w:rPr>
          <w:b/>
          <w:sz w:val="32"/>
          <w:szCs w:val="32"/>
        </w:rPr>
      </w:pPr>
    </w:p>
    <w:p w14:paraId="16DF6E7E" w14:textId="3AA15520" w:rsidR="00430FCB" w:rsidRPr="004D358D" w:rsidRDefault="00430FCB" w:rsidP="00430FCB">
      <w:pPr>
        <w:rPr>
          <w:b/>
          <w:color w:val="000000" w:themeColor="text1"/>
          <w:sz w:val="32"/>
          <w:szCs w:val="32"/>
        </w:rPr>
      </w:pPr>
      <w:r w:rsidRPr="004D358D">
        <w:rPr>
          <w:b/>
          <w:color w:val="000000" w:themeColor="text1"/>
          <w:sz w:val="32"/>
          <w:szCs w:val="32"/>
        </w:rPr>
        <w:t xml:space="preserve">Chapitre </w:t>
      </w:r>
      <w:r w:rsidR="00B71CDD" w:rsidRPr="004D358D">
        <w:rPr>
          <w:b/>
          <w:color w:val="000000" w:themeColor="text1"/>
          <w:sz w:val="32"/>
          <w:szCs w:val="32"/>
        </w:rPr>
        <w:t>1 : Miser sur la gestion des ressources humaines</w:t>
      </w:r>
      <w:r w:rsidR="004D358D">
        <w:rPr>
          <w:b/>
          <w:color w:val="000000" w:themeColor="text1"/>
          <w:sz w:val="32"/>
          <w:szCs w:val="32"/>
        </w:rPr>
        <w:t xml:space="preserve"> </w:t>
      </w:r>
      <w:r w:rsidR="004D358D">
        <w:rPr>
          <w:rFonts w:ascii="Zapf Dingbats" w:hAnsi="Zapf Dingbats"/>
          <w:b/>
          <w:color w:val="000000" w:themeColor="text1"/>
          <w:sz w:val="32"/>
          <w:szCs w:val="32"/>
        </w:rPr>
        <w:t>✓</w:t>
      </w:r>
    </w:p>
    <w:p w14:paraId="149E99A3" w14:textId="5AE35E05" w:rsidR="00B71CDD" w:rsidRDefault="00B71CDD" w:rsidP="00E235E6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E235E6">
        <w:rPr>
          <w:b/>
          <w:sz w:val="32"/>
          <w:szCs w:val="32"/>
        </w:rPr>
        <w:t>1.5 : Le manuel de l’employé et les politiques de gestion des ressources humaines p. 24-28</w:t>
      </w:r>
      <w:r w:rsidR="004D358D" w:rsidRPr="004D358D">
        <w:rPr>
          <w:rFonts w:ascii="Lucida Grande" w:hAnsi="Lucida Grande" w:cs="Lucida Grande"/>
          <w:b/>
          <w:sz w:val="32"/>
          <w:szCs w:val="32"/>
        </w:rPr>
        <w:t>✓</w:t>
      </w:r>
    </w:p>
    <w:p w14:paraId="2378CF18" w14:textId="6A736870" w:rsidR="00D86024" w:rsidRPr="00E235E6" w:rsidRDefault="00D86024" w:rsidP="00E235E6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1.3.3 : Les compétences des professionnels des ressources humaines p. 18-20</w:t>
      </w:r>
      <w:r w:rsidR="004D358D" w:rsidRPr="004D358D">
        <w:rPr>
          <w:rFonts w:ascii="Lucida Grande" w:hAnsi="Lucida Grande" w:cs="Lucida Grande"/>
          <w:b/>
          <w:sz w:val="32"/>
          <w:szCs w:val="32"/>
        </w:rPr>
        <w:t>✓</w:t>
      </w:r>
    </w:p>
    <w:p w14:paraId="6CAD8D21" w14:textId="687A7012" w:rsidR="00430FCB" w:rsidRDefault="00430FCB" w:rsidP="00430FCB">
      <w:pPr>
        <w:rPr>
          <w:b/>
          <w:sz w:val="32"/>
          <w:szCs w:val="32"/>
        </w:rPr>
      </w:pPr>
      <w:r>
        <w:rPr>
          <w:b/>
          <w:sz w:val="32"/>
          <w:szCs w:val="32"/>
        </w:rPr>
        <w:t>Chapitre</w:t>
      </w:r>
      <w:r w:rsidR="00B71CDD">
        <w:rPr>
          <w:b/>
          <w:sz w:val="32"/>
          <w:szCs w:val="32"/>
        </w:rPr>
        <w:t xml:space="preserve"> 2 : La planification des ressources humaines</w:t>
      </w:r>
      <w:r w:rsidR="004D358D" w:rsidRPr="004D358D">
        <w:rPr>
          <w:rFonts w:ascii="Lucida Grande" w:hAnsi="Lucida Grande" w:cs="Lucida Grande"/>
          <w:b/>
          <w:sz w:val="32"/>
          <w:szCs w:val="32"/>
        </w:rPr>
        <w:t>✓</w:t>
      </w:r>
    </w:p>
    <w:p w14:paraId="590C1AC8" w14:textId="4F2B02CB" w:rsidR="00F257B3" w:rsidRDefault="00F257B3" w:rsidP="00773119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2.1 : La planification des ressources humaines comme vecteur d’adaptation </w:t>
      </w:r>
      <w:r w:rsidR="00215427">
        <w:rPr>
          <w:b/>
          <w:sz w:val="32"/>
          <w:szCs w:val="32"/>
        </w:rPr>
        <w:t xml:space="preserve">et la loi sue l’égalité en emploi </w:t>
      </w:r>
      <w:r>
        <w:rPr>
          <w:b/>
          <w:sz w:val="32"/>
          <w:szCs w:val="32"/>
        </w:rPr>
        <w:t xml:space="preserve">: p. </w:t>
      </w:r>
      <w:r w:rsidR="000F50B1">
        <w:rPr>
          <w:b/>
          <w:sz w:val="32"/>
          <w:szCs w:val="32"/>
        </w:rPr>
        <w:t xml:space="preserve">51 </w:t>
      </w:r>
      <w:r w:rsidR="0028156E">
        <w:rPr>
          <w:b/>
          <w:sz w:val="32"/>
          <w:szCs w:val="32"/>
        </w:rPr>
        <w:t>–</w:t>
      </w:r>
      <w:r w:rsidR="000F50B1">
        <w:rPr>
          <w:b/>
          <w:sz w:val="32"/>
          <w:szCs w:val="32"/>
        </w:rPr>
        <w:t xml:space="preserve"> 57</w:t>
      </w:r>
      <w:r w:rsidR="00BA6633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406C44CC" w14:textId="28AA364D" w:rsidR="0028156E" w:rsidRDefault="0028156E" w:rsidP="00773119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Les méthodes de prévision de la disponibilité des ressources humaines ; P. 63 - 66</w:t>
      </w:r>
      <w:r w:rsidR="00027384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14980D4B" w14:textId="77777777" w:rsidR="00662AAB" w:rsidRPr="00027384" w:rsidRDefault="00662AAB" w:rsidP="00773119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2.3.1 : </w:t>
      </w:r>
      <w:r w:rsidRPr="00027384">
        <w:rPr>
          <w:b/>
          <w:sz w:val="32"/>
          <w:szCs w:val="32"/>
          <w:highlight w:val="yellow"/>
        </w:rPr>
        <w:t xml:space="preserve">Les solutions à mettre en place pour éviter les écueils p. 67 </w:t>
      </w:r>
      <w:r w:rsidR="00C75E53" w:rsidRPr="00027384">
        <w:rPr>
          <w:b/>
          <w:sz w:val="32"/>
          <w:szCs w:val="32"/>
          <w:highlight w:val="yellow"/>
        </w:rPr>
        <w:t>–</w:t>
      </w:r>
      <w:r w:rsidRPr="00027384">
        <w:rPr>
          <w:b/>
          <w:sz w:val="32"/>
          <w:szCs w:val="32"/>
          <w:highlight w:val="yellow"/>
        </w:rPr>
        <w:t xml:space="preserve"> 71</w:t>
      </w:r>
    </w:p>
    <w:p w14:paraId="2842BF27" w14:textId="0E5994EB" w:rsidR="00C83059" w:rsidRPr="00027384" w:rsidRDefault="00C83059" w:rsidP="00773119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 w:rsidRPr="00027384">
        <w:rPr>
          <w:b/>
          <w:sz w:val="32"/>
          <w:szCs w:val="32"/>
        </w:rPr>
        <w:t>Les solutions de pénurie qualitative des ressources humaines</w:t>
      </w:r>
      <w:r w:rsidR="00735E7E" w:rsidRPr="00027384">
        <w:rPr>
          <w:b/>
          <w:sz w:val="32"/>
          <w:szCs w:val="32"/>
        </w:rPr>
        <w:t> : p. 71- 72</w:t>
      </w:r>
      <w:r w:rsidR="00027384">
        <w:rPr>
          <w:b/>
          <w:sz w:val="32"/>
          <w:szCs w:val="32"/>
        </w:rPr>
        <w:t xml:space="preserve"> </w:t>
      </w:r>
      <w:r w:rsidR="00027384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23AC0AE5" w14:textId="2FECD3BB" w:rsidR="00C32D14" w:rsidRPr="00027384" w:rsidRDefault="00C32D14" w:rsidP="00773119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 w:rsidRPr="00027384">
        <w:rPr>
          <w:b/>
          <w:sz w:val="32"/>
          <w:szCs w:val="32"/>
        </w:rPr>
        <w:t xml:space="preserve">2.3.3 : Les solutions à un surplus quantitatif de ressources humaines p. 72 </w:t>
      </w:r>
      <w:r w:rsidR="00027384">
        <w:rPr>
          <w:b/>
          <w:sz w:val="32"/>
          <w:szCs w:val="32"/>
        </w:rPr>
        <w:t>–</w:t>
      </w:r>
      <w:r w:rsidRPr="00027384">
        <w:rPr>
          <w:b/>
          <w:sz w:val="32"/>
          <w:szCs w:val="32"/>
        </w:rPr>
        <w:t xml:space="preserve"> 75</w:t>
      </w:r>
      <w:r w:rsidR="00027384">
        <w:rPr>
          <w:b/>
          <w:sz w:val="32"/>
          <w:szCs w:val="32"/>
        </w:rPr>
        <w:t xml:space="preserve"> </w:t>
      </w:r>
      <w:r w:rsidR="00027384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1A2AB0DC" w14:textId="001EE536" w:rsidR="00C75E53" w:rsidRPr="00773119" w:rsidRDefault="00C75E53" w:rsidP="00773119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Les conditions de succès de la planification des ressources humaines p. 78</w:t>
      </w:r>
      <w:r w:rsidR="004713B8">
        <w:rPr>
          <w:b/>
          <w:sz w:val="32"/>
          <w:szCs w:val="32"/>
        </w:rPr>
        <w:t xml:space="preserve"> </w:t>
      </w:r>
      <w:r w:rsidR="004713B8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72CFAE34" w14:textId="77777777" w:rsidR="00430FCB" w:rsidRDefault="00430FCB" w:rsidP="00430FC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Chapitre</w:t>
      </w:r>
      <w:r w:rsidR="00B71CDD">
        <w:rPr>
          <w:b/>
          <w:sz w:val="32"/>
          <w:szCs w:val="32"/>
        </w:rPr>
        <w:t xml:space="preserve"> 3 : Organiser le travail et gérer le changement</w:t>
      </w:r>
    </w:p>
    <w:p w14:paraId="245AE945" w14:textId="1D05A540" w:rsidR="00CA6725" w:rsidRDefault="00CA6725" w:rsidP="00CA6725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3.1</w:t>
      </w:r>
      <w:r w:rsidR="009D16CC">
        <w:rPr>
          <w:b/>
          <w:sz w:val="32"/>
          <w:szCs w:val="32"/>
        </w:rPr>
        <w:t xml:space="preserve"> : </w:t>
      </w:r>
      <w:r>
        <w:rPr>
          <w:b/>
          <w:sz w:val="32"/>
          <w:szCs w:val="32"/>
        </w:rPr>
        <w:t xml:space="preserve">Les modes d’organisation du travail p. 89 </w:t>
      </w:r>
      <w:r w:rsidR="009C6694">
        <w:rPr>
          <w:b/>
          <w:sz w:val="32"/>
          <w:szCs w:val="32"/>
        </w:rPr>
        <w:t>–</w:t>
      </w:r>
      <w:r>
        <w:rPr>
          <w:b/>
          <w:sz w:val="32"/>
          <w:szCs w:val="32"/>
        </w:rPr>
        <w:t xml:space="preserve"> 94</w:t>
      </w:r>
      <w:r w:rsidR="00F441B4">
        <w:rPr>
          <w:b/>
          <w:sz w:val="32"/>
          <w:szCs w:val="32"/>
        </w:rPr>
        <w:t xml:space="preserve"> </w:t>
      </w:r>
      <w:r w:rsidR="00F441B4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4EB3B097" w14:textId="0E6E8F9F" w:rsidR="00C95F5F" w:rsidRDefault="00C95F5F" w:rsidP="00CA6725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3.2.1 : Élargir sa vision de l’harmonisation travail-vie personnelle p. 100 - 103</w:t>
      </w:r>
      <w:r w:rsidR="0087016F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5E8A775B" w14:textId="298B0554" w:rsidR="009C6694" w:rsidRDefault="009D16CC" w:rsidP="00CA6725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3.2.2 : Le temps de travail p. 101 </w:t>
      </w:r>
      <w:r w:rsidR="00AE70F1">
        <w:rPr>
          <w:b/>
          <w:sz w:val="32"/>
          <w:szCs w:val="32"/>
        </w:rPr>
        <w:t>–</w:t>
      </w:r>
      <w:r>
        <w:rPr>
          <w:b/>
          <w:sz w:val="32"/>
          <w:szCs w:val="32"/>
        </w:rPr>
        <w:t xml:space="preserve"> 103</w:t>
      </w:r>
      <w:r w:rsidR="00F441B4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0111CA7C" w14:textId="623B0CFF" w:rsidR="00AE70F1" w:rsidRDefault="00AE70F1" w:rsidP="00CA6725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3.4 : Gérer le changement p. 106 - 111 </w:t>
      </w:r>
      <w:r w:rsidR="0087016F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2291A428" w14:textId="0992AA19" w:rsidR="00384A43" w:rsidRPr="00CA6725" w:rsidRDefault="00384A43" w:rsidP="00CA6725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Tableau 3.6 Les phases de préoccupation d’un employé face au changement p. 110</w:t>
      </w:r>
      <w:r w:rsidR="005C4C0D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48535358" w14:textId="77777777" w:rsidR="00430FCB" w:rsidRDefault="00430FCB" w:rsidP="00430FCB">
      <w:pPr>
        <w:rPr>
          <w:b/>
          <w:sz w:val="32"/>
          <w:szCs w:val="32"/>
        </w:rPr>
      </w:pPr>
      <w:r>
        <w:rPr>
          <w:b/>
          <w:sz w:val="32"/>
          <w:szCs w:val="32"/>
        </w:rPr>
        <w:t>Chapitre</w:t>
      </w:r>
      <w:r w:rsidR="00F57FDA">
        <w:rPr>
          <w:b/>
          <w:sz w:val="32"/>
          <w:szCs w:val="32"/>
        </w:rPr>
        <w:t xml:space="preserve"> 4 : Le recrutement, la sélection et l’accueil</w:t>
      </w:r>
    </w:p>
    <w:p w14:paraId="3FB140E1" w14:textId="62401BA9" w:rsidR="00E6060D" w:rsidRDefault="00E6060D" w:rsidP="00E6060D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Le recrutement, définitions et l’importance de gérer le recrutement, la sélection et l’accueil et </w:t>
      </w:r>
      <w:r w:rsidRPr="001807B7">
        <w:rPr>
          <w:b/>
          <w:sz w:val="32"/>
          <w:szCs w:val="32"/>
        </w:rPr>
        <w:t>le partage des responsabilités</w:t>
      </w:r>
      <w:r>
        <w:rPr>
          <w:b/>
          <w:sz w:val="32"/>
          <w:szCs w:val="32"/>
        </w:rPr>
        <w:t xml:space="preserve"> : p. 121 </w:t>
      </w:r>
      <w:r w:rsidR="007B14DF">
        <w:rPr>
          <w:b/>
          <w:sz w:val="32"/>
          <w:szCs w:val="32"/>
        </w:rPr>
        <w:t>–</w:t>
      </w:r>
      <w:r>
        <w:rPr>
          <w:b/>
          <w:sz w:val="32"/>
          <w:szCs w:val="32"/>
        </w:rPr>
        <w:t xml:space="preserve"> 123</w:t>
      </w:r>
      <w:r w:rsidR="009E2ADD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0E12DB19" w14:textId="4B1CF753" w:rsidR="00926779" w:rsidRDefault="00926779" w:rsidP="00E6060D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4.1.1 La marque de l’employeur</w:t>
      </w:r>
      <w:r w:rsidR="00850EF9">
        <w:rPr>
          <w:b/>
          <w:sz w:val="32"/>
          <w:szCs w:val="32"/>
        </w:rPr>
        <w:t xml:space="preserve"> (L’image que les clients on de eux)</w:t>
      </w:r>
      <w:r>
        <w:rPr>
          <w:b/>
          <w:sz w:val="32"/>
          <w:szCs w:val="32"/>
        </w:rPr>
        <w:t xml:space="preserve"> p. 125-126</w:t>
      </w:r>
      <w:r w:rsidR="001807B7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046BFC04" w14:textId="0F069FBA" w:rsidR="007B14DF" w:rsidRDefault="007B14DF" w:rsidP="00E6060D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4.2 : La détermination des critères de sélection : p. 128 </w:t>
      </w:r>
      <w:r w:rsidR="002A36F4">
        <w:rPr>
          <w:b/>
          <w:sz w:val="32"/>
          <w:szCs w:val="32"/>
        </w:rPr>
        <w:t>–</w:t>
      </w:r>
      <w:r>
        <w:rPr>
          <w:b/>
          <w:sz w:val="32"/>
          <w:szCs w:val="32"/>
        </w:rPr>
        <w:t xml:space="preserve"> </w:t>
      </w:r>
      <w:r w:rsidR="00CC6D4F">
        <w:rPr>
          <w:b/>
          <w:sz w:val="32"/>
          <w:szCs w:val="32"/>
        </w:rPr>
        <w:t>133</w:t>
      </w:r>
      <w:r w:rsidR="001B1873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3DAFE631" w14:textId="60320783" w:rsidR="00400A6C" w:rsidRDefault="00400A6C" w:rsidP="00E6060D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4.2.1 : L’analyse de l’emploi p. 128-130</w:t>
      </w:r>
      <w:r w:rsidR="002A4FBD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201EBD3F" w14:textId="0A641F0B" w:rsidR="0002733F" w:rsidRDefault="009E0252" w:rsidP="00E6060D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 w:rsidRPr="0002733F">
        <w:rPr>
          <w:b/>
          <w:sz w:val="32"/>
          <w:szCs w:val="32"/>
        </w:rPr>
        <w:t xml:space="preserve">4.3 : Le recrutement </w:t>
      </w:r>
      <w:r w:rsidR="00400A6C" w:rsidRPr="0002733F">
        <w:rPr>
          <w:b/>
          <w:sz w:val="32"/>
          <w:szCs w:val="32"/>
        </w:rPr>
        <w:t>et les critères de sélection</w:t>
      </w:r>
      <w:r w:rsidR="0002733F" w:rsidRPr="0002733F">
        <w:rPr>
          <w:b/>
          <w:sz w:val="32"/>
          <w:szCs w:val="32"/>
        </w:rPr>
        <w:t xml:space="preserve">, la sélection </w:t>
      </w:r>
      <w:r w:rsidR="00400A6C" w:rsidRPr="0002733F">
        <w:rPr>
          <w:b/>
          <w:sz w:val="32"/>
          <w:szCs w:val="32"/>
        </w:rPr>
        <w:t xml:space="preserve"> </w:t>
      </w:r>
      <w:r w:rsidRPr="0002733F">
        <w:rPr>
          <w:b/>
          <w:sz w:val="32"/>
          <w:szCs w:val="32"/>
        </w:rPr>
        <w:t xml:space="preserve"> p. 134 </w:t>
      </w:r>
      <w:r w:rsidR="00860216" w:rsidRPr="0002733F">
        <w:rPr>
          <w:b/>
          <w:sz w:val="32"/>
          <w:szCs w:val="32"/>
        </w:rPr>
        <w:t>–</w:t>
      </w:r>
      <w:r w:rsidR="0002733F">
        <w:rPr>
          <w:b/>
          <w:sz w:val="32"/>
          <w:szCs w:val="32"/>
        </w:rPr>
        <w:t xml:space="preserve"> 143</w:t>
      </w:r>
      <w:r w:rsidR="007D64EF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564ECC63" w14:textId="4F3B5462" w:rsidR="00860216" w:rsidRPr="0002733F" w:rsidRDefault="00860216" w:rsidP="00E6060D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 w:rsidRPr="0002733F">
        <w:rPr>
          <w:b/>
          <w:sz w:val="32"/>
          <w:szCs w:val="32"/>
        </w:rPr>
        <w:t>4.4.2 : L’entrevue de sélection p. 144 - 146</w:t>
      </w:r>
      <w:r w:rsidR="007D64EF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2803DC24" w14:textId="1230D335" w:rsidR="002A36F4" w:rsidRDefault="002A36F4" w:rsidP="00E6060D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4.5 : L’</w:t>
      </w:r>
      <w:r w:rsidR="00CF3F72">
        <w:rPr>
          <w:b/>
          <w:sz w:val="32"/>
          <w:szCs w:val="32"/>
        </w:rPr>
        <w:t xml:space="preserve">accueil p. 151 </w:t>
      </w:r>
      <w:r w:rsidR="0016406B">
        <w:rPr>
          <w:b/>
          <w:sz w:val="32"/>
          <w:szCs w:val="32"/>
        </w:rPr>
        <w:t>–</w:t>
      </w:r>
      <w:r w:rsidR="00CF3F72">
        <w:rPr>
          <w:b/>
          <w:sz w:val="32"/>
          <w:szCs w:val="32"/>
        </w:rPr>
        <w:t xml:space="preserve"> 156</w:t>
      </w:r>
      <w:r w:rsidR="007D64EF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7CFDD108" w14:textId="77777777" w:rsidR="0016406B" w:rsidRDefault="0016406B" w:rsidP="0016406B">
      <w:pPr>
        <w:rPr>
          <w:b/>
          <w:sz w:val="32"/>
          <w:szCs w:val="32"/>
        </w:rPr>
      </w:pPr>
    </w:p>
    <w:p w14:paraId="3838FE21" w14:textId="77777777" w:rsidR="0016406B" w:rsidRDefault="0016406B" w:rsidP="0016406B">
      <w:pPr>
        <w:rPr>
          <w:b/>
          <w:sz w:val="32"/>
          <w:szCs w:val="32"/>
        </w:rPr>
      </w:pPr>
    </w:p>
    <w:p w14:paraId="7D79FB0C" w14:textId="77777777" w:rsidR="0016406B" w:rsidRDefault="0016406B" w:rsidP="0016406B">
      <w:pPr>
        <w:rPr>
          <w:b/>
          <w:sz w:val="32"/>
          <w:szCs w:val="32"/>
        </w:rPr>
      </w:pPr>
    </w:p>
    <w:p w14:paraId="4BA0EB01" w14:textId="77777777" w:rsidR="0016406B" w:rsidRPr="0016406B" w:rsidRDefault="0016406B" w:rsidP="0016406B">
      <w:pPr>
        <w:rPr>
          <w:b/>
          <w:sz w:val="32"/>
          <w:szCs w:val="32"/>
        </w:rPr>
      </w:pPr>
    </w:p>
    <w:p w14:paraId="37211351" w14:textId="77777777" w:rsidR="00400A6C" w:rsidRDefault="00430FCB" w:rsidP="00430FC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Chapitre</w:t>
      </w:r>
      <w:r w:rsidR="00F57FDA">
        <w:rPr>
          <w:b/>
          <w:sz w:val="32"/>
          <w:szCs w:val="32"/>
        </w:rPr>
        <w:t xml:space="preserve"> 5 : La formation et le développement des compétences</w:t>
      </w:r>
    </w:p>
    <w:p w14:paraId="0AEED3C9" w14:textId="58357B5E" w:rsidR="00A40ED4" w:rsidRPr="00A40ED4" w:rsidRDefault="00A40ED4" w:rsidP="00A40ED4">
      <w:pPr>
        <w:pStyle w:val="ListParagraph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5.2 : Le choix de méthodes de formation et de développement p. 173 -174</w:t>
      </w:r>
      <w:r w:rsidR="00AD3D96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073F72D5" w14:textId="16CAA895" w:rsidR="00400A6C" w:rsidRPr="00400A6C" w:rsidRDefault="00400A6C" w:rsidP="00400A6C">
      <w:pPr>
        <w:pStyle w:val="ListParagraph"/>
        <w:numPr>
          <w:ilvl w:val="0"/>
          <w:numId w:val="1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5.2.4 : Les méthodes de formation et de développement en vogue 177-179</w:t>
      </w:r>
      <w:r w:rsidR="00AD3D96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2824FA52" w14:textId="77777777" w:rsidR="00400A6C" w:rsidRDefault="00400A6C" w:rsidP="00430FCB">
      <w:pPr>
        <w:rPr>
          <w:b/>
          <w:sz w:val="32"/>
          <w:szCs w:val="32"/>
        </w:rPr>
      </w:pPr>
    </w:p>
    <w:p w14:paraId="2DA3E452" w14:textId="77777777" w:rsidR="00430FCB" w:rsidRDefault="00430FCB" w:rsidP="00430FCB">
      <w:pPr>
        <w:rPr>
          <w:b/>
          <w:sz w:val="32"/>
          <w:szCs w:val="32"/>
        </w:rPr>
      </w:pPr>
      <w:r>
        <w:rPr>
          <w:b/>
          <w:sz w:val="32"/>
          <w:szCs w:val="32"/>
        </w:rPr>
        <w:t>Chapitre</w:t>
      </w:r>
      <w:r w:rsidR="00F57FDA">
        <w:rPr>
          <w:b/>
          <w:sz w:val="32"/>
          <w:szCs w:val="32"/>
        </w:rPr>
        <w:t xml:space="preserve"> 6 : Gérer la performance</w:t>
      </w:r>
    </w:p>
    <w:p w14:paraId="037AF10A" w14:textId="77B21106" w:rsidR="00400A6C" w:rsidRDefault="00400A6C" w:rsidP="007E6AEA">
      <w:pPr>
        <w:pStyle w:val="ListParagraph"/>
        <w:numPr>
          <w:ilvl w:val="0"/>
          <w:numId w:val="8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Le partage des responsabilités en matière de gestion de la performance p. 195-196</w:t>
      </w:r>
      <w:r w:rsidR="00AD3D96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1E7DB88B" w14:textId="3C835D38" w:rsidR="000143CD" w:rsidRDefault="000143CD" w:rsidP="007E6AEA">
      <w:pPr>
        <w:pStyle w:val="ListParagraph"/>
        <w:numPr>
          <w:ilvl w:val="0"/>
          <w:numId w:val="8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6.3.1 : </w:t>
      </w:r>
      <w:r w:rsidRPr="00DB2B55">
        <w:rPr>
          <w:b/>
          <w:sz w:val="32"/>
          <w:szCs w:val="32"/>
        </w:rPr>
        <w:t>Les formulaires d’évaluation de la performance individuelle</w:t>
      </w:r>
      <w:r w:rsidR="00D06131" w:rsidRPr="00DB2B55">
        <w:rPr>
          <w:b/>
          <w:sz w:val="32"/>
          <w:szCs w:val="32"/>
        </w:rPr>
        <w:t xml:space="preserve"> et Une théorie d’intérêt </w:t>
      </w:r>
      <w:r w:rsidRPr="00DB2B55">
        <w:rPr>
          <w:b/>
          <w:sz w:val="32"/>
          <w:szCs w:val="32"/>
        </w:rPr>
        <w:t xml:space="preserve"> p. 202 - 204</w:t>
      </w:r>
      <w:r w:rsidR="00DB2B55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581D70E8" w14:textId="4AC0978C" w:rsidR="00C026FF" w:rsidRDefault="00C026FF" w:rsidP="007E6AEA">
      <w:pPr>
        <w:pStyle w:val="ListParagraph"/>
        <w:numPr>
          <w:ilvl w:val="0"/>
          <w:numId w:val="8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6.3.2 : Les critères d’évaluation de la performance individuelle p. 204 </w:t>
      </w:r>
      <w:r w:rsidR="00586D76">
        <w:rPr>
          <w:b/>
          <w:sz w:val="32"/>
          <w:szCs w:val="32"/>
        </w:rPr>
        <w:t>–</w:t>
      </w:r>
      <w:r>
        <w:rPr>
          <w:b/>
          <w:sz w:val="32"/>
          <w:szCs w:val="32"/>
        </w:rPr>
        <w:t xml:space="preserve"> 206</w:t>
      </w:r>
      <w:r w:rsidR="00D36049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7C8147E6" w14:textId="1E29FB32" w:rsidR="00586D76" w:rsidRPr="00463210" w:rsidRDefault="00586D76" w:rsidP="007E6AEA">
      <w:pPr>
        <w:pStyle w:val="ListParagraph"/>
        <w:numPr>
          <w:ilvl w:val="0"/>
          <w:numId w:val="8"/>
        </w:numPr>
        <w:rPr>
          <w:b/>
          <w:sz w:val="32"/>
          <w:szCs w:val="32"/>
        </w:rPr>
      </w:pPr>
      <w:r w:rsidRPr="00463210">
        <w:rPr>
          <w:b/>
          <w:sz w:val="32"/>
          <w:szCs w:val="32"/>
        </w:rPr>
        <w:t>Encadré 6.8 p. 216</w:t>
      </w:r>
      <w:r w:rsidR="00BB5BB4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06B037AC" w14:textId="09EDF0CA" w:rsidR="007E6AEA" w:rsidRDefault="007E6AEA" w:rsidP="007E6AEA">
      <w:pPr>
        <w:pStyle w:val="ListParagraph"/>
        <w:numPr>
          <w:ilvl w:val="0"/>
          <w:numId w:val="8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L’approche administrative dans les cas de sous-performance : p. 226 </w:t>
      </w:r>
      <w:r w:rsidR="004C4FEA">
        <w:rPr>
          <w:b/>
          <w:sz w:val="32"/>
          <w:szCs w:val="32"/>
        </w:rPr>
        <w:t>–</w:t>
      </w:r>
      <w:r>
        <w:rPr>
          <w:b/>
          <w:sz w:val="32"/>
          <w:szCs w:val="32"/>
        </w:rPr>
        <w:t xml:space="preserve"> 229</w:t>
      </w:r>
      <w:r w:rsidR="007D1046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3154715D" w14:textId="0F5D2BA3" w:rsidR="004C4FEA" w:rsidRDefault="004C4FEA" w:rsidP="007E6AEA">
      <w:pPr>
        <w:pStyle w:val="ListParagraph"/>
        <w:numPr>
          <w:ilvl w:val="0"/>
          <w:numId w:val="8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6.5 : L’intervention dans le cas de la sous-performance p. 220</w:t>
      </w:r>
      <w:r w:rsidR="00716DC2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0F8DD940" w14:textId="4EE3FC33" w:rsidR="000A36A5" w:rsidRPr="00E65195" w:rsidRDefault="000A36A5" w:rsidP="007E6AEA">
      <w:pPr>
        <w:pStyle w:val="ListParagraph"/>
        <w:numPr>
          <w:ilvl w:val="0"/>
          <w:numId w:val="8"/>
        </w:numPr>
        <w:rPr>
          <w:b/>
          <w:sz w:val="32"/>
          <w:szCs w:val="32"/>
        </w:rPr>
      </w:pPr>
      <w:r w:rsidRPr="00E65195">
        <w:rPr>
          <w:b/>
          <w:sz w:val="32"/>
          <w:szCs w:val="32"/>
        </w:rPr>
        <w:t>Tableau 6.11 : p. 225</w:t>
      </w:r>
      <w:r w:rsidR="003D6FD8" w:rsidRPr="00BA6633">
        <w:rPr>
          <w:rFonts w:ascii="Lucida Grande" w:hAnsi="Lucida Grande" w:cs="Lucida Grande"/>
          <w:b/>
          <w:sz w:val="32"/>
          <w:szCs w:val="32"/>
        </w:rPr>
        <w:t>✓</w:t>
      </w:r>
    </w:p>
    <w:p w14:paraId="776451B6" w14:textId="77777777" w:rsidR="0016406B" w:rsidRDefault="0016406B" w:rsidP="0016406B">
      <w:pPr>
        <w:rPr>
          <w:b/>
          <w:sz w:val="32"/>
          <w:szCs w:val="32"/>
          <w:highlight w:val="yellow"/>
        </w:rPr>
      </w:pPr>
    </w:p>
    <w:p w14:paraId="4AA92742" w14:textId="77777777" w:rsidR="0016406B" w:rsidRDefault="0016406B" w:rsidP="0016406B">
      <w:pPr>
        <w:rPr>
          <w:b/>
          <w:sz w:val="32"/>
          <w:szCs w:val="32"/>
          <w:highlight w:val="yellow"/>
        </w:rPr>
      </w:pPr>
    </w:p>
    <w:p w14:paraId="5653F853" w14:textId="77777777" w:rsidR="0016406B" w:rsidRDefault="0016406B" w:rsidP="0016406B">
      <w:pPr>
        <w:rPr>
          <w:b/>
          <w:sz w:val="32"/>
          <w:szCs w:val="32"/>
          <w:highlight w:val="yellow"/>
        </w:rPr>
      </w:pPr>
    </w:p>
    <w:p w14:paraId="6E6A70D3" w14:textId="77777777" w:rsidR="0016406B" w:rsidRDefault="0016406B" w:rsidP="0016406B">
      <w:pPr>
        <w:rPr>
          <w:b/>
          <w:sz w:val="32"/>
          <w:szCs w:val="32"/>
          <w:highlight w:val="yellow"/>
        </w:rPr>
      </w:pPr>
    </w:p>
    <w:p w14:paraId="04774558" w14:textId="77777777" w:rsidR="0016406B" w:rsidRPr="0016406B" w:rsidRDefault="0016406B" w:rsidP="0016406B">
      <w:pPr>
        <w:rPr>
          <w:b/>
          <w:sz w:val="32"/>
          <w:szCs w:val="32"/>
          <w:highlight w:val="yellow"/>
        </w:rPr>
      </w:pPr>
    </w:p>
    <w:p w14:paraId="4FD42545" w14:textId="77777777" w:rsidR="00F57FDA" w:rsidRDefault="00F57FDA" w:rsidP="00430FC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Chapitre  7 : La gestion des carrières</w:t>
      </w:r>
    </w:p>
    <w:p w14:paraId="18A6AAAD" w14:textId="5600C2FF" w:rsidR="00C83059" w:rsidRPr="003652AF" w:rsidRDefault="00384A43" w:rsidP="00430FCB">
      <w:pPr>
        <w:pStyle w:val="ListParagraph"/>
        <w:numPr>
          <w:ilvl w:val="0"/>
          <w:numId w:val="9"/>
        </w:numPr>
        <w:rPr>
          <w:b/>
          <w:sz w:val="32"/>
          <w:szCs w:val="32"/>
        </w:rPr>
      </w:pPr>
      <w:r w:rsidRPr="00C83059">
        <w:rPr>
          <w:b/>
          <w:sz w:val="32"/>
          <w:szCs w:val="32"/>
        </w:rPr>
        <w:t>La loi et le règlement sur l’équité en matière d’emploi</w:t>
      </w:r>
      <w:r w:rsidR="00400A6C" w:rsidRPr="00C83059">
        <w:rPr>
          <w:b/>
          <w:sz w:val="32"/>
          <w:szCs w:val="32"/>
        </w:rPr>
        <w:t xml:space="preserve"> p. </w:t>
      </w:r>
      <w:r w:rsidR="00400A6C" w:rsidRPr="003652AF">
        <w:rPr>
          <w:b/>
          <w:sz w:val="32"/>
          <w:szCs w:val="32"/>
        </w:rPr>
        <w:t>249</w:t>
      </w:r>
      <w:r w:rsidR="008C7A1A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4CEE63D2" w14:textId="0CD4B3B2" w:rsidR="00C83059" w:rsidRPr="003652AF" w:rsidRDefault="00C83059" w:rsidP="00430FCB">
      <w:pPr>
        <w:pStyle w:val="ListParagraph"/>
        <w:numPr>
          <w:ilvl w:val="0"/>
          <w:numId w:val="9"/>
        </w:numPr>
        <w:rPr>
          <w:b/>
          <w:sz w:val="32"/>
          <w:szCs w:val="32"/>
        </w:rPr>
      </w:pPr>
      <w:r w:rsidRPr="003652AF">
        <w:rPr>
          <w:b/>
          <w:sz w:val="32"/>
          <w:szCs w:val="32"/>
        </w:rPr>
        <w:t>Définitions p. 236-237</w:t>
      </w:r>
      <w:r w:rsidR="003652AF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7078593C" w14:textId="77777777" w:rsidR="00F57FDA" w:rsidRPr="00B572B3" w:rsidRDefault="00F57FDA" w:rsidP="00C83059">
      <w:pPr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  <w:t>Chapitre 8 : Gérer la rémunération</w:t>
      </w:r>
    </w:p>
    <w:p w14:paraId="54044CDB" w14:textId="7827AACE" w:rsidR="00F97FEC" w:rsidRPr="00B572B3" w:rsidRDefault="00F97FEC" w:rsidP="00F97FEC">
      <w:pPr>
        <w:pStyle w:val="ListParagraph"/>
        <w:numPr>
          <w:ilvl w:val="0"/>
          <w:numId w:val="7"/>
        </w:numPr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  <w:t xml:space="preserve">8.3 : Les principes d’équité inhérents à la gestion d’une structure salariale p. 266 </w:t>
      </w:r>
      <w:r w:rsidR="00AD727D" w:rsidRPr="00B572B3"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  <w:t>–</w:t>
      </w:r>
      <w:r w:rsidRPr="00B572B3"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  <w:t xml:space="preserve"> 272</w:t>
      </w:r>
      <w:r w:rsidR="00A27AA3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4405435A" w14:textId="0CB245EB" w:rsidR="00AD727D" w:rsidRPr="00B572B3" w:rsidRDefault="009304F3" w:rsidP="00F97FEC">
      <w:pPr>
        <w:pStyle w:val="ListParagraph"/>
        <w:numPr>
          <w:ilvl w:val="0"/>
          <w:numId w:val="7"/>
        </w:numPr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  <w:t>8.3 :</w:t>
      </w:r>
      <w:r w:rsidR="00AD727D" w:rsidRPr="00B572B3"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  <w:t xml:space="preserve"> Les principes d’équité inhérents à la gestion d’une structure salariale encadré 8.2 p. 266 </w:t>
      </w:r>
      <w:r w:rsidR="007C1189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29FCCD6A" w14:textId="507F6AEF" w:rsidR="0016406B" w:rsidRDefault="00586D76" w:rsidP="0016406B">
      <w:pPr>
        <w:pStyle w:val="ListParagraph"/>
        <w:numPr>
          <w:ilvl w:val="0"/>
          <w:numId w:val="7"/>
        </w:numPr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  <w:t xml:space="preserve">8.3.2 : Le respect de l’équité interne par des évaluations d’emplois conformes à la loi sur l’équité salariale p. 268 </w:t>
      </w:r>
      <w:r w:rsidR="00A93D5F" w:rsidRPr="00B572B3"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  <w:t>–</w:t>
      </w:r>
      <w:r w:rsidRPr="00B572B3"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  <w:t xml:space="preserve"> 271</w:t>
      </w:r>
      <w:r w:rsidR="00A93D5F" w:rsidRPr="00B572B3">
        <w:rPr>
          <w:b/>
          <w:sz w:val="32"/>
          <w:szCs w:val="32"/>
          <w14:glow w14:rad="228600">
            <w14:schemeClr w14:val="accent4">
              <w14:alpha w14:val="60000"/>
              <w14:satMod w14:val="175000"/>
            </w14:schemeClr>
          </w14:glow>
        </w:rPr>
        <w:t>. L’équité salariale</w:t>
      </w:r>
      <w:r w:rsidR="00A27AA3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54F1B4ED" w14:textId="77777777" w:rsidR="0016406B" w:rsidRDefault="0016406B" w:rsidP="0016406B">
      <w:pPr>
        <w:rPr>
          <w:b/>
          <w:sz w:val="32"/>
          <w:szCs w:val="32"/>
        </w:rPr>
      </w:pPr>
    </w:p>
    <w:p w14:paraId="0E50CBB9" w14:textId="77777777" w:rsidR="0016406B" w:rsidRDefault="0016406B" w:rsidP="0016406B">
      <w:pPr>
        <w:rPr>
          <w:b/>
          <w:sz w:val="32"/>
          <w:szCs w:val="32"/>
        </w:rPr>
      </w:pPr>
    </w:p>
    <w:p w14:paraId="4CA4217E" w14:textId="77777777" w:rsidR="0016406B" w:rsidRDefault="0016406B" w:rsidP="0016406B">
      <w:pPr>
        <w:rPr>
          <w:b/>
          <w:sz w:val="32"/>
          <w:szCs w:val="32"/>
        </w:rPr>
      </w:pPr>
    </w:p>
    <w:p w14:paraId="4FA5BBD5" w14:textId="77777777" w:rsidR="0016406B" w:rsidRDefault="0016406B" w:rsidP="0016406B">
      <w:pPr>
        <w:rPr>
          <w:b/>
          <w:sz w:val="32"/>
          <w:szCs w:val="32"/>
        </w:rPr>
      </w:pPr>
    </w:p>
    <w:p w14:paraId="2423CB26" w14:textId="77777777" w:rsidR="0016406B" w:rsidRDefault="0016406B" w:rsidP="0016406B">
      <w:pPr>
        <w:rPr>
          <w:b/>
          <w:sz w:val="32"/>
          <w:szCs w:val="32"/>
        </w:rPr>
      </w:pPr>
    </w:p>
    <w:p w14:paraId="0C353272" w14:textId="77777777" w:rsidR="0016406B" w:rsidRDefault="0016406B" w:rsidP="0016406B">
      <w:pPr>
        <w:rPr>
          <w:b/>
          <w:sz w:val="32"/>
          <w:szCs w:val="32"/>
        </w:rPr>
      </w:pPr>
    </w:p>
    <w:p w14:paraId="6FDCF762" w14:textId="77777777" w:rsidR="0016406B" w:rsidRDefault="0016406B" w:rsidP="0016406B">
      <w:pPr>
        <w:rPr>
          <w:b/>
          <w:sz w:val="32"/>
          <w:szCs w:val="32"/>
        </w:rPr>
      </w:pPr>
    </w:p>
    <w:p w14:paraId="0B0B5EBE" w14:textId="77777777" w:rsidR="0016406B" w:rsidRPr="0016406B" w:rsidRDefault="0016406B" w:rsidP="0016406B">
      <w:pPr>
        <w:rPr>
          <w:b/>
          <w:sz w:val="32"/>
          <w:szCs w:val="32"/>
        </w:rPr>
      </w:pPr>
    </w:p>
    <w:p w14:paraId="23EF93DE" w14:textId="77777777" w:rsidR="00F57FDA" w:rsidRPr="00B572B3" w:rsidRDefault="00F57FDA" w:rsidP="00430FCB">
      <w:pPr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lastRenderedPageBreak/>
        <w:t>Chapitre 9 : Les relations du travail</w:t>
      </w:r>
    </w:p>
    <w:p w14:paraId="390865A5" w14:textId="15288F5E" w:rsidR="007F0A78" w:rsidRPr="00B572B3" w:rsidRDefault="007F0A78" w:rsidP="007F0A78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L’importance de gérer les relations de travail : p. 303 -307</w:t>
      </w:r>
      <w:r w:rsidR="00F62ACF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1230350C" w14:textId="776A1391" w:rsidR="00D1480E" w:rsidRPr="00B572B3" w:rsidRDefault="00D1480E" w:rsidP="00D1480E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 xml:space="preserve">9.1 et 9.2 : Le syndicat et son fonctionnement et la </w:t>
      </w:r>
      <w:r w:rsidRPr="00430099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démarche d</w:t>
      </w:r>
      <w:r w:rsidR="00D06131" w:rsidRPr="00430099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e syndicalisation</w:t>
      </w:r>
      <w:r w:rsidR="00D06131"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 : p. 307 – 310</w:t>
      </w:r>
      <w:r w:rsidR="00CA0D76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5E6FD97C" w14:textId="114965C3" w:rsidR="00D06131" w:rsidRPr="00B572B3" w:rsidRDefault="00D06131" w:rsidP="00D1480E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Les motifs poussant à la syndicalisation p. 310 - 311</w:t>
      </w:r>
      <w:r w:rsidR="00CA0D76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03F758DF" w14:textId="4D03787B" w:rsidR="00607B55" w:rsidRPr="00B572B3" w:rsidRDefault="008D5927" w:rsidP="007F0A78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 xml:space="preserve">9.2.2 : L’accréditation des associations de salariés p. 311 </w:t>
      </w:r>
      <w:r w:rsidR="00607B55"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–</w:t>
      </w: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 xml:space="preserve"> 313</w:t>
      </w:r>
      <w:r w:rsidR="00CA0D76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431908ED" w14:textId="549B05F8" w:rsidR="00607B55" w:rsidRPr="00B572B3" w:rsidRDefault="00607B55" w:rsidP="007F0A78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9.3.1 : Les étapes de  la négociation collective : p. 315 - 318</w:t>
      </w:r>
      <w:r w:rsidR="00CA0D76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3278427E" w14:textId="2FAEAA2D" w:rsidR="006E6814" w:rsidRPr="00B572B3" w:rsidRDefault="008A56B7" w:rsidP="006E6814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 xml:space="preserve">La grève : p. 319 </w:t>
      </w:r>
      <w:r w:rsidR="006E6814"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–</w:t>
      </w: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 xml:space="preserve"> 322</w:t>
      </w:r>
      <w:r w:rsidR="00F157E8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4A9B9FCF" w14:textId="399F16B6" w:rsidR="006E6814" w:rsidRPr="00B572B3" w:rsidRDefault="006E6814" w:rsidP="006E6814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Tableau 9.4</w:t>
      </w:r>
      <w:r w:rsidR="00C20EA7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 xml:space="preserve"> : Les principales clauses des </w:t>
      </w: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 xml:space="preserve">conventions collectives p. 326 </w:t>
      </w:r>
      <w:r w:rsidR="00384A43"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–</w:t>
      </w: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 xml:space="preserve"> 327</w:t>
      </w:r>
      <w:r w:rsidR="00F1565F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4F4E9F57" w14:textId="7E3167C5" w:rsidR="00384A43" w:rsidRPr="00B572B3" w:rsidRDefault="00384A43" w:rsidP="006E6814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La procédure interne des règlements de griefs  - p. 331 - 333</w:t>
      </w:r>
      <w:r w:rsidR="00D1696B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1643AFF7" w14:textId="64B49127" w:rsidR="006E6814" w:rsidRPr="00B572B3" w:rsidRDefault="006E6814" w:rsidP="006E6814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9.5.3 : L’arbitrage des griefs p. 332 – 334</w:t>
      </w:r>
      <w:r w:rsidR="00D1696B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3DC244A9" w14:textId="15CFC730" w:rsidR="008A56B7" w:rsidRDefault="00384A43" w:rsidP="007F0A78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5">
              <w14:alpha w14:val="60000"/>
              <w14:satMod w14:val="175000"/>
            </w14:schemeClr>
          </w14:glow>
        </w:rPr>
        <w:t>Les conditions de succès des relations de travail p. 336-337</w:t>
      </w:r>
      <w:r w:rsidR="00D1696B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4E3E677B" w14:textId="77777777" w:rsidR="0016406B" w:rsidRDefault="0016406B" w:rsidP="0016406B">
      <w:pPr>
        <w:rPr>
          <w:b/>
          <w:sz w:val="32"/>
          <w:szCs w:val="32"/>
        </w:rPr>
      </w:pPr>
    </w:p>
    <w:p w14:paraId="6E2341FE" w14:textId="77777777" w:rsidR="0016406B" w:rsidRDefault="0016406B" w:rsidP="0016406B">
      <w:pPr>
        <w:rPr>
          <w:b/>
          <w:sz w:val="32"/>
          <w:szCs w:val="32"/>
        </w:rPr>
      </w:pPr>
    </w:p>
    <w:p w14:paraId="59A79460" w14:textId="77777777" w:rsidR="0016406B" w:rsidRDefault="0016406B" w:rsidP="0016406B">
      <w:pPr>
        <w:rPr>
          <w:b/>
          <w:sz w:val="32"/>
          <w:szCs w:val="32"/>
        </w:rPr>
      </w:pPr>
    </w:p>
    <w:p w14:paraId="0CF3FE52" w14:textId="77777777" w:rsidR="0016406B" w:rsidRPr="0016406B" w:rsidRDefault="0016406B" w:rsidP="0016406B">
      <w:pPr>
        <w:rPr>
          <w:b/>
          <w:sz w:val="32"/>
          <w:szCs w:val="32"/>
        </w:rPr>
      </w:pPr>
    </w:p>
    <w:p w14:paraId="60D0EE7F" w14:textId="77777777" w:rsidR="00F57FDA" w:rsidRPr="00B572B3" w:rsidRDefault="00F57FDA" w:rsidP="00430FCB">
      <w:pPr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lastRenderedPageBreak/>
        <w:t>Chapitre 10 : Promouvoir la santé, la sécurité et le mieux-être au travail</w:t>
      </w:r>
    </w:p>
    <w:p w14:paraId="4A5A5594" w14:textId="7580A742" w:rsidR="008D5927" w:rsidRPr="00B572B3" w:rsidRDefault="008F592F" w:rsidP="008D5927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L’importance de promouvoir la santé, la sécurité et le mieux-être au travail </w:t>
      </w:r>
      <w:r w:rsidR="002E3E00"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et les responsabilités en matière de santé, de sécurité et de mieux-être au travail </w:t>
      </w:r>
      <w:r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p. 347 </w:t>
      </w:r>
      <w:r w:rsidR="00DC232A"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>–</w:t>
      </w:r>
      <w:r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 351</w:t>
      </w:r>
      <w:r w:rsidR="00D1696B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0691E7A2" w14:textId="4F9B3326" w:rsidR="00F908B2" w:rsidRPr="00B572B3" w:rsidRDefault="004C4FEA" w:rsidP="008F592F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10.1 La gestion de la santé et de la sécurité au travail et </w:t>
      </w:r>
      <w:r w:rsidR="00DC232A"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 L’identification des risques </w:t>
      </w:r>
      <w:r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et le programme d’aide aux employés </w:t>
      </w:r>
      <w:r w:rsidR="00DC232A"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p. 353 </w:t>
      </w:r>
      <w:r w:rsidR="00B11E52"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>–</w:t>
      </w:r>
      <w:r w:rsidR="00DC232A"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 </w:t>
      </w:r>
      <w:r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>36</w:t>
      </w:r>
      <w:r w:rsidR="00D00065"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>6</w:t>
      </w:r>
      <w:r w:rsidR="00AB679A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266FF5AA" w14:textId="5DFC23DE" w:rsidR="00F908B2" w:rsidRPr="00B572B3" w:rsidRDefault="00F908B2" w:rsidP="008F592F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10.1.1 : L’identification des risques p. 353 </w:t>
      </w:r>
      <w:r w:rsidR="00C145B0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30303CFF" w14:textId="702E6DA5" w:rsidR="00B11E52" w:rsidRPr="00B572B3" w:rsidRDefault="004C4FEA" w:rsidP="008F592F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Le stress (p. 358) </w:t>
      </w:r>
      <w:r w:rsidR="00B11E52"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La gestion du stress : p. 365 </w:t>
      </w:r>
      <w:r w:rsidR="00740AD8"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>–</w:t>
      </w:r>
      <w:r w:rsidR="00B11E52"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 xml:space="preserve"> 367</w:t>
      </w:r>
      <w:r w:rsidR="00DB0A82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45A0CBFE" w14:textId="15288C4D" w:rsidR="00740AD8" w:rsidRPr="00B572B3" w:rsidRDefault="00740AD8" w:rsidP="008F592F">
      <w:pPr>
        <w:pStyle w:val="ListParagraph"/>
        <w:numPr>
          <w:ilvl w:val="0"/>
          <w:numId w:val="5"/>
        </w:numPr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6">
              <w14:alpha w14:val="60000"/>
              <w14:satMod w14:val="175000"/>
            </w14:schemeClr>
          </w14:glow>
        </w:rPr>
        <w:t>10.2.2 : La promotion de la santé : p. 363 - 374</w:t>
      </w:r>
      <w:r w:rsidR="00AB679A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44BEA272" w14:textId="77777777" w:rsidR="00F57FDA" w:rsidRPr="00B572B3" w:rsidRDefault="00F57FDA" w:rsidP="00430FCB">
      <w:pPr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Chapitre 11 : La gestion de la diversité</w:t>
      </w:r>
    </w:p>
    <w:p w14:paraId="606ABAB7" w14:textId="26E22F8E" w:rsidR="006C68EF" w:rsidRPr="00B572B3" w:rsidRDefault="006C68EF" w:rsidP="006C68EF">
      <w:pPr>
        <w:pStyle w:val="ListParagraph"/>
        <w:numPr>
          <w:ilvl w:val="0"/>
          <w:numId w:val="6"/>
        </w:numPr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 xml:space="preserve">L’importance de gérer la diversité : p. 383 </w:t>
      </w:r>
      <w:r w:rsidR="00384A43" w:rsidRPr="00B572B3"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–</w:t>
      </w:r>
      <w:r w:rsidRPr="00B572B3"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 xml:space="preserve"> 385</w:t>
      </w:r>
      <w:r w:rsidR="00CF3C31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734E9A8E" w14:textId="77777777" w:rsidR="00CF64CE" w:rsidRPr="00CF64CE" w:rsidRDefault="00735E7E" w:rsidP="00735E7E">
      <w:pPr>
        <w:pStyle w:val="ListParagraph"/>
        <w:numPr>
          <w:ilvl w:val="0"/>
          <w:numId w:val="6"/>
        </w:numPr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 xml:space="preserve">Les conditions de succès de </w:t>
      </w:r>
      <w:r w:rsidR="00CF64CE"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la gestion de la diversité </w:t>
      </w:r>
      <w:r w:rsidR="00CF64CE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7989ED5F" w14:textId="298C1CCB" w:rsidR="00735E7E" w:rsidRPr="00B572B3" w:rsidRDefault="00735E7E" w:rsidP="00735E7E">
      <w:pPr>
        <w:pStyle w:val="ListParagraph"/>
        <w:numPr>
          <w:ilvl w:val="0"/>
          <w:numId w:val="6"/>
        </w:numPr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bookmarkStart w:id="0" w:name="_GoBack"/>
      <w:bookmarkEnd w:id="0"/>
      <w:r w:rsidRPr="00B572B3"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400-403</w:t>
      </w:r>
      <w:r w:rsidR="00CA2617"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, Les conditions … en diversité sont… a) b) c)</w:t>
      </w:r>
      <w:r w:rsidR="007E4E79" w:rsidRPr="007E4E79">
        <w:rPr>
          <w:rFonts w:ascii="Lucida Grande" w:hAnsi="Lucida Grande" w:cs="Lucida Grande"/>
          <w:b/>
          <w:sz w:val="32"/>
          <w:szCs w:val="32"/>
        </w:rPr>
        <w:t xml:space="preserve"> </w:t>
      </w:r>
      <w:r w:rsidR="007E4E79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3B644F1F" w14:textId="6FC2F035" w:rsidR="00384A43" w:rsidRPr="00B572B3" w:rsidRDefault="00384A43" w:rsidP="006C68EF">
      <w:pPr>
        <w:pStyle w:val="ListParagraph"/>
        <w:numPr>
          <w:ilvl w:val="0"/>
          <w:numId w:val="6"/>
        </w:numPr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11.3 : Des pratiques d’accommodement ayant trait à l’accessibilité  des lieux et à l’aménagement des postes p. 395 – 396</w:t>
      </w:r>
      <w:r w:rsidR="00CF64CE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123C2A9C" w14:textId="73E587C3" w:rsidR="00384A43" w:rsidRPr="00B572B3" w:rsidRDefault="00384A43" w:rsidP="006C68EF">
      <w:pPr>
        <w:pStyle w:val="ListParagraph"/>
        <w:numPr>
          <w:ilvl w:val="0"/>
          <w:numId w:val="6"/>
        </w:numPr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</w:pPr>
      <w:r w:rsidRPr="00B572B3">
        <w:rPr>
          <w:b/>
          <w:sz w:val="32"/>
          <w:szCs w:val="32"/>
          <w14:glow w14:rad="139700">
            <w14:schemeClr w14:val="accent2">
              <w14:alpha w14:val="60000"/>
              <w14:satMod w14:val="175000"/>
            </w14:schemeClr>
          </w14:glow>
        </w:rPr>
        <w:t>Les conduites de succès de la gestion de la diversité p. 401-403</w:t>
      </w:r>
      <w:r w:rsidR="00461799" w:rsidRPr="003652AF">
        <w:rPr>
          <w:rFonts w:ascii="Lucida Grande" w:hAnsi="Lucida Grande" w:cs="Lucida Grande"/>
          <w:b/>
          <w:sz w:val="32"/>
          <w:szCs w:val="32"/>
        </w:rPr>
        <w:t>✓</w:t>
      </w:r>
    </w:p>
    <w:p w14:paraId="293B6E0D" w14:textId="77777777" w:rsidR="00F57FDA" w:rsidRDefault="00F57FDA" w:rsidP="00430FC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Chapitre 12 : Évaluer la gestion des ressources humaines</w:t>
      </w:r>
    </w:p>
    <w:p w14:paraId="5E2164CB" w14:textId="77777777" w:rsidR="00A93D5F" w:rsidRDefault="00A93D5F" w:rsidP="00430FCB">
      <w:pPr>
        <w:rPr>
          <w:b/>
          <w:sz w:val="32"/>
          <w:szCs w:val="32"/>
        </w:rPr>
      </w:pPr>
    </w:p>
    <w:p w14:paraId="4224BAEE" w14:textId="0CA333F3" w:rsidR="00A93D5F" w:rsidRDefault="00A93D5F" w:rsidP="00430FCB">
      <w:pPr>
        <w:rPr>
          <w:b/>
          <w:sz w:val="32"/>
          <w:szCs w:val="32"/>
        </w:rPr>
      </w:pPr>
      <w:r>
        <w:rPr>
          <w:b/>
          <w:sz w:val="32"/>
          <w:szCs w:val="32"/>
        </w:rPr>
        <w:t>Cas 3</w:t>
      </w:r>
      <w:r w:rsidR="00B572B3">
        <w:rPr>
          <w:b/>
          <w:sz w:val="32"/>
          <w:szCs w:val="32"/>
        </w:rPr>
        <w:t> :</w:t>
      </w:r>
      <w:r>
        <w:rPr>
          <w:b/>
          <w:sz w:val="32"/>
          <w:szCs w:val="32"/>
        </w:rPr>
        <w:t xml:space="preserve"> bonnes réponses :</w:t>
      </w:r>
    </w:p>
    <w:p w14:paraId="132AD5C4" w14:textId="4DC17A1C" w:rsidR="00A93D5F" w:rsidRDefault="00A93D5F" w:rsidP="00430FCB">
      <w:pPr>
        <w:rPr>
          <w:b/>
          <w:sz w:val="32"/>
          <w:szCs w:val="32"/>
        </w:rPr>
      </w:pPr>
      <w:r>
        <w:rPr>
          <w:b/>
          <w:sz w:val="32"/>
          <w:szCs w:val="32"/>
        </w:rPr>
        <w:t>Les types de pratique sont :</w:t>
      </w:r>
    </w:p>
    <w:p w14:paraId="12765685" w14:textId="127BBCA4" w:rsidR="00A93D5F" w:rsidRDefault="00A93D5F" w:rsidP="00430FC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Créé une culture organisationnelle qui respect l’équilibre travail famille </w:t>
      </w:r>
    </w:p>
    <w:p w14:paraId="2D50A857" w14:textId="0A56D56B" w:rsidR="00A93D5F" w:rsidRPr="00430FCB" w:rsidRDefault="00A93D5F" w:rsidP="00430FC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Imposer des règles organisationnelle qui respect la vie familiale, comme ne pas tenir des réunions le soir. </w:t>
      </w:r>
    </w:p>
    <w:sectPr w:rsidR="00A93D5F" w:rsidRPr="00430FCB" w:rsidSect="00F3196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Zapf Dingbats">
    <w:panose1 w:val="05020102010704020609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42FAB"/>
    <w:multiLevelType w:val="hybridMultilevel"/>
    <w:tmpl w:val="F40C30E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E78A7"/>
    <w:multiLevelType w:val="hybridMultilevel"/>
    <w:tmpl w:val="EDFC6EC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992C54"/>
    <w:multiLevelType w:val="hybridMultilevel"/>
    <w:tmpl w:val="88EADA9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645975"/>
    <w:multiLevelType w:val="hybridMultilevel"/>
    <w:tmpl w:val="4FA0405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66216B"/>
    <w:multiLevelType w:val="hybridMultilevel"/>
    <w:tmpl w:val="8D80D88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F2185E"/>
    <w:multiLevelType w:val="hybridMultilevel"/>
    <w:tmpl w:val="1E7CC2C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AD7F7C"/>
    <w:multiLevelType w:val="hybridMultilevel"/>
    <w:tmpl w:val="2742580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807B5C"/>
    <w:multiLevelType w:val="hybridMultilevel"/>
    <w:tmpl w:val="7B9A31C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2254F2"/>
    <w:multiLevelType w:val="hybridMultilevel"/>
    <w:tmpl w:val="5218FCE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972F0D"/>
    <w:multiLevelType w:val="hybridMultilevel"/>
    <w:tmpl w:val="A7CE12F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3B5F30"/>
    <w:multiLevelType w:val="hybridMultilevel"/>
    <w:tmpl w:val="0C94CF3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1D490D"/>
    <w:multiLevelType w:val="hybridMultilevel"/>
    <w:tmpl w:val="6CBE54D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5"/>
  </w:num>
  <w:num w:numId="5">
    <w:abstractNumId w:val="8"/>
  </w:num>
  <w:num w:numId="6">
    <w:abstractNumId w:val="9"/>
  </w:num>
  <w:num w:numId="7">
    <w:abstractNumId w:val="6"/>
  </w:num>
  <w:num w:numId="8">
    <w:abstractNumId w:val="4"/>
  </w:num>
  <w:num w:numId="9">
    <w:abstractNumId w:val="3"/>
  </w:num>
  <w:num w:numId="10">
    <w:abstractNumId w:val="10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FCB"/>
    <w:rsid w:val="000143CD"/>
    <w:rsid w:val="0002733F"/>
    <w:rsid w:val="00027384"/>
    <w:rsid w:val="000856EB"/>
    <w:rsid w:val="000A36A5"/>
    <w:rsid w:val="000F50B1"/>
    <w:rsid w:val="00102035"/>
    <w:rsid w:val="0016406B"/>
    <w:rsid w:val="001807B7"/>
    <w:rsid w:val="001B1873"/>
    <w:rsid w:val="001E1691"/>
    <w:rsid w:val="00215427"/>
    <w:rsid w:val="00244147"/>
    <w:rsid w:val="0028156E"/>
    <w:rsid w:val="002A36F4"/>
    <w:rsid w:val="002A4FBD"/>
    <w:rsid w:val="002E3E00"/>
    <w:rsid w:val="003652AF"/>
    <w:rsid w:val="00384A43"/>
    <w:rsid w:val="003D6FD8"/>
    <w:rsid w:val="00400A6C"/>
    <w:rsid w:val="00430099"/>
    <w:rsid w:val="00430FCB"/>
    <w:rsid w:val="00461799"/>
    <w:rsid w:val="00463210"/>
    <w:rsid w:val="004713B8"/>
    <w:rsid w:val="004C4FEA"/>
    <w:rsid w:val="004D358D"/>
    <w:rsid w:val="004E2CC5"/>
    <w:rsid w:val="0052003F"/>
    <w:rsid w:val="00586D76"/>
    <w:rsid w:val="005C4C0D"/>
    <w:rsid w:val="00607B55"/>
    <w:rsid w:val="00662AAB"/>
    <w:rsid w:val="006C68EF"/>
    <w:rsid w:val="006E6814"/>
    <w:rsid w:val="00716DC2"/>
    <w:rsid w:val="00735E7E"/>
    <w:rsid w:val="00740AD8"/>
    <w:rsid w:val="00773119"/>
    <w:rsid w:val="007B14DF"/>
    <w:rsid w:val="007C1189"/>
    <w:rsid w:val="007D1046"/>
    <w:rsid w:val="007D64EF"/>
    <w:rsid w:val="007E4E79"/>
    <w:rsid w:val="007E6AEA"/>
    <w:rsid w:val="007F0A78"/>
    <w:rsid w:val="00850EF9"/>
    <w:rsid w:val="00860216"/>
    <w:rsid w:val="0087016F"/>
    <w:rsid w:val="008A56B7"/>
    <w:rsid w:val="008C7A1A"/>
    <w:rsid w:val="008D5927"/>
    <w:rsid w:val="008F592F"/>
    <w:rsid w:val="00926779"/>
    <w:rsid w:val="009304F3"/>
    <w:rsid w:val="00930A15"/>
    <w:rsid w:val="009C6694"/>
    <w:rsid w:val="009D16CC"/>
    <w:rsid w:val="009E0252"/>
    <w:rsid w:val="009E2ADD"/>
    <w:rsid w:val="00A27AA3"/>
    <w:rsid w:val="00A40ED4"/>
    <w:rsid w:val="00A93D5F"/>
    <w:rsid w:val="00AB679A"/>
    <w:rsid w:val="00AD3D96"/>
    <w:rsid w:val="00AD727D"/>
    <w:rsid w:val="00AE70F1"/>
    <w:rsid w:val="00B11E52"/>
    <w:rsid w:val="00B4119C"/>
    <w:rsid w:val="00B572B3"/>
    <w:rsid w:val="00B71CDD"/>
    <w:rsid w:val="00BA6633"/>
    <w:rsid w:val="00BB5BB4"/>
    <w:rsid w:val="00C026FF"/>
    <w:rsid w:val="00C145B0"/>
    <w:rsid w:val="00C20EA7"/>
    <w:rsid w:val="00C32D14"/>
    <w:rsid w:val="00C75E53"/>
    <w:rsid w:val="00C83059"/>
    <w:rsid w:val="00C95F5F"/>
    <w:rsid w:val="00CA0D76"/>
    <w:rsid w:val="00CA2617"/>
    <w:rsid w:val="00CA6725"/>
    <w:rsid w:val="00CC6D4F"/>
    <w:rsid w:val="00CF3C31"/>
    <w:rsid w:val="00CF3F72"/>
    <w:rsid w:val="00CF64CE"/>
    <w:rsid w:val="00D00065"/>
    <w:rsid w:val="00D06131"/>
    <w:rsid w:val="00D1480E"/>
    <w:rsid w:val="00D1696B"/>
    <w:rsid w:val="00D23F7C"/>
    <w:rsid w:val="00D36049"/>
    <w:rsid w:val="00D86024"/>
    <w:rsid w:val="00D865CC"/>
    <w:rsid w:val="00DB0A82"/>
    <w:rsid w:val="00DB2B55"/>
    <w:rsid w:val="00DC232A"/>
    <w:rsid w:val="00DC34BA"/>
    <w:rsid w:val="00E235E6"/>
    <w:rsid w:val="00E6060D"/>
    <w:rsid w:val="00E65195"/>
    <w:rsid w:val="00EF76EA"/>
    <w:rsid w:val="00F1565F"/>
    <w:rsid w:val="00F157E8"/>
    <w:rsid w:val="00F257B3"/>
    <w:rsid w:val="00F31961"/>
    <w:rsid w:val="00F441B4"/>
    <w:rsid w:val="00F5081F"/>
    <w:rsid w:val="00F57FDA"/>
    <w:rsid w:val="00F62ACF"/>
    <w:rsid w:val="00F908B2"/>
    <w:rsid w:val="00F97FEC"/>
    <w:rsid w:val="00FF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21D31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5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7</Pages>
  <Words>727</Words>
  <Characters>4148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David Buteau</cp:lastModifiedBy>
  <cp:revision>22</cp:revision>
  <dcterms:created xsi:type="dcterms:W3CDTF">2015-12-04T00:34:00Z</dcterms:created>
  <dcterms:modified xsi:type="dcterms:W3CDTF">2015-12-10T15:40:00Z</dcterms:modified>
</cp:coreProperties>
</file>