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33E" w:rsidRDefault="00FE333E" w:rsidP="004151F7">
      <w:pPr>
        <w:pStyle w:val="Title"/>
        <w:pBdr>
          <w:bottom w:val="single" w:sz="12" w:space="1" w:color="auto"/>
        </w:pBdr>
        <w:rPr>
          <w:sz w:val="48"/>
          <w:szCs w:val="48"/>
        </w:rPr>
      </w:pPr>
      <w:r>
        <w:rPr>
          <w:noProof/>
          <w:lang w:val="en-CA" w:eastAsia="en-CA"/>
        </w:rPr>
        <w:drawing>
          <wp:anchor distT="0" distB="0" distL="114300" distR="114300" simplePos="0" relativeHeight="251658240" behindDoc="1" locked="0" layoutInCell="1" allowOverlap="1">
            <wp:simplePos x="0" y="0"/>
            <wp:positionH relativeFrom="column">
              <wp:posOffset>2540</wp:posOffset>
            </wp:positionH>
            <wp:positionV relativeFrom="paragraph">
              <wp:posOffset>49</wp:posOffset>
            </wp:positionV>
            <wp:extent cx="2446317" cy="740507"/>
            <wp:effectExtent l="0" t="0" r="0" b="2540"/>
            <wp:wrapTight wrapText="bothSides">
              <wp:wrapPolygon edited="0">
                <wp:start x="0" y="0"/>
                <wp:lineTo x="0" y="21118"/>
                <wp:lineTo x="21364" y="21118"/>
                <wp:lineTo x="213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ab logo.png"/>
                    <pic:cNvPicPr/>
                  </pic:nvPicPr>
                  <pic:blipFill>
                    <a:blip r:embed="rId7">
                      <a:extLst>
                        <a:ext uri="{28A0092B-C50C-407E-A947-70E740481C1C}">
                          <a14:useLocalDpi xmlns:a14="http://schemas.microsoft.com/office/drawing/2010/main" val="0"/>
                        </a:ext>
                      </a:extLst>
                    </a:blip>
                    <a:stretch>
                      <a:fillRect/>
                    </a:stretch>
                  </pic:blipFill>
                  <pic:spPr>
                    <a:xfrm>
                      <a:off x="0" y="0"/>
                      <a:ext cx="2446317" cy="740507"/>
                    </a:xfrm>
                    <a:prstGeom prst="rect">
                      <a:avLst/>
                    </a:prstGeom>
                  </pic:spPr>
                </pic:pic>
              </a:graphicData>
            </a:graphic>
            <wp14:sizeRelH relativeFrom="page">
              <wp14:pctWidth>0</wp14:pctWidth>
            </wp14:sizeRelH>
            <wp14:sizeRelV relativeFrom="page">
              <wp14:pctHeight>0</wp14:pctHeight>
            </wp14:sizeRelV>
          </wp:anchor>
        </w:drawing>
      </w:r>
      <w:r>
        <w:rPr>
          <w:sz w:val="48"/>
          <w:szCs w:val="48"/>
        </w:rPr>
        <w:tab/>
      </w:r>
      <w:r>
        <w:rPr>
          <w:sz w:val="48"/>
          <w:szCs w:val="48"/>
        </w:rPr>
        <w:tab/>
      </w:r>
    </w:p>
    <w:p w:rsidR="00FE333E" w:rsidRDefault="00FE333E" w:rsidP="004151F7">
      <w:pPr>
        <w:pStyle w:val="Title"/>
        <w:pBdr>
          <w:bottom w:val="single" w:sz="12" w:space="1" w:color="auto"/>
        </w:pBdr>
        <w:rPr>
          <w:sz w:val="48"/>
          <w:szCs w:val="48"/>
        </w:rPr>
      </w:pPr>
      <w:r>
        <w:rPr>
          <w:sz w:val="48"/>
          <w:szCs w:val="48"/>
        </w:rPr>
        <w:tab/>
      </w:r>
      <w:r>
        <w:rPr>
          <w:sz w:val="48"/>
          <w:szCs w:val="48"/>
        </w:rPr>
        <w:tab/>
      </w:r>
    </w:p>
    <w:p w:rsidR="004151F7" w:rsidRPr="00FE333E" w:rsidRDefault="004151F7" w:rsidP="00FE333E">
      <w:pPr>
        <w:pStyle w:val="Title"/>
        <w:pBdr>
          <w:bottom w:val="single" w:sz="12" w:space="1" w:color="auto"/>
        </w:pBdr>
        <w:rPr>
          <w:sz w:val="48"/>
          <w:szCs w:val="48"/>
        </w:rPr>
      </w:pPr>
      <w:r>
        <w:rPr>
          <w:sz w:val="48"/>
          <w:szCs w:val="48"/>
        </w:rPr>
        <w:t>Inter</w:t>
      </w:r>
      <w:r w:rsidR="00FE333E">
        <w:rPr>
          <w:sz w:val="48"/>
          <w:szCs w:val="48"/>
        </w:rPr>
        <w:t>active</w:t>
      </w:r>
      <w:r>
        <w:rPr>
          <w:sz w:val="48"/>
          <w:szCs w:val="48"/>
        </w:rPr>
        <w:t xml:space="preserve"> Advertising Bureau – Secondary Data</w:t>
      </w:r>
    </w:p>
    <w:p w:rsidR="00FE333E" w:rsidRDefault="00FE333E" w:rsidP="004151F7">
      <w:pPr>
        <w:pStyle w:val="ListParagraph"/>
        <w:jc w:val="center"/>
        <w:rPr>
          <w:i/>
          <w:sz w:val="28"/>
          <w:szCs w:val="28"/>
        </w:rPr>
      </w:pPr>
    </w:p>
    <w:p w:rsidR="00A0345C" w:rsidRDefault="00A0345C" w:rsidP="004151F7">
      <w:pPr>
        <w:pStyle w:val="ListParagraph"/>
        <w:jc w:val="center"/>
        <w:rPr>
          <w:i/>
          <w:sz w:val="28"/>
          <w:szCs w:val="28"/>
        </w:rPr>
      </w:pPr>
    </w:p>
    <w:p w:rsidR="004151F7" w:rsidRPr="00B765FA" w:rsidRDefault="004151F7" w:rsidP="004151F7">
      <w:pPr>
        <w:pStyle w:val="ListParagraph"/>
        <w:jc w:val="center"/>
        <w:rPr>
          <w:i/>
        </w:rPr>
      </w:pPr>
      <w:r w:rsidRPr="00B765FA">
        <w:rPr>
          <w:i/>
          <w:sz w:val="28"/>
          <w:szCs w:val="28"/>
        </w:rPr>
        <w:t xml:space="preserve">This </w:t>
      </w:r>
      <w:r>
        <w:rPr>
          <w:i/>
          <w:sz w:val="28"/>
          <w:szCs w:val="28"/>
        </w:rPr>
        <w:t xml:space="preserve">hybrid is </w:t>
      </w:r>
      <w:r w:rsidR="0038780D">
        <w:rPr>
          <w:b/>
          <w:i/>
          <w:sz w:val="28"/>
          <w:szCs w:val="28"/>
        </w:rPr>
        <w:t>due BEFORE class Week 10</w:t>
      </w:r>
      <w:r w:rsidRPr="00C036B2">
        <w:rPr>
          <w:b/>
          <w:i/>
          <w:sz w:val="28"/>
          <w:szCs w:val="28"/>
        </w:rPr>
        <w:t>.</w:t>
      </w:r>
      <w:r>
        <w:rPr>
          <w:i/>
          <w:sz w:val="28"/>
          <w:szCs w:val="28"/>
        </w:rPr>
        <w:t xml:space="preserve"> Complete individual</w:t>
      </w:r>
      <w:r w:rsidR="0038780D">
        <w:rPr>
          <w:i/>
          <w:sz w:val="28"/>
          <w:szCs w:val="28"/>
        </w:rPr>
        <w:t>ly and upload through the Week 10</w:t>
      </w:r>
      <w:r>
        <w:rPr>
          <w:i/>
          <w:sz w:val="28"/>
          <w:szCs w:val="28"/>
        </w:rPr>
        <w:t xml:space="preserve"> Hybrid Assignment link.</w:t>
      </w:r>
    </w:p>
    <w:p w:rsidR="004151F7" w:rsidRDefault="004151F7" w:rsidP="004151F7">
      <w:pPr>
        <w:jc w:val="center"/>
        <w:rPr>
          <w:rFonts w:ascii="Arial" w:hAnsi="Arial" w:cs="Arial"/>
          <w:b/>
          <w:u w:val="single"/>
        </w:rPr>
      </w:pPr>
    </w:p>
    <w:p w:rsidR="00A0345C" w:rsidRPr="00AA1FE6" w:rsidRDefault="00A0345C" w:rsidP="004151F7">
      <w:pPr>
        <w:jc w:val="center"/>
        <w:rPr>
          <w:rFonts w:ascii="Arial" w:hAnsi="Arial" w:cs="Arial"/>
          <w:u w:val="single"/>
        </w:rPr>
      </w:pPr>
    </w:p>
    <w:p w:rsidR="00BC3430" w:rsidRDefault="00BC3430" w:rsidP="00083B2F">
      <w:pPr>
        <w:ind w:left="720" w:right="270"/>
        <w:rPr>
          <w:rFonts w:ascii="Arial" w:hAnsi="Arial" w:cs="Arial"/>
          <w:color w:val="767171" w:themeColor="background2" w:themeShade="80"/>
        </w:rPr>
      </w:pPr>
      <w:r>
        <w:rPr>
          <w:rFonts w:ascii="Arial" w:hAnsi="Arial" w:cs="Arial"/>
          <w:color w:val="767171" w:themeColor="background2" w:themeShade="80"/>
        </w:rPr>
        <w:t xml:space="preserve">The </w:t>
      </w:r>
      <w:r>
        <w:rPr>
          <w:rStyle w:val="Heading1Char"/>
        </w:rPr>
        <w:t>Internet Advertising Revenue Report</w:t>
      </w:r>
      <w:r>
        <w:rPr>
          <w:rFonts w:ascii="Arial" w:hAnsi="Arial" w:cs="Arial"/>
        </w:rPr>
        <w:t xml:space="preserve"> </w:t>
      </w:r>
      <w:r>
        <w:rPr>
          <w:rFonts w:ascii="Arial" w:hAnsi="Arial" w:cs="Arial"/>
          <w:color w:val="767171" w:themeColor="background2" w:themeShade="80"/>
        </w:rPr>
        <w:t xml:space="preserve">is published annually by </w:t>
      </w:r>
    </w:p>
    <w:p w:rsidR="00BC3430" w:rsidRDefault="00BC3430" w:rsidP="00083B2F">
      <w:pPr>
        <w:ind w:left="720" w:right="270"/>
        <w:rPr>
          <w:rStyle w:val="Hyperlink"/>
        </w:rPr>
      </w:pPr>
      <w:r>
        <w:rPr>
          <w:rStyle w:val="Heading1Char"/>
        </w:rPr>
        <w:t>IAB Canada</w:t>
      </w:r>
      <w:r>
        <w:rPr>
          <w:rFonts w:ascii="Arial" w:hAnsi="Arial" w:cs="Arial"/>
        </w:rPr>
        <w:t xml:space="preserve"> </w:t>
      </w:r>
      <w:r>
        <w:rPr>
          <w:rFonts w:ascii="Arial" w:hAnsi="Arial" w:cs="Arial"/>
          <w:color w:val="767171" w:themeColor="background2" w:themeShade="80"/>
        </w:rPr>
        <w:t>each fall, summarizing the state of Canadian digital advertising revenues. IAB Canada is fully-dedicated to the development and promotion of digital/interactive advertising in Canada</w:t>
      </w:r>
      <w:r>
        <w:rPr>
          <w:rFonts w:ascii="Arial" w:hAnsi="Arial" w:cs="Arial"/>
          <w:color w:val="AEAAAA" w:themeColor="background2" w:themeShade="BF"/>
        </w:rPr>
        <w:t xml:space="preserve">.  </w:t>
      </w:r>
      <w:hyperlink r:id="rId8" w:history="1">
        <w:r w:rsidR="00890C8B" w:rsidRPr="00890C8B">
          <w:rPr>
            <w:rStyle w:val="Hyperlink"/>
            <w:rFonts w:ascii="Arial" w:hAnsi="Arial" w:cs="Arial"/>
          </w:rPr>
          <w:t>http://iabcanada.com/annual-internet-advertising-revenue-reports/</w:t>
        </w:r>
      </w:hyperlink>
    </w:p>
    <w:p w:rsidR="00BC3430" w:rsidRDefault="00BC3430" w:rsidP="00BC3430"/>
    <w:p w:rsidR="00BC3430" w:rsidRDefault="00BC3430" w:rsidP="00BC3430">
      <w:pPr>
        <w:rPr>
          <w:rFonts w:ascii="Arial" w:hAnsi="Arial" w:cs="Arial"/>
        </w:rPr>
      </w:pPr>
    </w:p>
    <w:p w:rsidR="00BC3430" w:rsidRPr="00BC3430" w:rsidRDefault="00BC3430" w:rsidP="00BC3430">
      <w:pPr>
        <w:rPr>
          <w:rFonts w:ascii="Arial" w:hAnsi="Arial" w:cs="Arial"/>
          <w:sz w:val="28"/>
          <w:szCs w:val="22"/>
        </w:rPr>
      </w:pPr>
      <w:r>
        <w:rPr>
          <w:rFonts w:ascii="Arial" w:hAnsi="Arial" w:cs="Arial"/>
          <w:sz w:val="28"/>
          <w:szCs w:val="22"/>
        </w:rPr>
        <w:t xml:space="preserve">1) </w:t>
      </w:r>
      <w:r w:rsidRPr="00BC3430">
        <w:rPr>
          <w:rFonts w:ascii="Arial" w:hAnsi="Arial" w:cs="Arial"/>
          <w:sz w:val="28"/>
          <w:szCs w:val="22"/>
        </w:rPr>
        <w:t>What are 6 the internet advertising vehicles identified by IAB Canada?</w:t>
      </w:r>
    </w:p>
    <w:p w:rsidR="00BC3430" w:rsidRDefault="00BC3430" w:rsidP="00BC3430">
      <w:pPr>
        <w:pStyle w:val="ListParagraph"/>
        <w:rPr>
          <w:rFonts w:ascii="Arial" w:hAnsi="Arial" w:cs="Arial"/>
        </w:rPr>
      </w:pPr>
      <w:r>
        <w:rPr>
          <w:rFonts w:ascii="Arial" w:hAnsi="Arial" w:cs="Arial"/>
        </w:rPr>
        <w:t xml:space="preserve">(Note link above is </w:t>
      </w:r>
      <w:r w:rsidR="00083B2F">
        <w:rPr>
          <w:rFonts w:ascii="Arial" w:hAnsi="Arial" w:cs="Arial"/>
        </w:rPr>
        <w:t>safe, see page 10 of the report or document is posted in week 10 course documents)</w:t>
      </w:r>
    </w:p>
    <w:p w:rsidR="00BC3430" w:rsidRDefault="00BC3430" w:rsidP="00BC3430">
      <w:pPr>
        <w:rPr>
          <w:rFonts w:ascii="Arial" w:hAnsi="Arial" w:cs="Arial"/>
          <w:sz w:val="22"/>
          <w:szCs w:val="22"/>
        </w:rPr>
      </w:pPr>
    </w:p>
    <w:p w:rsidR="00F637B4" w:rsidRDefault="00F637B4" w:rsidP="00BC3430">
      <w:pPr>
        <w:rPr>
          <w:rFonts w:ascii="Arial" w:hAnsi="Arial" w:cs="Arial"/>
          <w:sz w:val="22"/>
          <w:szCs w:val="22"/>
        </w:rPr>
      </w:pPr>
      <w:r>
        <w:rPr>
          <w:rFonts w:ascii="Arial" w:hAnsi="Arial" w:cs="Arial"/>
          <w:sz w:val="22"/>
          <w:szCs w:val="22"/>
        </w:rPr>
        <w:t xml:space="preserve">The 6 internet advertising vehicles identified by IAB Canada are: Search, Display, Classifieds/Directories, Video, Email, and </w:t>
      </w:r>
      <w:proofErr w:type="spellStart"/>
      <w:r>
        <w:rPr>
          <w:rFonts w:ascii="Arial" w:hAnsi="Arial" w:cs="Arial"/>
          <w:sz w:val="22"/>
          <w:szCs w:val="22"/>
        </w:rPr>
        <w:t>VideoGaming</w:t>
      </w:r>
      <w:proofErr w:type="spellEnd"/>
      <w:r>
        <w:rPr>
          <w:rFonts w:ascii="Arial" w:hAnsi="Arial" w:cs="Arial"/>
          <w:sz w:val="22"/>
          <w:szCs w:val="22"/>
        </w:rPr>
        <w:t>.</w:t>
      </w:r>
    </w:p>
    <w:p w:rsidR="00A0345C" w:rsidRDefault="00A0345C" w:rsidP="004151F7">
      <w:pPr>
        <w:rPr>
          <w:rFonts w:ascii="Arial" w:hAnsi="Arial" w:cs="Arial"/>
        </w:rPr>
      </w:pPr>
    </w:p>
    <w:p w:rsidR="00C96F29" w:rsidRPr="00B00C79" w:rsidRDefault="00C96F29" w:rsidP="004151F7">
      <w:pPr>
        <w:rPr>
          <w:rFonts w:ascii="Arial" w:hAnsi="Arial" w:cs="Arial"/>
          <w:sz w:val="28"/>
          <w:szCs w:val="22"/>
        </w:rPr>
      </w:pPr>
    </w:p>
    <w:p w:rsidR="0049694D" w:rsidRPr="00B00C79" w:rsidRDefault="00AA1FE6" w:rsidP="004151F7">
      <w:pPr>
        <w:rPr>
          <w:rFonts w:ascii="Arial" w:hAnsi="Arial" w:cs="Arial"/>
          <w:sz w:val="28"/>
          <w:szCs w:val="22"/>
        </w:rPr>
      </w:pPr>
      <w:r w:rsidRPr="00B00C79">
        <w:rPr>
          <w:rFonts w:ascii="Arial" w:hAnsi="Arial" w:cs="Arial"/>
          <w:sz w:val="28"/>
          <w:szCs w:val="22"/>
        </w:rPr>
        <w:t>2</w:t>
      </w:r>
      <w:r w:rsidR="0049694D" w:rsidRPr="00B00C79">
        <w:rPr>
          <w:rFonts w:ascii="Arial" w:hAnsi="Arial" w:cs="Arial"/>
          <w:sz w:val="28"/>
          <w:szCs w:val="22"/>
        </w:rPr>
        <w:t xml:space="preserve">) For each internet advertising vehicle, indicate if the advertising revenue has increased or decreased from the previous year, also include the percentage change. </w:t>
      </w:r>
    </w:p>
    <w:p w:rsidR="0049694D" w:rsidRPr="00B00C79" w:rsidRDefault="0049694D" w:rsidP="004151F7">
      <w:pPr>
        <w:rPr>
          <w:rFonts w:ascii="Arial" w:hAnsi="Arial" w:cs="Arial"/>
          <w:sz w:val="28"/>
          <w:szCs w:val="22"/>
        </w:rPr>
      </w:pPr>
    </w:p>
    <w:tbl>
      <w:tblPr>
        <w:tblStyle w:val="GridTable4-Accent51"/>
        <w:tblW w:w="0" w:type="auto"/>
        <w:tblLook w:val="04A0" w:firstRow="1" w:lastRow="0" w:firstColumn="1" w:lastColumn="0" w:noHBand="0" w:noVBand="1"/>
      </w:tblPr>
      <w:tblGrid>
        <w:gridCol w:w="3356"/>
        <w:gridCol w:w="3357"/>
        <w:gridCol w:w="3357"/>
      </w:tblGrid>
      <w:tr w:rsidR="0049694D" w:rsidRPr="00B00C79" w:rsidTr="004969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6" w:type="dxa"/>
          </w:tcPr>
          <w:p w:rsidR="0049694D" w:rsidRPr="00B00C79" w:rsidRDefault="0049694D" w:rsidP="004151F7">
            <w:pPr>
              <w:rPr>
                <w:rFonts w:ascii="Arial" w:hAnsi="Arial" w:cs="Arial"/>
                <w:sz w:val="28"/>
                <w:szCs w:val="22"/>
              </w:rPr>
            </w:pPr>
            <w:r w:rsidRPr="00B00C79">
              <w:rPr>
                <w:rFonts w:ascii="Arial" w:hAnsi="Arial" w:cs="Arial"/>
                <w:sz w:val="28"/>
                <w:szCs w:val="22"/>
              </w:rPr>
              <w:t>Internet Advertising Vehicle</w:t>
            </w:r>
          </w:p>
        </w:tc>
        <w:tc>
          <w:tcPr>
            <w:tcW w:w="3357" w:type="dxa"/>
          </w:tcPr>
          <w:p w:rsidR="0049694D" w:rsidRPr="00B00C79" w:rsidRDefault="0049694D" w:rsidP="004151F7">
            <w:pPr>
              <w:cnfStyle w:val="100000000000" w:firstRow="1" w:lastRow="0" w:firstColumn="0" w:lastColumn="0" w:oddVBand="0" w:evenVBand="0" w:oddHBand="0" w:evenHBand="0" w:firstRowFirstColumn="0" w:firstRowLastColumn="0" w:lastRowFirstColumn="0" w:lastRowLastColumn="0"/>
              <w:rPr>
                <w:rFonts w:ascii="Arial" w:hAnsi="Arial" w:cs="Arial"/>
                <w:sz w:val="28"/>
                <w:szCs w:val="22"/>
              </w:rPr>
            </w:pPr>
            <w:r w:rsidRPr="00B00C79">
              <w:rPr>
                <w:rFonts w:ascii="Arial" w:hAnsi="Arial" w:cs="Arial"/>
                <w:sz w:val="28"/>
                <w:szCs w:val="22"/>
              </w:rPr>
              <w:t>Increase OR Decrease from  previous</w:t>
            </w:r>
            <w:r w:rsidR="00C96F29" w:rsidRPr="00B00C79">
              <w:rPr>
                <w:rFonts w:ascii="Arial" w:hAnsi="Arial" w:cs="Arial"/>
                <w:sz w:val="28"/>
                <w:szCs w:val="22"/>
              </w:rPr>
              <w:t xml:space="preserve"> year</w:t>
            </w:r>
          </w:p>
        </w:tc>
        <w:tc>
          <w:tcPr>
            <w:tcW w:w="3357" w:type="dxa"/>
          </w:tcPr>
          <w:p w:rsidR="0049694D" w:rsidRPr="00B00C79" w:rsidRDefault="0049694D" w:rsidP="004151F7">
            <w:pPr>
              <w:cnfStyle w:val="100000000000" w:firstRow="1" w:lastRow="0" w:firstColumn="0" w:lastColumn="0" w:oddVBand="0" w:evenVBand="0" w:oddHBand="0" w:evenHBand="0" w:firstRowFirstColumn="0" w:firstRowLastColumn="0" w:lastRowFirstColumn="0" w:lastRowLastColumn="0"/>
              <w:rPr>
                <w:rFonts w:ascii="Arial" w:hAnsi="Arial" w:cs="Arial"/>
                <w:sz w:val="28"/>
                <w:szCs w:val="22"/>
              </w:rPr>
            </w:pPr>
            <w:r w:rsidRPr="00B00C79">
              <w:rPr>
                <w:rFonts w:ascii="Arial" w:hAnsi="Arial" w:cs="Arial"/>
                <w:sz w:val="28"/>
                <w:szCs w:val="22"/>
              </w:rPr>
              <w:t>Percentage Change</w:t>
            </w:r>
          </w:p>
        </w:tc>
      </w:tr>
      <w:tr w:rsidR="0049694D" w:rsidRPr="00B00C79" w:rsidTr="00496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6" w:type="dxa"/>
          </w:tcPr>
          <w:p w:rsidR="0049694D" w:rsidRPr="00B00C79" w:rsidRDefault="00F637B4" w:rsidP="004151F7">
            <w:pPr>
              <w:rPr>
                <w:rFonts w:ascii="Arial" w:hAnsi="Arial" w:cs="Arial"/>
                <w:sz w:val="28"/>
                <w:szCs w:val="22"/>
              </w:rPr>
            </w:pPr>
            <w:r>
              <w:rPr>
                <w:rFonts w:ascii="Arial" w:hAnsi="Arial" w:cs="Arial"/>
                <w:sz w:val="28"/>
                <w:szCs w:val="22"/>
              </w:rPr>
              <w:t>Search</w:t>
            </w:r>
          </w:p>
        </w:tc>
        <w:tc>
          <w:tcPr>
            <w:tcW w:w="3357" w:type="dxa"/>
          </w:tcPr>
          <w:p w:rsidR="0049694D" w:rsidRPr="00B00C79" w:rsidRDefault="00F637B4" w:rsidP="004151F7">
            <w:pPr>
              <w:cnfStyle w:val="000000100000" w:firstRow="0" w:lastRow="0" w:firstColumn="0" w:lastColumn="0" w:oddVBand="0" w:evenVBand="0" w:oddHBand="1" w:evenHBand="0" w:firstRowFirstColumn="0" w:firstRowLastColumn="0" w:lastRowFirstColumn="0" w:lastRowLastColumn="0"/>
              <w:rPr>
                <w:rFonts w:ascii="Arial" w:hAnsi="Arial" w:cs="Arial"/>
                <w:sz w:val="28"/>
                <w:szCs w:val="22"/>
              </w:rPr>
            </w:pPr>
            <w:r>
              <w:rPr>
                <w:rFonts w:ascii="Arial" w:hAnsi="Arial" w:cs="Arial"/>
                <w:sz w:val="28"/>
                <w:szCs w:val="22"/>
              </w:rPr>
              <w:t>Increased</w:t>
            </w:r>
          </w:p>
        </w:tc>
        <w:tc>
          <w:tcPr>
            <w:tcW w:w="3357" w:type="dxa"/>
          </w:tcPr>
          <w:p w:rsidR="0049694D" w:rsidRPr="00B00C79" w:rsidRDefault="00F637B4" w:rsidP="004151F7">
            <w:pPr>
              <w:cnfStyle w:val="000000100000" w:firstRow="0" w:lastRow="0" w:firstColumn="0" w:lastColumn="0" w:oddVBand="0" w:evenVBand="0" w:oddHBand="1" w:evenHBand="0" w:firstRowFirstColumn="0" w:firstRowLastColumn="0" w:lastRowFirstColumn="0" w:lastRowLastColumn="0"/>
              <w:rPr>
                <w:rFonts w:ascii="Arial" w:hAnsi="Arial" w:cs="Arial"/>
                <w:sz w:val="28"/>
                <w:szCs w:val="22"/>
              </w:rPr>
            </w:pPr>
            <w:r>
              <w:rPr>
                <w:rFonts w:ascii="Arial" w:hAnsi="Arial" w:cs="Arial"/>
                <w:sz w:val="28"/>
                <w:szCs w:val="22"/>
              </w:rPr>
              <w:t>1% from 2014-2015</w:t>
            </w:r>
          </w:p>
        </w:tc>
      </w:tr>
      <w:tr w:rsidR="0049694D" w:rsidRPr="00B00C79" w:rsidTr="0049694D">
        <w:tc>
          <w:tcPr>
            <w:cnfStyle w:val="001000000000" w:firstRow="0" w:lastRow="0" w:firstColumn="1" w:lastColumn="0" w:oddVBand="0" w:evenVBand="0" w:oddHBand="0" w:evenHBand="0" w:firstRowFirstColumn="0" w:firstRowLastColumn="0" w:lastRowFirstColumn="0" w:lastRowLastColumn="0"/>
            <w:tcW w:w="3356" w:type="dxa"/>
          </w:tcPr>
          <w:p w:rsidR="0049694D" w:rsidRPr="00B00C79" w:rsidRDefault="00F637B4" w:rsidP="004151F7">
            <w:pPr>
              <w:rPr>
                <w:rFonts w:ascii="Arial" w:hAnsi="Arial" w:cs="Arial"/>
                <w:sz w:val="28"/>
                <w:szCs w:val="22"/>
              </w:rPr>
            </w:pPr>
            <w:r>
              <w:rPr>
                <w:rFonts w:ascii="Arial" w:hAnsi="Arial" w:cs="Arial"/>
                <w:sz w:val="28"/>
                <w:szCs w:val="22"/>
              </w:rPr>
              <w:t>Display</w:t>
            </w:r>
          </w:p>
        </w:tc>
        <w:tc>
          <w:tcPr>
            <w:tcW w:w="3357" w:type="dxa"/>
          </w:tcPr>
          <w:p w:rsidR="0049694D" w:rsidRPr="00B00C79" w:rsidRDefault="00F637B4" w:rsidP="004151F7">
            <w:pPr>
              <w:cnfStyle w:val="000000000000" w:firstRow="0" w:lastRow="0" w:firstColumn="0" w:lastColumn="0" w:oddVBand="0" w:evenVBand="0" w:oddHBand="0" w:evenHBand="0" w:firstRowFirstColumn="0" w:firstRowLastColumn="0" w:lastRowFirstColumn="0" w:lastRowLastColumn="0"/>
              <w:rPr>
                <w:rFonts w:ascii="Arial" w:hAnsi="Arial" w:cs="Arial"/>
                <w:sz w:val="28"/>
                <w:szCs w:val="22"/>
              </w:rPr>
            </w:pPr>
            <w:r>
              <w:rPr>
                <w:rFonts w:ascii="Arial" w:hAnsi="Arial" w:cs="Arial"/>
                <w:sz w:val="28"/>
                <w:szCs w:val="22"/>
              </w:rPr>
              <w:t>Stayed the same</w:t>
            </w:r>
          </w:p>
        </w:tc>
        <w:tc>
          <w:tcPr>
            <w:tcW w:w="3357" w:type="dxa"/>
          </w:tcPr>
          <w:p w:rsidR="0049694D" w:rsidRPr="00B00C79" w:rsidRDefault="00F637B4" w:rsidP="004151F7">
            <w:pPr>
              <w:cnfStyle w:val="000000000000" w:firstRow="0" w:lastRow="0" w:firstColumn="0" w:lastColumn="0" w:oddVBand="0" w:evenVBand="0" w:oddHBand="0" w:evenHBand="0" w:firstRowFirstColumn="0" w:firstRowLastColumn="0" w:lastRowFirstColumn="0" w:lastRowLastColumn="0"/>
              <w:rPr>
                <w:rFonts w:ascii="Arial" w:hAnsi="Arial" w:cs="Arial"/>
                <w:sz w:val="28"/>
                <w:szCs w:val="22"/>
              </w:rPr>
            </w:pPr>
            <w:r>
              <w:rPr>
                <w:rFonts w:ascii="Arial" w:hAnsi="Arial" w:cs="Arial"/>
                <w:sz w:val="28"/>
                <w:szCs w:val="22"/>
              </w:rPr>
              <w:t>Stayed at 34% from 2014-2015</w:t>
            </w:r>
          </w:p>
        </w:tc>
      </w:tr>
      <w:tr w:rsidR="0049694D" w:rsidRPr="00B00C79" w:rsidTr="00496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6" w:type="dxa"/>
          </w:tcPr>
          <w:p w:rsidR="0049694D" w:rsidRPr="00B00C79" w:rsidRDefault="00F637B4" w:rsidP="004151F7">
            <w:pPr>
              <w:rPr>
                <w:rFonts w:ascii="Arial" w:hAnsi="Arial" w:cs="Arial"/>
                <w:sz w:val="28"/>
                <w:szCs w:val="22"/>
              </w:rPr>
            </w:pPr>
            <w:r>
              <w:rPr>
                <w:rFonts w:ascii="Arial" w:hAnsi="Arial" w:cs="Arial"/>
                <w:sz w:val="28"/>
                <w:szCs w:val="22"/>
              </w:rPr>
              <w:t>Classifieds/Directories</w:t>
            </w:r>
          </w:p>
        </w:tc>
        <w:tc>
          <w:tcPr>
            <w:tcW w:w="3357" w:type="dxa"/>
          </w:tcPr>
          <w:p w:rsidR="0049694D" w:rsidRPr="00B00C79" w:rsidRDefault="00F637B4" w:rsidP="004151F7">
            <w:pPr>
              <w:cnfStyle w:val="000000100000" w:firstRow="0" w:lastRow="0" w:firstColumn="0" w:lastColumn="0" w:oddVBand="0" w:evenVBand="0" w:oddHBand="1" w:evenHBand="0" w:firstRowFirstColumn="0" w:firstRowLastColumn="0" w:lastRowFirstColumn="0" w:lastRowLastColumn="0"/>
              <w:rPr>
                <w:rFonts w:ascii="Arial" w:hAnsi="Arial" w:cs="Arial"/>
                <w:sz w:val="28"/>
                <w:szCs w:val="22"/>
              </w:rPr>
            </w:pPr>
            <w:r>
              <w:rPr>
                <w:rFonts w:ascii="Arial" w:hAnsi="Arial" w:cs="Arial"/>
                <w:sz w:val="28"/>
                <w:szCs w:val="22"/>
              </w:rPr>
              <w:t>Decreased</w:t>
            </w:r>
          </w:p>
        </w:tc>
        <w:tc>
          <w:tcPr>
            <w:tcW w:w="3357" w:type="dxa"/>
          </w:tcPr>
          <w:p w:rsidR="0049694D" w:rsidRPr="00B00C79" w:rsidRDefault="00F637B4" w:rsidP="004151F7">
            <w:pPr>
              <w:cnfStyle w:val="000000100000" w:firstRow="0" w:lastRow="0" w:firstColumn="0" w:lastColumn="0" w:oddVBand="0" w:evenVBand="0" w:oddHBand="1" w:evenHBand="0" w:firstRowFirstColumn="0" w:firstRowLastColumn="0" w:lastRowFirstColumn="0" w:lastRowLastColumn="0"/>
              <w:rPr>
                <w:rFonts w:ascii="Arial" w:hAnsi="Arial" w:cs="Arial"/>
                <w:sz w:val="28"/>
                <w:szCs w:val="22"/>
              </w:rPr>
            </w:pPr>
            <w:r>
              <w:rPr>
                <w:rFonts w:ascii="Arial" w:hAnsi="Arial" w:cs="Arial"/>
                <w:sz w:val="28"/>
                <w:szCs w:val="22"/>
              </w:rPr>
              <w:t>1% from 2014-2015</w:t>
            </w:r>
          </w:p>
        </w:tc>
      </w:tr>
      <w:tr w:rsidR="0049694D" w:rsidRPr="00B00C79" w:rsidTr="0049694D">
        <w:tc>
          <w:tcPr>
            <w:cnfStyle w:val="001000000000" w:firstRow="0" w:lastRow="0" w:firstColumn="1" w:lastColumn="0" w:oddVBand="0" w:evenVBand="0" w:oddHBand="0" w:evenHBand="0" w:firstRowFirstColumn="0" w:firstRowLastColumn="0" w:lastRowFirstColumn="0" w:lastRowLastColumn="0"/>
            <w:tcW w:w="3356" w:type="dxa"/>
          </w:tcPr>
          <w:p w:rsidR="0049694D" w:rsidRPr="00B00C79" w:rsidRDefault="00F637B4" w:rsidP="004151F7">
            <w:pPr>
              <w:rPr>
                <w:rFonts w:ascii="Arial" w:hAnsi="Arial" w:cs="Arial"/>
                <w:sz w:val="28"/>
                <w:szCs w:val="22"/>
              </w:rPr>
            </w:pPr>
            <w:r>
              <w:rPr>
                <w:rFonts w:ascii="Arial" w:hAnsi="Arial" w:cs="Arial"/>
                <w:sz w:val="28"/>
                <w:szCs w:val="22"/>
              </w:rPr>
              <w:t>Video</w:t>
            </w:r>
          </w:p>
        </w:tc>
        <w:tc>
          <w:tcPr>
            <w:tcW w:w="3357" w:type="dxa"/>
          </w:tcPr>
          <w:p w:rsidR="0049694D" w:rsidRPr="00B00C79" w:rsidRDefault="00F637B4" w:rsidP="004151F7">
            <w:pPr>
              <w:cnfStyle w:val="000000000000" w:firstRow="0" w:lastRow="0" w:firstColumn="0" w:lastColumn="0" w:oddVBand="0" w:evenVBand="0" w:oddHBand="0" w:evenHBand="0" w:firstRowFirstColumn="0" w:firstRowLastColumn="0" w:lastRowFirstColumn="0" w:lastRowLastColumn="0"/>
              <w:rPr>
                <w:rFonts w:ascii="Arial" w:hAnsi="Arial" w:cs="Arial"/>
                <w:sz w:val="28"/>
                <w:szCs w:val="22"/>
              </w:rPr>
            </w:pPr>
            <w:r>
              <w:rPr>
                <w:rFonts w:ascii="Arial" w:hAnsi="Arial" w:cs="Arial"/>
                <w:sz w:val="28"/>
                <w:szCs w:val="22"/>
              </w:rPr>
              <w:t>Increased</w:t>
            </w:r>
          </w:p>
        </w:tc>
        <w:tc>
          <w:tcPr>
            <w:tcW w:w="3357" w:type="dxa"/>
          </w:tcPr>
          <w:p w:rsidR="0049694D" w:rsidRPr="00B00C79" w:rsidRDefault="00F637B4" w:rsidP="004151F7">
            <w:pPr>
              <w:cnfStyle w:val="000000000000" w:firstRow="0" w:lastRow="0" w:firstColumn="0" w:lastColumn="0" w:oddVBand="0" w:evenVBand="0" w:oddHBand="0" w:evenHBand="0" w:firstRowFirstColumn="0" w:firstRowLastColumn="0" w:lastRowFirstColumn="0" w:lastRowLastColumn="0"/>
              <w:rPr>
                <w:rFonts w:ascii="Arial" w:hAnsi="Arial" w:cs="Arial"/>
                <w:sz w:val="28"/>
                <w:szCs w:val="22"/>
              </w:rPr>
            </w:pPr>
            <w:r>
              <w:rPr>
                <w:rFonts w:ascii="Arial" w:hAnsi="Arial" w:cs="Arial"/>
                <w:sz w:val="28"/>
                <w:szCs w:val="22"/>
              </w:rPr>
              <w:t>1% from 2014-2015</w:t>
            </w:r>
          </w:p>
        </w:tc>
      </w:tr>
      <w:tr w:rsidR="0049694D" w:rsidRPr="00B00C79" w:rsidTr="00496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6" w:type="dxa"/>
          </w:tcPr>
          <w:p w:rsidR="0049694D" w:rsidRPr="00B00C79" w:rsidRDefault="00F637B4" w:rsidP="004151F7">
            <w:pPr>
              <w:rPr>
                <w:rFonts w:ascii="Arial" w:hAnsi="Arial" w:cs="Arial"/>
                <w:sz w:val="28"/>
                <w:szCs w:val="22"/>
              </w:rPr>
            </w:pPr>
            <w:r>
              <w:rPr>
                <w:rFonts w:ascii="Arial" w:hAnsi="Arial" w:cs="Arial"/>
                <w:sz w:val="28"/>
                <w:szCs w:val="22"/>
              </w:rPr>
              <w:t>Email</w:t>
            </w:r>
          </w:p>
        </w:tc>
        <w:tc>
          <w:tcPr>
            <w:tcW w:w="3357" w:type="dxa"/>
          </w:tcPr>
          <w:p w:rsidR="0049694D" w:rsidRPr="00B00C79" w:rsidRDefault="00F637B4" w:rsidP="004151F7">
            <w:pPr>
              <w:cnfStyle w:val="000000100000" w:firstRow="0" w:lastRow="0" w:firstColumn="0" w:lastColumn="0" w:oddVBand="0" w:evenVBand="0" w:oddHBand="1" w:evenHBand="0" w:firstRowFirstColumn="0" w:firstRowLastColumn="0" w:lastRowFirstColumn="0" w:lastRowLastColumn="0"/>
              <w:rPr>
                <w:rFonts w:ascii="Arial" w:hAnsi="Arial" w:cs="Arial"/>
                <w:sz w:val="28"/>
                <w:szCs w:val="22"/>
              </w:rPr>
            </w:pPr>
            <w:r>
              <w:rPr>
                <w:rFonts w:ascii="Arial" w:hAnsi="Arial" w:cs="Arial"/>
                <w:sz w:val="28"/>
                <w:szCs w:val="22"/>
              </w:rPr>
              <w:t>Decreased</w:t>
            </w:r>
          </w:p>
        </w:tc>
        <w:tc>
          <w:tcPr>
            <w:tcW w:w="3357" w:type="dxa"/>
          </w:tcPr>
          <w:p w:rsidR="0049694D" w:rsidRPr="00B00C79" w:rsidRDefault="00F637B4" w:rsidP="004151F7">
            <w:pPr>
              <w:cnfStyle w:val="000000100000" w:firstRow="0" w:lastRow="0" w:firstColumn="0" w:lastColumn="0" w:oddVBand="0" w:evenVBand="0" w:oddHBand="1" w:evenHBand="0" w:firstRowFirstColumn="0" w:firstRowLastColumn="0" w:lastRowFirstColumn="0" w:lastRowLastColumn="0"/>
              <w:rPr>
                <w:rFonts w:ascii="Arial" w:hAnsi="Arial" w:cs="Arial"/>
                <w:sz w:val="28"/>
                <w:szCs w:val="22"/>
              </w:rPr>
            </w:pPr>
            <w:r>
              <w:rPr>
                <w:rFonts w:ascii="Arial" w:hAnsi="Arial" w:cs="Arial"/>
                <w:sz w:val="28"/>
                <w:szCs w:val="22"/>
              </w:rPr>
              <w:t>0.2% from 2014-2015</w:t>
            </w:r>
          </w:p>
        </w:tc>
      </w:tr>
      <w:tr w:rsidR="0049694D" w:rsidRPr="00B00C79" w:rsidTr="0049694D">
        <w:tc>
          <w:tcPr>
            <w:cnfStyle w:val="001000000000" w:firstRow="0" w:lastRow="0" w:firstColumn="1" w:lastColumn="0" w:oddVBand="0" w:evenVBand="0" w:oddHBand="0" w:evenHBand="0" w:firstRowFirstColumn="0" w:firstRowLastColumn="0" w:lastRowFirstColumn="0" w:lastRowLastColumn="0"/>
            <w:tcW w:w="3356" w:type="dxa"/>
          </w:tcPr>
          <w:p w:rsidR="0049694D" w:rsidRPr="00B00C79" w:rsidRDefault="00F637B4" w:rsidP="004151F7">
            <w:pPr>
              <w:rPr>
                <w:rFonts w:ascii="Arial" w:hAnsi="Arial" w:cs="Arial"/>
                <w:sz w:val="28"/>
                <w:szCs w:val="22"/>
              </w:rPr>
            </w:pPr>
            <w:proofErr w:type="spellStart"/>
            <w:r>
              <w:rPr>
                <w:rFonts w:ascii="Arial" w:hAnsi="Arial" w:cs="Arial"/>
                <w:sz w:val="28"/>
                <w:szCs w:val="22"/>
              </w:rPr>
              <w:t>VideoGaming</w:t>
            </w:r>
            <w:proofErr w:type="spellEnd"/>
          </w:p>
        </w:tc>
        <w:tc>
          <w:tcPr>
            <w:tcW w:w="3357" w:type="dxa"/>
          </w:tcPr>
          <w:p w:rsidR="0049694D" w:rsidRPr="00B00C79" w:rsidRDefault="00F637B4" w:rsidP="004151F7">
            <w:pPr>
              <w:cnfStyle w:val="000000000000" w:firstRow="0" w:lastRow="0" w:firstColumn="0" w:lastColumn="0" w:oddVBand="0" w:evenVBand="0" w:oddHBand="0" w:evenHBand="0" w:firstRowFirstColumn="0" w:firstRowLastColumn="0" w:lastRowFirstColumn="0" w:lastRowLastColumn="0"/>
              <w:rPr>
                <w:rFonts w:ascii="Arial" w:hAnsi="Arial" w:cs="Arial"/>
                <w:sz w:val="28"/>
                <w:szCs w:val="22"/>
              </w:rPr>
            </w:pPr>
            <w:r>
              <w:rPr>
                <w:rFonts w:ascii="Arial" w:hAnsi="Arial" w:cs="Arial"/>
                <w:sz w:val="28"/>
                <w:szCs w:val="22"/>
              </w:rPr>
              <w:t>Decreased</w:t>
            </w:r>
          </w:p>
        </w:tc>
        <w:tc>
          <w:tcPr>
            <w:tcW w:w="3357" w:type="dxa"/>
          </w:tcPr>
          <w:p w:rsidR="0049694D" w:rsidRPr="00B00C79" w:rsidRDefault="00F637B4" w:rsidP="004151F7">
            <w:pPr>
              <w:cnfStyle w:val="000000000000" w:firstRow="0" w:lastRow="0" w:firstColumn="0" w:lastColumn="0" w:oddVBand="0" w:evenVBand="0" w:oddHBand="0" w:evenHBand="0" w:firstRowFirstColumn="0" w:firstRowLastColumn="0" w:lastRowFirstColumn="0" w:lastRowLastColumn="0"/>
              <w:rPr>
                <w:rFonts w:ascii="Arial" w:hAnsi="Arial" w:cs="Arial"/>
                <w:sz w:val="28"/>
                <w:szCs w:val="22"/>
              </w:rPr>
            </w:pPr>
            <w:r>
              <w:rPr>
                <w:rFonts w:ascii="Arial" w:hAnsi="Arial" w:cs="Arial"/>
                <w:sz w:val="28"/>
                <w:szCs w:val="22"/>
              </w:rPr>
              <w:t>0.2% from 2014-2015</w:t>
            </w:r>
          </w:p>
        </w:tc>
      </w:tr>
    </w:tbl>
    <w:p w:rsidR="0042724E" w:rsidRDefault="0042724E" w:rsidP="00AA1FE6">
      <w:pPr>
        <w:rPr>
          <w:rFonts w:ascii="Arial" w:hAnsi="Arial" w:cs="Arial"/>
          <w:sz w:val="28"/>
          <w:szCs w:val="22"/>
        </w:rPr>
      </w:pPr>
    </w:p>
    <w:p w:rsidR="0042724E" w:rsidRDefault="0042724E" w:rsidP="00AA1FE6">
      <w:pPr>
        <w:rPr>
          <w:rFonts w:ascii="Arial" w:hAnsi="Arial" w:cs="Arial"/>
          <w:sz w:val="28"/>
          <w:szCs w:val="22"/>
        </w:rPr>
      </w:pPr>
    </w:p>
    <w:p w:rsidR="0042724E" w:rsidRDefault="0042724E" w:rsidP="00AA1FE6">
      <w:pPr>
        <w:rPr>
          <w:rFonts w:ascii="Arial" w:hAnsi="Arial" w:cs="Arial"/>
          <w:sz w:val="28"/>
          <w:szCs w:val="22"/>
        </w:rPr>
      </w:pPr>
    </w:p>
    <w:p w:rsidR="0042724E" w:rsidRDefault="0042724E" w:rsidP="00AA1FE6">
      <w:pPr>
        <w:rPr>
          <w:rFonts w:ascii="Arial" w:hAnsi="Arial" w:cs="Arial"/>
          <w:sz w:val="28"/>
          <w:szCs w:val="22"/>
        </w:rPr>
      </w:pPr>
    </w:p>
    <w:p w:rsidR="00AA1FE6" w:rsidRPr="00B00C79" w:rsidRDefault="0042724E" w:rsidP="00AA1FE6">
      <w:pPr>
        <w:rPr>
          <w:rFonts w:ascii="Arial" w:hAnsi="Arial" w:cs="Arial"/>
          <w:sz w:val="28"/>
          <w:szCs w:val="22"/>
        </w:rPr>
      </w:pPr>
      <w:r>
        <w:rPr>
          <w:rFonts w:ascii="Arial" w:hAnsi="Arial" w:cs="Arial"/>
          <w:sz w:val="28"/>
          <w:szCs w:val="22"/>
        </w:rPr>
        <w:t>3</w:t>
      </w:r>
      <w:r w:rsidR="00AA1FE6" w:rsidRPr="00B00C79">
        <w:rPr>
          <w:rFonts w:ascii="Arial" w:hAnsi="Arial" w:cs="Arial"/>
          <w:sz w:val="28"/>
          <w:szCs w:val="22"/>
        </w:rPr>
        <w:t xml:space="preserve">) Identify the TOP 3 Ad Vehicles in terms of Ad Revenue, and include their respective dollar amounts. </w:t>
      </w:r>
      <w:r>
        <w:rPr>
          <w:rFonts w:ascii="Arial" w:hAnsi="Arial" w:cs="Arial"/>
          <w:sz w:val="28"/>
          <w:szCs w:val="22"/>
        </w:rPr>
        <w:t>Do you think this ranking will remain the same for the next annual report? Why or why not?</w:t>
      </w:r>
    </w:p>
    <w:p w:rsidR="00AA1FE6" w:rsidRDefault="00AA1FE6" w:rsidP="00AA1FE6">
      <w:pPr>
        <w:rPr>
          <w:rFonts w:ascii="Arial" w:hAnsi="Arial" w:cs="Arial"/>
          <w:sz w:val="28"/>
          <w:szCs w:val="22"/>
        </w:rPr>
      </w:pPr>
    </w:p>
    <w:p w:rsidR="00F637B4" w:rsidRPr="00F637B4" w:rsidRDefault="004A4D79" w:rsidP="00AA1FE6">
      <w:pPr>
        <w:rPr>
          <w:rFonts w:ascii="Arial" w:hAnsi="Arial" w:cs="Arial"/>
          <w:sz w:val="22"/>
          <w:szCs w:val="22"/>
        </w:rPr>
      </w:pPr>
      <w:r>
        <w:rPr>
          <w:rFonts w:ascii="Arial" w:hAnsi="Arial" w:cs="Arial"/>
          <w:sz w:val="22"/>
          <w:szCs w:val="22"/>
        </w:rPr>
        <w:t xml:space="preserve">The top 3 Ad Vehicles in terms of Ad Revenue are: Search – 2,512 ($ millions), Display – 1,554 ($ millions), and Video – 358 ($ millions). Yes, I believe that these rankings will remain the same for the next report, because they are the only ones that are continuing to grow. The other ad vehicles are on the decline. The top two are growing at the same rate, but Video has grown by 35%. It’s still way too far behind in numbers to eventually catch up so it should remain in third for some time. </w:t>
      </w:r>
    </w:p>
    <w:p w:rsidR="00F637B4" w:rsidRPr="00B00C79" w:rsidRDefault="00F637B4" w:rsidP="00AA1FE6">
      <w:pPr>
        <w:rPr>
          <w:rFonts w:ascii="Arial" w:hAnsi="Arial" w:cs="Arial"/>
          <w:sz w:val="28"/>
          <w:szCs w:val="22"/>
        </w:rPr>
      </w:pPr>
    </w:p>
    <w:p w:rsidR="00AA1FE6" w:rsidRDefault="0042724E" w:rsidP="00AA1FE6">
      <w:pPr>
        <w:rPr>
          <w:rFonts w:ascii="Arial" w:hAnsi="Arial" w:cs="Arial"/>
          <w:sz w:val="28"/>
          <w:szCs w:val="22"/>
        </w:rPr>
      </w:pPr>
      <w:r>
        <w:rPr>
          <w:rFonts w:ascii="Arial" w:hAnsi="Arial" w:cs="Arial"/>
          <w:sz w:val="28"/>
          <w:szCs w:val="22"/>
        </w:rPr>
        <w:t>4</w:t>
      </w:r>
      <w:r w:rsidR="00AA1FE6" w:rsidRPr="00B00C79">
        <w:rPr>
          <w:rFonts w:ascii="Arial" w:hAnsi="Arial" w:cs="Arial"/>
          <w:sz w:val="28"/>
          <w:szCs w:val="22"/>
        </w:rPr>
        <w:t xml:space="preserve">) </w:t>
      </w:r>
      <w:r w:rsidRPr="0042724E">
        <w:rPr>
          <w:rFonts w:ascii="Arial" w:hAnsi="Arial" w:cs="Arial"/>
          <w:sz w:val="28"/>
          <w:szCs w:val="22"/>
        </w:rPr>
        <w:t>Which vehicle has ex</w:t>
      </w:r>
      <w:bookmarkStart w:id="0" w:name="_GoBack"/>
      <w:bookmarkEnd w:id="0"/>
      <w:r w:rsidRPr="0042724E">
        <w:rPr>
          <w:rFonts w:ascii="Arial" w:hAnsi="Arial" w:cs="Arial"/>
          <w:sz w:val="28"/>
          <w:szCs w:val="22"/>
        </w:rPr>
        <w:t>perience the highest growth % and which the highest decline %, in your own words explain if you t</w:t>
      </w:r>
      <w:r>
        <w:rPr>
          <w:rFonts w:ascii="Arial" w:hAnsi="Arial" w:cs="Arial"/>
          <w:sz w:val="28"/>
          <w:szCs w:val="22"/>
        </w:rPr>
        <w:t xml:space="preserve">hink these trends will continue. </w:t>
      </w:r>
    </w:p>
    <w:p w:rsidR="0042724E" w:rsidRDefault="0042724E" w:rsidP="00AA1FE6">
      <w:pPr>
        <w:rPr>
          <w:rFonts w:ascii="Arial" w:hAnsi="Arial" w:cs="Arial"/>
          <w:sz w:val="28"/>
          <w:szCs w:val="22"/>
        </w:rPr>
      </w:pPr>
    </w:p>
    <w:p w:rsidR="00F637B4" w:rsidRDefault="004A4D79" w:rsidP="00AA1FE6">
      <w:pPr>
        <w:rPr>
          <w:rFonts w:ascii="Arial" w:hAnsi="Arial" w:cs="Arial"/>
          <w:sz w:val="22"/>
          <w:szCs w:val="22"/>
        </w:rPr>
      </w:pPr>
      <w:proofErr w:type="spellStart"/>
      <w:r>
        <w:rPr>
          <w:rFonts w:ascii="Arial" w:hAnsi="Arial" w:cs="Arial"/>
          <w:sz w:val="22"/>
          <w:szCs w:val="22"/>
        </w:rPr>
        <w:t>VideoGaming</w:t>
      </w:r>
      <w:proofErr w:type="spellEnd"/>
      <w:r>
        <w:rPr>
          <w:rFonts w:ascii="Arial" w:hAnsi="Arial" w:cs="Arial"/>
          <w:sz w:val="22"/>
          <w:szCs w:val="22"/>
        </w:rPr>
        <w:t xml:space="preserve"> has seen the biggest decline out of the 6, dropping by 58% from 2014 to 2015. </w:t>
      </w:r>
      <w:r w:rsidR="00872E22">
        <w:rPr>
          <w:rFonts w:ascii="Arial" w:hAnsi="Arial" w:cs="Arial"/>
          <w:sz w:val="22"/>
          <w:szCs w:val="22"/>
        </w:rPr>
        <w:t xml:space="preserve">I believe this trend will continue until a point where it almost stops. Gamers seem to always find ways around ads especially in games, and targeting them specifically usually isn’t the best idea. All of these people would be using search engines and could easily be targeted by search and display ads just the same. </w:t>
      </w:r>
    </w:p>
    <w:p w:rsidR="00872E22" w:rsidRDefault="00872E22" w:rsidP="00AA1FE6">
      <w:pPr>
        <w:rPr>
          <w:rFonts w:ascii="Arial" w:hAnsi="Arial" w:cs="Arial"/>
          <w:sz w:val="22"/>
          <w:szCs w:val="22"/>
        </w:rPr>
      </w:pPr>
    </w:p>
    <w:p w:rsidR="00872E22" w:rsidRPr="00F637B4" w:rsidRDefault="00872E22" w:rsidP="00AA1FE6">
      <w:pPr>
        <w:rPr>
          <w:rFonts w:ascii="Arial" w:hAnsi="Arial" w:cs="Arial"/>
          <w:sz w:val="22"/>
          <w:szCs w:val="22"/>
        </w:rPr>
      </w:pPr>
      <w:r>
        <w:rPr>
          <w:rFonts w:ascii="Arial" w:hAnsi="Arial" w:cs="Arial"/>
          <w:sz w:val="22"/>
          <w:szCs w:val="22"/>
        </w:rPr>
        <w:t>Video has grown the most over 2014 to 2015, growing by 35%. I think this trend will continue into the future because more and more people are using the internet to watch video and stream things. This will only grow more popular as time goes on and the older generation dies/new generations being born into this technology.</w:t>
      </w:r>
    </w:p>
    <w:p w:rsidR="00F637B4" w:rsidRPr="00B00C79" w:rsidRDefault="00F637B4" w:rsidP="00AA1FE6">
      <w:pPr>
        <w:rPr>
          <w:rFonts w:ascii="Arial" w:hAnsi="Arial" w:cs="Arial"/>
          <w:sz w:val="28"/>
          <w:szCs w:val="22"/>
        </w:rPr>
      </w:pPr>
    </w:p>
    <w:p w:rsidR="00AA1FE6" w:rsidRDefault="0042724E" w:rsidP="00AA1FE6">
      <w:pPr>
        <w:rPr>
          <w:rFonts w:ascii="Arial" w:hAnsi="Arial" w:cs="Arial"/>
          <w:sz w:val="28"/>
          <w:szCs w:val="22"/>
        </w:rPr>
      </w:pPr>
      <w:r>
        <w:rPr>
          <w:rFonts w:ascii="Arial" w:hAnsi="Arial" w:cs="Arial"/>
          <w:sz w:val="28"/>
          <w:szCs w:val="22"/>
        </w:rPr>
        <w:t>5</w:t>
      </w:r>
      <w:r w:rsidR="00C96F29" w:rsidRPr="00B00C79">
        <w:rPr>
          <w:rFonts w:ascii="Arial" w:hAnsi="Arial" w:cs="Arial"/>
          <w:sz w:val="28"/>
          <w:szCs w:val="22"/>
        </w:rPr>
        <w:t>) Refer to the Executive Summary – what was the total Ad Rev</w:t>
      </w:r>
      <w:r w:rsidR="0038780D">
        <w:rPr>
          <w:rFonts w:ascii="Arial" w:hAnsi="Arial" w:cs="Arial"/>
          <w:sz w:val="28"/>
          <w:szCs w:val="22"/>
        </w:rPr>
        <w:t>enue increase projected for 2016</w:t>
      </w:r>
      <w:r w:rsidR="00C96F29" w:rsidRPr="00B00C79">
        <w:rPr>
          <w:rFonts w:ascii="Arial" w:hAnsi="Arial" w:cs="Arial"/>
          <w:sz w:val="28"/>
          <w:szCs w:val="22"/>
        </w:rPr>
        <w:t>? In your opinion, is this a fair estimate?</w:t>
      </w:r>
    </w:p>
    <w:p w:rsidR="00D33894" w:rsidRDefault="00D33894" w:rsidP="00AA1FE6">
      <w:pPr>
        <w:rPr>
          <w:rFonts w:ascii="Arial" w:hAnsi="Arial" w:cs="Arial"/>
          <w:sz w:val="28"/>
          <w:szCs w:val="22"/>
        </w:rPr>
      </w:pPr>
    </w:p>
    <w:p w:rsidR="00F637B4" w:rsidRPr="00F637B4" w:rsidRDefault="00E001EB" w:rsidP="00AA1FE6">
      <w:pPr>
        <w:rPr>
          <w:rFonts w:ascii="Arial" w:hAnsi="Arial" w:cs="Arial"/>
          <w:sz w:val="22"/>
          <w:szCs w:val="22"/>
        </w:rPr>
      </w:pPr>
      <w:r>
        <w:rPr>
          <w:rFonts w:ascii="Arial" w:hAnsi="Arial" w:cs="Arial"/>
          <w:sz w:val="22"/>
          <w:szCs w:val="22"/>
        </w:rPr>
        <w:t>The total Ad Revenue increase projected for 2016 by IAB Canada is 21%, to a total of 5.5 Billion. This is a pretty fair estimate in my opinion because of the trends in growth in past years. The Internet is only getting more and more popular as time goes on, people use it for almost everything these days. Being able to access the internet almost anywhere at anytime is helping this grow.</w:t>
      </w:r>
    </w:p>
    <w:p w:rsidR="00D33894" w:rsidRPr="00B00C79" w:rsidRDefault="00D33894" w:rsidP="00AA1FE6">
      <w:pPr>
        <w:rPr>
          <w:rFonts w:ascii="Arial" w:hAnsi="Arial" w:cs="Arial"/>
          <w:sz w:val="28"/>
          <w:szCs w:val="22"/>
        </w:rPr>
      </w:pPr>
    </w:p>
    <w:p w:rsidR="004151F7" w:rsidRPr="00444A75" w:rsidRDefault="004151F7" w:rsidP="00D33894">
      <w:pPr>
        <w:jc w:val="center"/>
        <w:rPr>
          <w:rFonts w:ascii="Calibri Light" w:hAnsi="Calibri Light" w:cs="Arial"/>
          <w:bCs/>
          <w:i/>
          <w:sz w:val="28"/>
        </w:rPr>
      </w:pPr>
      <w:r w:rsidRPr="00444A75">
        <w:rPr>
          <w:rFonts w:ascii="Calibri Light" w:hAnsi="Calibri Light" w:cs="Arial"/>
          <w:b/>
          <w:bCs/>
          <w:i/>
          <w:sz w:val="28"/>
          <w:u w:val="single"/>
        </w:rPr>
        <w:t>NOTE</w:t>
      </w:r>
      <w:r w:rsidRPr="00444A75">
        <w:rPr>
          <w:rFonts w:ascii="Calibri Light" w:hAnsi="Calibri Light" w:cs="Arial"/>
          <w:b/>
          <w:bCs/>
          <w:i/>
          <w:sz w:val="28"/>
        </w:rPr>
        <w:t>:</w:t>
      </w:r>
      <w:r w:rsidRPr="00444A75">
        <w:rPr>
          <w:rFonts w:ascii="Calibri Light" w:hAnsi="Calibri Light" w:cs="Arial"/>
          <w:bCs/>
          <w:i/>
          <w:sz w:val="28"/>
        </w:rPr>
        <w:t xml:space="preserve"> REMEMBER TO USE </w:t>
      </w:r>
      <w:r w:rsidRPr="00444A75">
        <w:rPr>
          <w:rFonts w:ascii="Calibri Light" w:hAnsi="Calibri Light" w:cs="Arial"/>
          <w:b/>
          <w:bCs/>
          <w:i/>
          <w:sz w:val="28"/>
          <w:u w:val="single"/>
        </w:rPr>
        <w:t>APA FORMATTING</w:t>
      </w:r>
      <w:r w:rsidRPr="00444A75">
        <w:rPr>
          <w:rFonts w:ascii="Calibri Light" w:hAnsi="Calibri Light" w:cs="Arial"/>
          <w:bCs/>
          <w:i/>
          <w:sz w:val="28"/>
        </w:rPr>
        <w:t xml:space="preserve">. REFERENCE </w:t>
      </w:r>
      <w:r>
        <w:rPr>
          <w:rFonts w:ascii="Calibri Light" w:hAnsi="Calibri Light" w:cs="Arial"/>
          <w:bCs/>
          <w:i/>
          <w:sz w:val="28"/>
        </w:rPr>
        <w:t xml:space="preserve">LINK </w:t>
      </w:r>
      <w:r w:rsidRPr="00444A75">
        <w:rPr>
          <w:rFonts w:ascii="Calibri Light" w:hAnsi="Calibri Light" w:cs="Arial"/>
          <w:bCs/>
          <w:i/>
          <w:sz w:val="28"/>
        </w:rPr>
        <w:t xml:space="preserve">FOR </w:t>
      </w:r>
      <w:r>
        <w:rPr>
          <w:rFonts w:ascii="Calibri Light" w:hAnsi="Calibri Light" w:cs="Arial"/>
          <w:bCs/>
          <w:i/>
          <w:sz w:val="28"/>
        </w:rPr>
        <w:t>APA</w:t>
      </w:r>
      <w:r w:rsidRPr="00444A75">
        <w:rPr>
          <w:rFonts w:ascii="Calibri Light" w:hAnsi="Calibri Light" w:cs="Arial"/>
          <w:bCs/>
          <w:i/>
          <w:sz w:val="28"/>
        </w:rPr>
        <w:t xml:space="preserve"> IS PROVIDED IN THE </w:t>
      </w:r>
      <w:r w:rsidRPr="00444A75">
        <w:rPr>
          <w:rFonts w:ascii="Calibri Light" w:hAnsi="Calibri Light" w:cs="Arial"/>
          <w:b/>
          <w:bCs/>
          <w:i/>
          <w:sz w:val="28"/>
        </w:rPr>
        <w:t>COURSE INFORMATION</w:t>
      </w:r>
      <w:r w:rsidRPr="00444A75">
        <w:rPr>
          <w:rFonts w:ascii="Calibri Light" w:hAnsi="Calibri Light" w:cs="Arial"/>
          <w:bCs/>
          <w:i/>
          <w:sz w:val="28"/>
        </w:rPr>
        <w:t xml:space="preserve"> TAB IN BLACKBOARD.</w:t>
      </w:r>
    </w:p>
    <w:p w:rsidR="004151F7" w:rsidRPr="005D2F80" w:rsidRDefault="004151F7" w:rsidP="004151F7">
      <w:pPr>
        <w:rPr>
          <w:rFonts w:ascii="Arial" w:hAnsi="Arial" w:cs="Arial"/>
        </w:rPr>
      </w:pPr>
    </w:p>
    <w:p w:rsidR="004151F7" w:rsidRDefault="004151F7" w:rsidP="004151F7">
      <w:pPr>
        <w:rPr>
          <w:rFonts w:ascii="Arial" w:hAnsi="Arial" w:cs="Arial"/>
        </w:rPr>
      </w:pPr>
    </w:p>
    <w:p w:rsidR="004151F7" w:rsidRDefault="004151F7" w:rsidP="004151F7">
      <w:pPr>
        <w:rPr>
          <w:rFonts w:ascii="Arial" w:hAnsi="Arial" w:cs="Arial"/>
        </w:rPr>
      </w:pPr>
    </w:p>
    <w:p w:rsidR="004151F7" w:rsidRDefault="004151F7" w:rsidP="004151F7">
      <w:pPr>
        <w:ind w:left="720"/>
        <w:rPr>
          <w:rFonts w:ascii="Arial" w:hAnsi="Arial" w:cs="Arial"/>
        </w:rPr>
      </w:pPr>
    </w:p>
    <w:p w:rsidR="004151F7" w:rsidRPr="00080313" w:rsidRDefault="004151F7" w:rsidP="004151F7">
      <w:pPr>
        <w:ind w:left="1440"/>
        <w:rPr>
          <w:rFonts w:ascii="Arial" w:hAnsi="Arial" w:cs="Arial"/>
        </w:rPr>
      </w:pPr>
    </w:p>
    <w:p w:rsidR="00777D7C" w:rsidRDefault="0092713B"/>
    <w:sectPr w:rsidR="00777D7C" w:rsidSect="001B3857">
      <w:headerReference w:type="default" r:id="rId9"/>
      <w:pgSz w:w="12240" w:h="15840" w:code="1"/>
      <w:pgMar w:top="1440" w:right="1080" w:bottom="1440" w:left="1080" w:header="432" w:footer="432"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713B" w:rsidRDefault="0092713B" w:rsidP="004151F7">
      <w:r>
        <w:separator/>
      </w:r>
    </w:p>
  </w:endnote>
  <w:endnote w:type="continuationSeparator" w:id="0">
    <w:p w:rsidR="0092713B" w:rsidRDefault="0092713B" w:rsidP="00415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ntinel Book">
    <w:altName w:val="Sentinel Book"/>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713B" w:rsidRDefault="0092713B" w:rsidP="004151F7">
      <w:r>
        <w:separator/>
      </w:r>
    </w:p>
  </w:footnote>
  <w:footnote w:type="continuationSeparator" w:id="0">
    <w:p w:rsidR="0092713B" w:rsidRDefault="0092713B" w:rsidP="004151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782" w:rsidRPr="001F6782" w:rsidRDefault="00083B2F" w:rsidP="001F6782">
    <w:pPr>
      <w:pStyle w:val="Header"/>
      <w:tabs>
        <w:tab w:val="clear" w:pos="8640"/>
        <w:tab w:val="right" w:pos="9240"/>
      </w:tabs>
      <w:rPr>
        <w:rFonts w:ascii="Arial" w:hAnsi="Arial" w:cs="Arial"/>
        <w:sz w:val="20"/>
        <w:szCs w:val="20"/>
      </w:rPr>
    </w:pPr>
    <w:r>
      <w:rPr>
        <w:rFonts w:ascii="Arial" w:hAnsi="Arial" w:cs="Arial"/>
        <w:sz w:val="20"/>
        <w:szCs w:val="20"/>
      </w:rPr>
      <w:t>Week 10 Hybrid</w:t>
    </w:r>
    <w:r>
      <w:rPr>
        <w:rFonts w:ascii="Arial" w:hAnsi="Arial" w:cs="Arial"/>
        <w:sz w:val="20"/>
        <w:szCs w:val="20"/>
      </w:rPr>
      <w:tab/>
    </w:r>
    <w:r>
      <w:rPr>
        <w:rFonts w:ascii="Arial" w:hAnsi="Arial" w:cs="Arial"/>
        <w:sz w:val="20"/>
        <w:szCs w:val="20"/>
      </w:rPr>
      <w:tab/>
      <w:t>MKT 2391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9706B"/>
    <w:multiLevelType w:val="hybridMultilevel"/>
    <w:tmpl w:val="11600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753F87"/>
    <w:multiLevelType w:val="hybridMultilevel"/>
    <w:tmpl w:val="AA3686DC"/>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6E81D11"/>
    <w:multiLevelType w:val="hybridMultilevel"/>
    <w:tmpl w:val="213077B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E223786"/>
    <w:multiLevelType w:val="hybridMultilevel"/>
    <w:tmpl w:val="7AFC779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9C68B506">
      <w:start w:val="2"/>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1F7"/>
    <w:rsid w:val="00083B2F"/>
    <w:rsid w:val="0038780D"/>
    <w:rsid w:val="004151F7"/>
    <w:rsid w:val="0042724E"/>
    <w:rsid w:val="0049694D"/>
    <w:rsid w:val="004A4D79"/>
    <w:rsid w:val="004C2A76"/>
    <w:rsid w:val="0053014A"/>
    <w:rsid w:val="00587D07"/>
    <w:rsid w:val="006132C8"/>
    <w:rsid w:val="00613D00"/>
    <w:rsid w:val="00694DC4"/>
    <w:rsid w:val="006B5575"/>
    <w:rsid w:val="006D25E3"/>
    <w:rsid w:val="00872E22"/>
    <w:rsid w:val="00890C8B"/>
    <w:rsid w:val="0092713B"/>
    <w:rsid w:val="00A0345C"/>
    <w:rsid w:val="00AA1FE6"/>
    <w:rsid w:val="00B00C79"/>
    <w:rsid w:val="00B073B3"/>
    <w:rsid w:val="00BB5CF6"/>
    <w:rsid w:val="00BC3430"/>
    <w:rsid w:val="00BD065F"/>
    <w:rsid w:val="00C37BFC"/>
    <w:rsid w:val="00C96F29"/>
    <w:rsid w:val="00CD2776"/>
    <w:rsid w:val="00D21303"/>
    <w:rsid w:val="00D33894"/>
    <w:rsid w:val="00E001EB"/>
    <w:rsid w:val="00F45EF7"/>
    <w:rsid w:val="00F637B4"/>
    <w:rsid w:val="00FE33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2E717"/>
  <w15:docId w15:val="{61D3AB30-496C-4A45-8238-CC1F14D67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151F7"/>
    <w:pPr>
      <w:spacing w:after="0" w:line="240" w:lineRule="auto"/>
    </w:pPr>
    <w:rPr>
      <w:rFonts w:ascii="Times New Roman" w:eastAsia="Times New Roman" w:hAnsi="Times New Roman" w:cs="Times New Roman"/>
      <w:sz w:val="24"/>
      <w:szCs w:val="24"/>
      <w:lang w:val="en-CA"/>
    </w:rPr>
  </w:style>
  <w:style w:type="paragraph" w:styleId="Heading1">
    <w:name w:val="heading 1"/>
    <w:basedOn w:val="Normal"/>
    <w:next w:val="Normal"/>
    <w:link w:val="Heading1Char"/>
    <w:uiPriority w:val="9"/>
    <w:qFormat/>
    <w:rsid w:val="00A0345C"/>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151F7"/>
    <w:pPr>
      <w:tabs>
        <w:tab w:val="center" w:pos="4320"/>
        <w:tab w:val="right" w:pos="8640"/>
      </w:tabs>
    </w:pPr>
  </w:style>
  <w:style w:type="character" w:customStyle="1" w:styleId="HeaderChar">
    <w:name w:val="Header Char"/>
    <w:basedOn w:val="DefaultParagraphFont"/>
    <w:link w:val="Header"/>
    <w:rsid w:val="004151F7"/>
    <w:rPr>
      <w:rFonts w:ascii="Times New Roman" w:eastAsia="Times New Roman" w:hAnsi="Times New Roman" w:cs="Times New Roman"/>
      <w:sz w:val="24"/>
      <w:szCs w:val="24"/>
      <w:lang w:val="en-CA"/>
    </w:rPr>
  </w:style>
  <w:style w:type="character" w:styleId="Hyperlink">
    <w:name w:val="Hyperlink"/>
    <w:basedOn w:val="DefaultParagraphFont"/>
    <w:uiPriority w:val="99"/>
    <w:unhideWhenUsed/>
    <w:rsid w:val="004151F7"/>
    <w:rPr>
      <w:color w:val="0000FF"/>
      <w:u w:val="single"/>
    </w:rPr>
  </w:style>
  <w:style w:type="character" w:customStyle="1" w:styleId="A6">
    <w:name w:val="A6"/>
    <w:uiPriority w:val="99"/>
    <w:rsid w:val="004151F7"/>
    <w:rPr>
      <w:rFonts w:cs="Sentinel Book"/>
      <w:color w:val="000000"/>
      <w:sz w:val="18"/>
      <w:szCs w:val="18"/>
    </w:rPr>
  </w:style>
  <w:style w:type="paragraph" w:styleId="ListParagraph">
    <w:name w:val="List Paragraph"/>
    <w:basedOn w:val="Normal"/>
    <w:uiPriority w:val="34"/>
    <w:qFormat/>
    <w:rsid w:val="004151F7"/>
    <w:pPr>
      <w:ind w:left="720"/>
      <w:contextualSpacing/>
    </w:pPr>
  </w:style>
  <w:style w:type="paragraph" w:styleId="Title">
    <w:name w:val="Title"/>
    <w:basedOn w:val="Normal"/>
    <w:next w:val="Normal"/>
    <w:link w:val="TitleChar"/>
    <w:uiPriority w:val="10"/>
    <w:qFormat/>
    <w:rsid w:val="004151F7"/>
    <w:pPr>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4151F7"/>
    <w:rPr>
      <w:rFonts w:asciiTheme="majorHAnsi" w:eastAsiaTheme="majorEastAsia" w:hAnsiTheme="majorHAnsi" w:cstheme="majorBidi"/>
      <w:spacing w:val="-10"/>
      <w:kern w:val="28"/>
      <w:sz w:val="56"/>
      <w:szCs w:val="56"/>
    </w:rPr>
  </w:style>
  <w:style w:type="paragraph" w:styleId="Footer">
    <w:name w:val="footer"/>
    <w:basedOn w:val="Normal"/>
    <w:link w:val="FooterChar"/>
    <w:uiPriority w:val="99"/>
    <w:unhideWhenUsed/>
    <w:rsid w:val="004151F7"/>
    <w:pPr>
      <w:tabs>
        <w:tab w:val="center" w:pos="4680"/>
        <w:tab w:val="right" w:pos="9360"/>
      </w:tabs>
    </w:pPr>
  </w:style>
  <w:style w:type="character" w:customStyle="1" w:styleId="FooterChar">
    <w:name w:val="Footer Char"/>
    <w:basedOn w:val="DefaultParagraphFont"/>
    <w:link w:val="Footer"/>
    <w:uiPriority w:val="99"/>
    <w:rsid w:val="004151F7"/>
    <w:rPr>
      <w:rFonts w:ascii="Times New Roman" w:eastAsia="Times New Roman" w:hAnsi="Times New Roman" w:cs="Times New Roman"/>
      <w:sz w:val="24"/>
      <w:szCs w:val="24"/>
      <w:lang w:val="en-CA"/>
    </w:rPr>
  </w:style>
  <w:style w:type="character" w:customStyle="1" w:styleId="Heading1Char">
    <w:name w:val="Heading 1 Char"/>
    <w:basedOn w:val="DefaultParagraphFont"/>
    <w:link w:val="Heading1"/>
    <w:uiPriority w:val="9"/>
    <w:rsid w:val="00A0345C"/>
    <w:rPr>
      <w:rFonts w:asciiTheme="majorHAnsi" w:eastAsiaTheme="majorEastAsia" w:hAnsiTheme="majorHAnsi" w:cstheme="majorBidi"/>
      <w:color w:val="2E74B5" w:themeColor="accent1" w:themeShade="BF"/>
      <w:sz w:val="32"/>
      <w:szCs w:val="32"/>
      <w:lang w:val="en-CA"/>
    </w:rPr>
  </w:style>
  <w:style w:type="table" w:styleId="TableGrid">
    <w:name w:val="Table Grid"/>
    <w:basedOn w:val="TableNormal"/>
    <w:uiPriority w:val="39"/>
    <w:rsid w:val="004969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49694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Spacing">
    <w:name w:val="No Spacing"/>
    <w:link w:val="NoSpacingChar"/>
    <w:uiPriority w:val="1"/>
    <w:qFormat/>
    <w:rsid w:val="00AA1FE6"/>
    <w:pPr>
      <w:spacing w:after="0" w:line="240" w:lineRule="auto"/>
    </w:pPr>
    <w:rPr>
      <w:rFonts w:eastAsiaTheme="minorEastAsia"/>
    </w:rPr>
  </w:style>
  <w:style w:type="character" w:customStyle="1" w:styleId="NoSpacingChar">
    <w:name w:val="No Spacing Char"/>
    <w:basedOn w:val="DefaultParagraphFont"/>
    <w:link w:val="NoSpacing"/>
    <w:uiPriority w:val="1"/>
    <w:rsid w:val="00AA1FE6"/>
    <w:rPr>
      <w:rFonts w:eastAsiaTheme="minorEastAsia"/>
    </w:rPr>
  </w:style>
  <w:style w:type="character" w:styleId="FollowedHyperlink">
    <w:name w:val="FollowedHyperlink"/>
    <w:basedOn w:val="DefaultParagraphFont"/>
    <w:uiPriority w:val="99"/>
    <w:semiHidden/>
    <w:unhideWhenUsed/>
    <w:rsid w:val="00BC34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83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abcanada.com/annual-internet-advertising-revenue-reports/"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546</Words>
  <Characters>3113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Algonquin College</Company>
  <LinksUpToDate>false</LinksUpToDate>
  <CharactersWithSpaces>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Erin Sparks</dc:creator>
  <cp:lastModifiedBy>Broon</cp:lastModifiedBy>
  <cp:revision>2</cp:revision>
  <dcterms:created xsi:type="dcterms:W3CDTF">2016-11-08T01:33:00Z</dcterms:created>
  <dcterms:modified xsi:type="dcterms:W3CDTF">2016-11-08T01:33:00Z</dcterms:modified>
</cp:coreProperties>
</file>