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501F" w14:textId="1D7CB804" w:rsidR="00043B35" w:rsidRDefault="00D35666" w:rsidP="006222B0">
      <w:pPr>
        <w:spacing w:after="0" w:line="240" w:lineRule="auto"/>
        <w:contextualSpacing/>
        <w:jc w:val="center"/>
        <w:rPr>
          <w:rFonts w:ascii="Bookman Old Style" w:hAnsi="Bookman Old Style"/>
          <w:b/>
          <w:sz w:val="24"/>
          <w:u w:val="single"/>
        </w:rPr>
      </w:pPr>
      <w:r>
        <w:rPr>
          <w:rFonts w:ascii="Bookman Old Style" w:hAnsi="Bookman Old Style"/>
          <w:b/>
          <w:sz w:val="24"/>
          <w:u w:val="single"/>
        </w:rPr>
        <w:t xml:space="preserve">CHAPTER </w:t>
      </w:r>
      <w:r w:rsidR="009F5499">
        <w:rPr>
          <w:rFonts w:ascii="Bookman Old Style" w:hAnsi="Bookman Old Style"/>
          <w:b/>
          <w:sz w:val="24"/>
          <w:u w:val="single"/>
        </w:rPr>
        <w:t>15</w:t>
      </w:r>
    </w:p>
    <w:p w14:paraId="4503D167" w14:textId="1AE17DBC" w:rsidR="00552AF2" w:rsidRDefault="00652162" w:rsidP="006222B0">
      <w:pPr>
        <w:spacing w:after="0" w:line="240" w:lineRule="auto"/>
        <w:contextualSpacing/>
        <w:jc w:val="center"/>
        <w:rPr>
          <w:rFonts w:ascii="Bookman Old Style" w:hAnsi="Bookman Old Style"/>
          <w:b/>
          <w:sz w:val="24"/>
          <w:u w:val="single"/>
        </w:rPr>
      </w:pPr>
      <w:r>
        <w:rPr>
          <w:rFonts w:ascii="Bookman Old Style" w:hAnsi="Bookman Old Style"/>
          <w:b/>
          <w:sz w:val="24"/>
          <w:u w:val="single"/>
        </w:rPr>
        <w:t xml:space="preserve"> Raising </w:t>
      </w:r>
      <w:r w:rsidR="009F5499">
        <w:rPr>
          <w:rFonts w:ascii="Bookman Old Style" w:hAnsi="Bookman Old Style"/>
          <w:b/>
          <w:sz w:val="24"/>
          <w:u w:val="single"/>
        </w:rPr>
        <w:t>Capital</w:t>
      </w:r>
    </w:p>
    <w:p w14:paraId="079BC757" w14:textId="77777777" w:rsidR="009F5499" w:rsidRDefault="009F5499" w:rsidP="006222B0">
      <w:pPr>
        <w:spacing w:after="0" w:line="240" w:lineRule="auto"/>
        <w:contextualSpacing/>
        <w:jc w:val="center"/>
        <w:rPr>
          <w:rFonts w:ascii="Bookman Old Style" w:hAnsi="Bookman Old Style"/>
          <w:b/>
          <w:sz w:val="24"/>
          <w:u w:val="single"/>
        </w:rPr>
      </w:pPr>
    </w:p>
    <w:p w14:paraId="7E3B12DE" w14:textId="77292A24" w:rsidR="009F5499" w:rsidRDefault="009F5499" w:rsidP="006222B0">
      <w:pPr>
        <w:spacing w:after="0" w:line="240" w:lineRule="auto"/>
        <w:contextualSpacing/>
        <w:jc w:val="both"/>
        <w:rPr>
          <w:rFonts w:ascii="Bookman Old Style" w:hAnsi="Bookman Old Style"/>
        </w:rPr>
      </w:pPr>
      <w:r>
        <w:rPr>
          <w:rFonts w:ascii="Bookman Old Style" w:hAnsi="Bookman Old Style"/>
        </w:rPr>
        <w:t xml:space="preserve">All firms, at one point or another, have to obtain capital. To do this, they either </w:t>
      </w:r>
      <w:r>
        <w:rPr>
          <w:rFonts w:ascii="Bookman Old Style" w:hAnsi="Bookman Old Style"/>
          <w:u w:val="single"/>
        </w:rPr>
        <w:t>borrow</w:t>
      </w:r>
      <w:r>
        <w:rPr>
          <w:rFonts w:ascii="Bookman Old Style" w:hAnsi="Bookman Old Style"/>
        </w:rPr>
        <w:t xml:space="preserve"> the money (</w:t>
      </w:r>
      <w:r>
        <w:rPr>
          <w:rFonts w:ascii="Bookman Old Style" w:hAnsi="Bookman Old Style"/>
          <w:b/>
          <w:i/>
        </w:rPr>
        <w:t>debt financing</w:t>
      </w:r>
      <w:r>
        <w:rPr>
          <w:rFonts w:ascii="Bookman Old Style" w:hAnsi="Bookman Old Style"/>
        </w:rPr>
        <w:t>)</w:t>
      </w:r>
      <w:proofErr w:type="gramStart"/>
      <w:r>
        <w:rPr>
          <w:rFonts w:ascii="Bookman Old Style" w:hAnsi="Bookman Old Style"/>
        </w:rPr>
        <w:t>,</w:t>
      </w:r>
      <w:proofErr w:type="gramEnd"/>
      <w:r>
        <w:rPr>
          <w:rFonts w:ascii="Bookman Old Style" w:hAnsi="Bookman Old Style"/>
        </w:rPr>
        <w:t xml:space="preserve"> </w:t>
      </w:r>
      <w:r w:rsidRPr="009F5499">
        <w:rPr>
          <w:rFonts w:ascii="Bookman Old Style" w:hAnsi="Bookman Old Style"/>
          <w:u w:val="single"/>
        </w:rPr>
        <w:t xml:space="preserve">sell a portion </w:t>
      </w:r>
      <w:r>
        <w:rPr>
          <w:rFonts w:ascii="Bookman Old Style" w:hAnsi="Bookman Old Style"/>
        </w:rPr>
        <w:t>of the firm (</w:t>
      </w:r>
      <w:r>
        <w:rPr>
          <w:rFonts w:ascii="Bookman Old Style" w:hAnsi="Bookman Old Style"/>
          <w:b/>
          <w:i/>
        </w:rPr>
        <w:t>equity financing</w:t>
      </w:r>
      <w:r>
        <w:rPr>
          <w:rFonts w:ascii="Bookman Old Style" w:hAnsi="Bookman Old Style"/>
        </w:rPr>
        <w:t>) or both.</w:t>
      </w:r>
    </w:p>
    <w:p w14:paraId="4C947A6B" w14:textId="77777777" w:rsidR="009F5499" w:rsidRDefault="009F5499" w:rsidP="006222B0">
      <w:pPr>
        <w:spacing w:after="0" w:line="240" w:lineRule="auto"/>
        <w:contextualSpacing/>
        <w:jc w:val="both"/>
        <w:rPr>
          <w:rFonts w:ascii="Bookman Old Style" w:hAnsi="Bookman Old Style"/>
        </w:rPr>
      </w:pPr>
    </w:p>
    <w:p w14:paraId="1F9F8BFA" w14:textId="77777777" w:rsidR="009F5499" w:rsidRDefault="009F5499" w:rsidP="006222B0">
      <w:pPr>
        <w:spacing w:after="0" w:line="240" w:lineRule="auto"/>
        <w:contextualSpacing/>
        <w:jc w:val="both"/>
        <w:rPr>
          <w:rFonts w:ascii="Bookman Old Style" w:hAnsi="Bookman Old Style"/>
        </w:rPr>
      </w:pPr>
      <w:r>
        <w:rPr>
          <w:rFonts w:ascii="Bookman Old Style" w:hAnsi="Bookman Old Style"/>
        </w:rPr>
        <w:t>How a firm decides to raise capital depends mainly on:</w:t>
      </w:r>
    </w:p>
    <w:p w14:paraId="0483907D" w14:textId="3A5F1519" w:rsidR="009F5499" w:rsidRPr="009F5499" w:rsidRDefault="009F5499" w:rsidP="006222B0">
      <w:pPr>
        <w:pStyle w:val="ListParagraph"/>
        <w:numPr>
          <w:ilvl w:val="0"/>
          <w:numId w:val="13"/>
        </w:numPr>
        <w:spacing w:after="0" w:line="240" w:lineRule="auto"/>
        <w:jc w:val="both"/>
        <w:rPr>
          <w:rFonts w:ascii="Bookman Old Style" w:hAnsi="Bookman Old Style"/>
        </w:rPr>
      </w:pPr>
      <w:r w:rsidRPr="009F5499">
        <w:rPr>
          <w:rFonts w:ascii="Bookman Old Style" w:hAnsi="Bookman Old Style"/>
        </w:rPr>
        <w:t>The size of the firm</w:t>
      </w:r>
    </w:p>
    <w:p w14:paraId="55426BFB" w14:textId="77777777" w:rsidR="009F5499" w:rsidRDefault="009F5499" w:rsidP="006222B0">
      <w:pPr>
        <w:pStyle w:val="ListParagraph"/>
        <w:numPr>
          <w:ilvl w:val="0"/>
          <w:numId w:val="13"/>
        </w:numPr>
        <w:spacing w:after="0" w:line="240" w:lineRule="auto"/>
        <w:jc w:val="both"/>
        <w:rPr>
          <w:rFonts w:ascii="Bookman Old Style" w:hAnsi="Bookman Old Style"/>
        </w:rPr>
      </w:pPr>
      <w:r>
        <w:rPr>
          <w:rFonts w:ascii="Bookman Old Style" w:hAnsi="Bookman Old Style"/>
        </w:rPr>
        <w:t>I</w:t>
      </w:r>
      <w:r w:rsidRPr="009F5499">
        <w:rPr>
          <w:rFonts w:ascii="Bookman Old Style" w:hAnsi="Bookman Old Style"/>
        </w:rPr>
        <w:t xml:space="preserve">ts life cycle </w:t>
      </w:r>
    </w:p>
    <w:p w14:paraId="0142AE07" w14:textId="00E80140" w:rsidR="009F5499" w:rsidRDefault="009F5499" w:rsidP="006222B0">
      <w:pPr>
        <w:pStyle w:val="ListParagraph"/>
        <w:numPr>
          <w:ilvl w:val="0"/>
          <w:numId w:val="13"/>
        </w:numPr>
        <w:spacing w:after="0" w:line="240" w:lineRule="auto"/>
        <w:jc w:val="both"/>
        <w:rPr>
          <w:rFonts w:ascii="Bookman Old Style" w:hAnsi="Bookman Old Style"/>
        </w:rPr>
      </w:pPr>
      <w:r>
        <w:rPr>
          <w:rFonts w:ascii="Bookman Old Style" w:hAnsi="Bookman Old Style"/>
        </w:rPr>
        <w:t>Its growth prospects</w:t>
      </w:r>
    </w:p>
    <w:p w14:paraId="6316E8A6" w14:textId="77777777" w:rsidR="009F5499" w:rsidRDefault="009F5499" w:rsidP="006222B0">
      <w:pPr>
        <w:spacing w:after="0" w:line="240" w:lineRule="auto"/>
        <w:jc w:val="both"/>
        <w:rPr>
          <w:rFonts w:ascii="Bookman Old Style" w:hAnsi="Bookman Old Style"/>
        </w:rPr>
      </w:pPr>
    </w:p>
    <w:p w14:paraId="7F5E84C9" w14:textId="2650B474" w:rsidR="009F5499" w:rsidRDefault="009F5499" w:rsidP="006222B0">
      <w:pPr>
        <w:spacing w:after="0" w:line="240" w:lineRule="auto"/>
        <w:jc w:val="both"/>
        <w:rPr>
          <w:rFonts w:ascii="Bookman Old Style" w:hAnsi="Bookman Old Style"/>
        </w:rPr>
      </w:pPr>
      <w:r>
        <w:rPr>
          <w:rFonts w:ascii="Bookman Old Style" w:hAnsi="Bookman Old Style"/>
        </w:rPr>
        <w:t>We start by looking at companies in the early stages of their lives and how important venture capital is for these firms. Then we look at the process of going public and the role that investment banks play.</w:t>
      </w:r>
    </w:p>
    <w:p w14:paraId="68191BE9" w14:textId="77777777" w:rsidR="009F5499" w:rsidRDefault="009F5499" w:rsidP="006222B0">
      <w:pPr>
        <w:spacing w:after="0" w:line="240" w:lineRule="auto"/>
        <w:jc w:val="both"/>
        <w:rPr>
          <w:rFonts w:ascii="Bookman Old Style" w:hAnsi="Bookman Old Style"/>
        </w:rPr>
      </w:pPr>
    </w:p>
    <w:p w14:paraId="012794D2" w14:textId="77777777" w:rsidR="009F5499" w:rsidRDefault="009F5499" w:rsidP="006222B0">
      <w:pPr>
        <w:spacing w:after="0" w:line="240" w:lineRule="auto"/>
        <w:jc w:val="center"/>
        <w:rPr>
          <w:rFonts w:ascii="Bookman Old Style" w:hAnsi="Bookman Old Style"/>
        </w:rPr>
      </w:pPr>
    </w:p>
    <w:p w14:paraId="6684E51F" w14:textId="5178EF85" w:rsidR="009F5499" w:rsidRDefault="006222B0" w:rsidP="006222B0">
      <w:pPr>
        <w:spacing w:after="0" w:line="240" w:lineRule="auto"/>
        <w:jc w:val="center"/>
        <w:rPr>
          <w:rFonts w:ascii="Bookman Old Style" w:hAnsi="Bookman Old Style"/>
          <w:b/>
          <w:u w:val="single"/>
        </w:rPr>
      </w:pPr>
      <w:r>
        <w:rPr>
          <w:rFonts w:ascii="Bookman Old Style" w:hAnsi="Bookman Old Style"/>
          <w:b/>
          <w:u w:val="single"/>
        </w:rPr>
        <w:t>THE FINANCING</w:t>
      </w:r>
      <w:r w:rsidR="009F5499">
        <w:rPr>
          <w:rFonts w:ascii="Bookman Old Style" w:hAnsi="Bookman Old Style"/>
          <w:b/>
          <w:u w:val="single"/>
        </w:rPr>
        <w:t xml:space="preserve"> LIFE CYCLE OF A FIRM:</w:t>
      </w:r>
    </w:p>
    <w:p w14:paraId="622AA66C" w14:textId="2F60B58A" w:rsidR="009F5499" w:rsidRPr="009F5499" w:rsidRDefault="009F5499" w:rsidP="006222B0">
      <w:pPr>
        <w:spacing w:after="0" w:line="240" w:lineRule="auto"/>
        <w:jc w:val="center"/>
        <w:rPr>
          <w:rFonts w:ascii="Bookman Old Style" w:hAnsi="Bookman Old Style"/>
          <w:b/>
          <w:u w:val="single"/>
        </w:rPr>
      </w:pPr>
      <w:r>
        <w:rPr>
          <w:rFonts w:ascii="Bookman Old Style" w:hAnsi="Bookman Old Style"/>
          <w:b/>
          <w:u w:val="single"/>
        </w:rPr>
        <w:t>EARLY-STAGE FINANCING &amp; VENTURE CAPITAL</w:t>
      </w:r>
    </w:p>
    <w:p w14:paraId="3B4FCCAE" w14:textId="77777777" w:rsidR="009F5499" w:rsidRDefault="009F5499" w:rsidP="006222B0">
      <w:pPr>
        <w:spacing w:after="0" w:line="240" w:lineRule="auto"/>
        <w:contextualSpacing/>
        <w:jc w:val="both"/>
        <w:rPr>
          <w:rFonts w:ascii="Bookman Old Style" w:hAnsi="Bookman Old Style"/>
        </w:rPr>
      </w:pPr>
    </w:p>
    <w:p w14:paraId="2C213C3C" w14:textId="30CDA452" w:rsidR="009F5499" w:rsidRDefault="009F5499" w:rsidP="006222B0">
      <w:pPr>
        <w:spacing w:after="0" w:line="240" w:lineRule="auto"/>
        <w:contextualSpacing/>
        <w:jc w:val="both"/>
        <w:rPr>
          <w:rFonts w:ascii="Bookman Old Style" w:hAnsi="Bookman Old Style"/>
        </w:rPr>
      </w:pPr>
      <w:r>
        <w:rPr>
          <w:rFonts w:ascii="Bookman Old Style" w:hAnsi="Bookman Old Style"/>
        </w:rPr>
        <w:t xml:space="preserve">You &amp; a friend have a great idea for a new GPS – you call it “Hands Free Device” – but to develop the product from an idea to a working product, you need to hire programmers, buy a GPS device, </w:t>
      </w:r>
      <w:proofErr w:type="gramStart"/>
      <w:r>
        <w:rPr>
          <w:rFonts w:ascii="Bookman Old Style" w:hAnsi="Bookman Old Style"/>
        </w:rPr>
        <w:t>hire</w:t>
      </w:r>
      <w:proofErr w:type="gramEnd"/>
      <w:r>
        <w:rPr>
          <w:rFonts w:ascii="Bookman Old Style" w:hAnsi="Bookman Old Style"/>
        </w:rPr>
        <w:t xml:space="preserve"> an automobile expert and so on.</w:t>
      </w:r>
    </w:p>
    <w:p w14:paraId="622B439C" w14:textId="77777777" w:rsidR="009F5499" w:rsidRDefault="009F5499" w:rsidP="006222B0">
      <w:pPr>
        <w:spacing w:after="0" w:line="240" w:lineRule="auto"/>
        <w:contextualSpacing/>
        <w:jc w:val="both"/>
        <w:rPr>
          <w:rFonts w:ascii="Bookman Old Style" w:hAnsi="Bookman Old Style"/>
        </w:rPr>
      </w:pPr>
    </w:p>
    <w:p w14:paraId="5C259FCD" w14:textId="170C9180" w:rsidR="009F5499" w:rsidRDefault="009F5499" w:rsidP="006222B0">
      <w:pPr>
        <w:spacing w:after="0" w:line="240" w:lineRule="auto"/>
        <w:contextualSpacing/>
        <w:jc w:val="both"/>
        <w:rPr>
          <w:rFonts w:ascii="Bookman Old Style" w:hAnsi="Bookman Old Style"/>
        </w:rPr>
      </w:pPr>
      <w:r>
        <w:rPr>
          <w:rFonts w:ascii="Bookman Old Style" w:hAnsi="Bookman Old Style"/>
        </w:rPr>
        <w:t>But you’re both University students and your combined assets aren’t enough to cover a start-up company – so you need OPM (other people’s money).</w:t>
      </w:r>
    </w:p>
    <w:p w14:paraId="4B51AAA6" w14:textId="77777777" w:rsidR="009F5499" w:rsidRDefault="009F5499" w:rsidP="006222B0">
      <w:pPr>
        <w:spacing w:after="0" w:line="240" w:lineRule="auto"/>
        <w:contextualSpacing/>
        <w:jc w:val="both"/>
        <w:rPr>
          <w:rFonts w:ascii="Bookman Old Style" w:hAnsi="Bookman Old Style"/>
        </w:rPr>
      </w:pPr>
    </w:p>
    <w:p w14:paraId="5836A441" w14:textId="67CA28F5" w:rsidR="009F5499" w:rsidRDefault="009F5499" w:rsidP="006222B0">
      <w:pPr>
        <w:spacing w:after="0" w:line="240" w:lineRule="auto"/>
        <w:contextualSpacing/>
        <w:jc w:val="both"/>
        <w:rPr>
          <w:rFonts w:ascii="Bookman Old Style" w:hAnsi="Bookman Old Style"/>
        </w:rPr>
      </w:pPr>
      <w:r>
        <w:rPr>
          <w:rFonts w:ascii="Bookman Old Style" w:hAnsi="Bookman Old Style"/>
        </w:rPr>
        <w:t xml:space="preserve">You think of approaching a bank – but banks aren’t usually interested in making </w:t>
      </w:r>
      <w:proofErr w:type="gramStart"/>
      <w:r>
        <w:rPr>
          <w:rFonts w:ascii="Bookman Old Style" w:hAnsi="Bookman Old Style"/>
        </w:rPr>
        <w:t>loans</w:t>
      </w:r>
      <w:proofErr w:type="gramEnd"/>
      <w:r>
        <w:rPr>
          <w:rFonts w:ascii="Bookman Old Style" w:hAnsi="Bookman Old Style"/>
        </w:rPr>
        <w:t xml:space="preserve"> to start-up companies with no assets (other than an idea) and with no track record.</w:t>
      </w:r>
    </w:p>
    <w:p w14:paraId="39400344" w14:textId="77777777" w:rsidR="009F5499" w:rsidRDefault="009F5499" w:rsidP="006222B0">
      <w:pPr>
        <w:spacing w:after="0" w:line="240" w:lineRule="auto"/>
        <w:contextualSpacing/>
        <w:jc w:val="both"/>
        <w:rPr>
          <w:rFonts w:ascii="Bookman Old Style" w:hAnsi="Bookman Old Style"/>
        </w:rPr>
      </w:pPr>
    </w:p>
    <w:p w14:paraId="5192365D" w14:textId="50BB0279" w:rsidR="009F5499" w:rsidRDefault="009F5499" w:rsidP="006222B0">
      <w:pPr>
        <w:spacing w:after="0" w:line="240" w:lineRule="auto"/>
        <w:contextualSpacing/>
        <w:jc w:val="both"/>
        <w:rPr>
          <w:rFonts w:ascii="Bookman Old Style" w:hAnsi="Bookman Old Style"/>
        </w:rPr>
      </w:pPr>
      <w:r>
        <w:rPr>
          <w:rFonts w:ascii="Bookman Old Style" w:hAnsi="Bookman Old Style"/>
        </w:rPr>
        <w:t>You have to search for capital to use that will likely lead to your own wealth. You can borrow, but if more money needs to be raised, the next step would lead you to the venture capital market.</w:t>
      </w:r>
    </w:p>
    <w:p w14:paraId="4254F800" w14:textId="77777777" w:rsidR="009F5499" w:rsidRDefault="009F5499" w:rsidP="006222B0">
      <w:pPr>
        <w:spacing w:after="0" w:line="240" w:lineRule="auto"/>
        <w:contextualSpacing/>
        <w:jc w:val="both"/>
        <w:rPr>
          <w:rFonts w:ascii="Bookman Old Style" w:hAnsi="Bookman Old Style"/>
        </w:rPr>
      </w:pPr>
    </w:p>
    <w:p w14:paraId="315ABA11" w14:textId="77777777" w:rsidR="009F5499" w:rsidRDefault="009F5499" w:rsidP="006222B0">
      <w:pPr>
        <w:spacing w:after="0" w:line="240" w:lineRule="auto"/>
        <w:contextualSpacing/>
        <w:jc w:val="both"/>
        <w:rPr>
          <w:rFonts w:ascii="Bookman Old Style" w:hAnsi="Bookman Old Style"/>
        </w:rPr>
      </w:pPr>
    </w:p>
    <w:p w14:paraId="00A0FD6A" w14:textId="4E1C0425" w:rsidR="009F5499" w:rsidRDefault="009F5499" w:rsidP="006222B0">
      <w:pPr>
        <w:spacing w:after="0" w:line="240" w:lineRule="auto"/>
        <w:contextualSpacing/>
        <w:jc w:val="both"/>
        <w:rPr>
          <w:rFonts w:ascii="Bookman Old Style" w:hAnsi="Bookman Old Style"/>
          <w:b/>
          <w:u w:val="single"/>
        </w:rPr>
      </w:pPr>
      <w:r>
        <w:rPr>
          <w:rFonts w:ascii="Bookman Old Style" w:hAnsi="Bookman Old Style"/>
          <w:b/>
          <w:u w:val="single"/>
        </w:rPr>
        <w:t>VENTURE CAPITAL</w:t>
      </w:r>
    </w:p>
    <w:p w14:paraId="3B2679D0" w14:textId="08D7D778" w:rsidR="009F5499" w:rsidRDefault="009F5499" w:rsidP="006222B0">
      <w:pPr>
        <w:spacing w:after="0" w:line="240" w:lineRule="auto"/>
        <w:contextualSpacing/>
        <w:jc w:val="both"/>
        <w:rPr>
          <w:rFonts w:ascii="Bookman Old Style" w:hAnsi="Bookman Old Style"/>
        </w:rPr>
      </w:pPr>
      <w:r>
        <w:rPr>
          <w:rFonts w:ascii="Bookman Old Style" w:hAnsi="Bookman Old Style"/>
        </w:rPr>
        <w:t>Venture capital doesn’t have an exact meaning, but it generally refers to financing for new, usually high-risk, ventures. Before they went public, RIM &amp; Apple were financed by venture capital.</w:t>
      </w:r>
    </w:p>
    <w:p w14:paraId="7F2D530B" w14:textId="77777777" w:rsidR="009F5499" w:rsidRDefault="009F5499" w:rsidP="006222B0">
      <w:pPr>
        <w:spacing w:after="0" w:line="240" w:lineRule="auto"/>
        <w:contextualSpacing/>
        <w:jc w:val="both"/>
        <w:rPr>
          <w:rFonts w:ascii="Bookman Old Style" w:hAnsi="Bookman Old Style"/>
        </w:rPr>
      </w:pPr>
    </w:p>
    <w:tbl>
      <w:tblPr>
        <w:tblStyle w:val="TableGrid"/>
        <w:tblW w:w="0" w:type="auto"/>
        <w:jc w:val="center"/>
        <w:tblInd w:w="2518" w:type="dxa"/>
        <w:tblBorders>
          <w:top w:val="thickThinLargeGap" w:sz="24" w:space="0" w:color="auto"/>
          <w:left w:val="thickThinLargeGap" w:sz="24" w:space="0" w:color="auto"/>
          <w:bottom w:val="thinThickLargeGap" w:sz="24" w:space="0" w:color="auto"/>
          <w:right w:val="thinThickLargeGap" w:sz="24" w:space="0" w:color="auto"/>
          <w:insideH w:val="none" w:sz="0" w:space="0" w:color="auto"/>
          <w:insideV w:val="none" w:sz="0" w:space="0" w:color="auto"/>
        </w:tblBorders>
        <w:tblLook w:val="04A0" w:firstRow="1" w:lastRow="0" w:firstColumn="1" w:lastColumn="0" w:noHBand="0" w:noVBand="1"/>
      </w:tblPr>
      <w:tblGrid>
        <w:gridCol w:w="7058"/>
      </w:tblGrid>
      <w:tr w:rsidR="009F5499" w14:paraId="40059BE3" w14:textId="77777777" w:rsidTr="009F5499">
        <w:trPr>
          <w:jc w:val="center"/>
        </w:trPr>
        <w:tc>
          <w:tcPr>
            <w:tcW w:w="7058" w:type="dxa"/>
          </w:tcPr>
          <w:p w14:paraId="323A2F67" w14:textId="77777777" w:rsidR="009F5499" w:rsidRDefault="009F5499" w:rsidP="006222B0">
            <w:pPr>
              <w:contextualSpacing/>
              <w:jc w:val="both"/>
              <w:rPr>
                <w:rFonts w:ascii="Bookman Old Style" w:hAnsi="Bookman Old Style"/>
              </w:rPr>
            </w:pPr>
          </w:p>
          <w:p w14:paraId="7D395762" w14:textId="3F8877BA" w:rsidR="009F5499" w:rsidRPr="009F5499" w:rsidRDefault="009F5499" w:rsidP="006222B0">
            <w:pPr>
              <w:contextualSpacing/>
              <w:jc w:val="both"/>
              <w:rPr>
                <w:rFonts w:ascii="Bookman Old Style" w:hAnsi="Bookman Old Style"/>
              </w:rPr>
            </w:pPr>
            <w:r>
              <w:rPr>
                <w:rFonts w:ascii="Bookman Old Style" w:hAnsi="Bookman Old Style"/>
                <w:b/>
              </w:rPr>
              <w:t>Venture Capital</w:t>
            </w:r>
            <w:r>
              <w:rPr>
                <w:rFonts w:ascii="Bookman Old Style" w:hAnsi="Bookman Old Style"/>
              </w:rPr>
              <w:t xml:space="preserve"> – Financing for new, often high-risk ventures</w:t>
            </w:r>
          </w:p>
          <w:p w14:paraId="63940160" w14:textId="77777777" w:rsidR="009F5499" w:rsidRDefault="009F5499" w:rsidP="006222B0">
            <w:pPr>
              <w:contextualSpacing/>
              <w:jc w:val="both"/>
              <w:rPr>
                <w:rFonts w:ascii="Bookman Old Style" w:hAnsi="Bookman Old Style"/>
              </w:rPr>
            </w:pPr>
          </w:p>
        </w:tc>
      </w:tr>
    </w:tbl>
    <w:p w14:paraId="5B71BD7B" w14:textId="77777777" w:rsidR="009F5499" w:rsidRPr="009F5499" w:rsidRDefault="009F5499" w:rsidP="006222B0">
      <w:pPr>
        <w:spacing w:after="0" w:line="240" w:lineRule="auto"/>
        <w:contextualSpacing/>
        <w:jc w:val="both"/>
        <w:rPr>
          <w:rFonts w:ascii="Bookman Old Style" w:hAnsi="Bookman Old Style"/>
        </w:rPr>
      </w:pPr>
    </w:p>
    <w:p w14:paraId="4DAD8FCA" w14:textId="0F367876" w:rsidR="00241C2C" w:rsidRDefault="00646C7D" w:rsidP="006222B0">
      <w:pPr>
        <w:spacing w:after="0" w:line="240" w:lineRule="auto"/>
        <w:contextualSpacing/>
        <w:jc w:val="both"/>
        <w:rPr>
          <w:rFonts w:ascii="Bookman Old Style" w:hAnsi="Bookman Old Style"/>
        </w:rPr>
      </w:pPr>
      <w:r w:rsidRPr="00646C7D">
        <w:rPr>
          <w:rFonts w:ascii="Bookman Old Style" w:hAnsi="Bookman Old Style"/>
          <w:u w:val="single"/>
        </w:rPr>
        <w:t>Individual venture capitalists</w:t>
      </w:r>
      <w:r>
        <w:rPr>
          <w:rFonts w:ascii="Bookman Old Style" w:hAnsi="Bookman Old Style"/>
        </w:rPr>
        <w:t xml:space="preserve"> invest their own money; but they usually specialize in smaller deals.</w:t>
      </w:r>
    </w:p>
    <w:p w14:paraId="0F3F6C9D" w14:textId="77777777" w:rsidR="00646C7D" w:rsidRDefault="00646C7D" w:rsidP="006222B0">
      <w:pPr>
        <w:spacing w:after="0" w:line="240" w:lineRule="auto"/>
        <w:contextualSpacing/>
        <w:jc w:val="both"/>
        <w:rPr>
          <w:rFonts w:ascii="Bookman Old Style" w:hAnsi="Bookman Old Style"/>
        </w:rPr>
      </w:pPr>
    </w:p>
    <w:p w14:paraId="0A86B2E5" w14:textId="77777777" w:rsidR="00646C7D" w:rsidRDefault="00646C7D" w:rsidP="006222B0">
      <w:pPr>
        <w:spacing w:after="0" w:line="240" w:lineRule="auto"/>
        <w:contextualSpacing/>
        <w:jc w:val="both"/>
        <w:rPr>
          <w:rFonts w:ascii="Bookman Old Style" w:hAnsi="Bookman Old Style"/>
        </w:rPr>
      </w:pPr>
      <w:r w:rsidRPr="00646C7D">
        <w:rPr>
          <w:rFonts w:ascii="Bookman Old Style" w:hAnsi="Bookman Old Style"/>
          <w:u w:val="single"/>
        </w:rPr>
        <w:t>Venture capital firms</w:t>
      </w:r>
      <w:r>
        <w:rPr>
          <w:rFonts w:ascii="Bookman Old Style" w:hAnsi="Bookman Old Style"/>
        </w:rPr>
        <w:t xml:space="preserve"> specialize in pooling funds from different sources and investing them. </w:t>
      </w:r>
    </w:p>
    <w:p w14:paraId="37B80DE6" w14:textId="6C89B4CF" w:rsidR="00646C7D" w:rsidRDefault="00646C7D" w:rsidP="006222B0">
      <w:pPr>
        <w:spacing w:after="0" w:line="240" w:lineRule="auto"/>
        <w:contextualSpacing/>
        <w:jc w:val="both"/>
        <w:rPr>
          <w:rFonts w:ascii="Bookman Old Style" w:hAnsi="Bookman Old Style"/>
        </w:rPr>
      </w:pPr>
      <w:r>
        <w:rPr>
          <w:rFonts w:ascii="Bookman Old Style" w:hAnsi="Bookman Old Style"/>
        </w:rPr>
        <w:lastRenderedPageBreak/>
        <w:t>The underlying sources of funds for these firms include:</w:t>
      </w:r>
    </w:p>
    <w:p w14:paraId="4A7749BA" w14:textId="6E88DAAA" w:rsidR="00646C7D" w:rsidRPr="00646C7D" w:rsidRDefault="00646C7D" w:rsidP="006222B0">
      <w:pPr>
        <w:pStyle w:val="ListParagraph"/>
        <w:numPr>
          <w:ilvl w:val="0"/>
          <w:numId w:val="14"/>
        </w:numPr>
        <w:spacing w:after="0" w:line="240" w:lineRule="auto"/>
        <w:jc w:val="both"/>
        <w:rPr>
          <w:rFonts w:ascii="Bookman Old Style" w:hAnsi="Bookman Old Style"/>
        </w:rPr>
      </w:pPr>
      <w:r w:rsidRPr="00646C7D">
        <w:rPr>
          <w:rFonts w:ascii="Bookman Old Style" w:hAnsi="Bookman Old Style"/>
        </w:rPr>
        <w:t>Individuals</w:t>
      </w:r>
    </w:p>
    <w:p w14:paraId="0C9C0A45" w14:textId="21B39066" w:rsidR="00646C7D" w:rsidRDefault="00646C7D" w:rsidP="006222B0">
      <w:pPr>
        <w:pStyle w:val="ListParagraph"/>
        <w:numPr>
          <w:ilvl w:val="0"/>
          <w:numId w:val="14"/>
        </w:numPr>
        <w:spacing w:after="0" w:line="240" w:lineRule="auto"/>
        <w:jc w:val="both"/>
        <w:rPr>
          <w:rFonts w:ascii="Bookman Old Style" w:hAnsi="Bookman Old Style"/>
        </w:rPr>
      </w:pPr>
      <w:r>
        <w:rPr>
          <w:rFonts w:ascii="Bookman Old Style" w:hAnsi="Bookman Old Style"/>
        </w:rPr>
        <w:t>Pension funds</w:t>
      </w:r>
    </w:p>
    <w:p w14:paraId="597968BA" w14:textId="13A96773" w:rsidR="00646C7D" w:rsidRDefault="00646C7D" w:rsidP="006222B0">
      <w:pPr>
        <w:pStyle w:val="ListParagraph"/>
        <w:numPr>
          <w:ilvl w:val="0"/>
          <w:numId w:val="14"/>
        </w:numPr>
        <w:spacing w:after="0" w:line="240" w:lineRule="auto"/>
        <w:jc w:val="both"/>
        <w:rPr>
          <w:rFonts w:ascii="Bookman Old Style" w:hAnsi="Bookman Old Style"/>
        </w:rPr>
      </w:pPr>
      <w:r>
        <w:rPr>
          <w:rFonts w:ascii="Bookman Old Style" w:hAnsi="Bookman Old Style"/>
        </w:rPr>
        <w:t>Insurance companies</w:t>
      </w:r>
    </w:p>
    <w:p w14:paraId="00B750F5" w14:textId="443A81B9" w:rsidR="00646C7D" w:rsidRDefault="00646C7D" w:rsidP="006222B0">
      <w:pPr>
        <w:pStyle w:val="ListParagraph"/>
        <w:numPr>
          <w:ilvl w:val="0"/>
          <w:numId w:val="14"/>
        </w:numPr>
        <w:spacing w:after="0" w:line="240" w:lineRule="auto"/>
        <w:jc w:val="both"/>
        <w:rPr>
          <w:rFonts w:ascii="Bookman Old Style" w:hAnsi="Bookman Old Style"/>
        </w:rPr>
      </w:pPr>
      <w:r>
        <w:rPr>
          <w:rFonts w:ascii="Bookman Old Style" w:hAnsi="Bookman Old Style"/>
        </w:rPr>
        <w:t>Large corporations</w:t>
      </w:r>
    </w:p>
    <w:p w14:paraId="64F27334" w14:textId="7E7D088A" w:rsidR="00646C7D" w:rsidRDefault="00646C7D" w:rsidP="006222B0">
      <w:pPr>
        <w:pStyle w:val="ListParagraph"/>
        <w:numPr>
          <w:ilvl w:val="0"/>
          <w:numId w:val="14"/>
        </w:numPr>
        <w:spacing w:after="0" w:line="240" w:lineRule="auto"/>
        <w:jc w:val="both"/>
        <w:rPr>
          <w:rFonts w:ascii="Bookman Old Style" w:hAnsi="Bookman Old Style"/>
        </w:rPr>
      </w:pPr>
      <w:r>
        <w:rPr>
          <w:rFonts w:ascii="Bookman Old Style" w:hAnsi="Bookman Old Style"/>
        </w:rPr>
        <w:t>University endowment funds</w:t>
      </w:r>
    </w:p>
    <w:p w14:paraId="138F60B0" w14:textId="77777777" w:rsidR="00646C7D" w:rsidRDefault="00646C7D" w:rsidP="006222B0">
      <w:pPr>
        <w:spacing w:after="0" w:line="240" w:lineRule="auto"/>
        <w:jc w:val="both"/>
        <w:rPr>
          <w:rFonts w:ascii="Bookman Old Style" w:hAnsi="Bookman Old Style"/>
        </w:rPr>
      </w:pPr>
    </w:p>
    <w:p w14:paraId="0EBA9928" w14:textId="48521CC4" w:rsidR="00646C7D" w:rsidRDefault="00646C7D" w:rsidP="006222B0">
      <w:pPr>
        <w:spacing w:after="0" w:line="240" w:lineRule="auto"/>
        <w:jc w:val="both"/>
        <w:rPr>
          <w:rFonts w:ascii="Bookman Old Style" w:hAnsi="Bookman Old Style"/>
        </w:rPr>
      </w:pPr>
      <w:r>
        <w:rPr>
          <w:rFonts w:ascii="Bookman Old Style" w:hAnsi="Bookman Old Style"/>
          <w:i/>
        </w:rPr>
        <w:t>Private Equity</w:t>
      </w:r>
      <w:r>
        <w:rPr>
          <w:rFonts w:ascii="Bookman Old Style" w:hAnsi="Bookman Old Style"/>
        </w:rPr>
        <w:t xml:space="preserve"> – A term used to label the rapidly growing area of equity financing for nonpublic companies.</w:t>
      </w:r>
    </w:p>
    <w:p w14:paraId="021DB269" w14:textId="77777777" w:rsidR="00646C7D" w:rsidRDefault="00646C7D" w:rsidP="006222B0">
      <w:pPr>
        <w:spacing w:after="0" w:line="240" w:lineRule="auto"/>
        <w:jc w:val="both"/>
        <w:rPr>
          <w:rFonts w:ascii="Bookman Old Style" w:hAnsi="Bookman Old Style"/>
        </w:rPr>
      </w:pPr>
    </w:p>
    <w:p w14:paraId="11267502" w14:textId="393A19BD" w:rsidR="00646C7D" w:rsidRDefault="00646C7D" w:rsidP="006222B0">
      <w:pPr>
        <w:spacing w:after="0" w:line="240" w:lineRule="auto"/>
        <w:jc w:val="both"/>
        <w:rPr>
          <w:rFonts w:ascii="Bookman Old Style" w:hAnsi="Bookman Old Style"/>
        </w:rPr>
      </w:pPr>
      <w:r>
        <w:rPr>
          <w:rFonts w:ascii="Bookman Old Style" w:hAnsi="Bookman Old Style"/>
        </w:rPr>
        <w:t>Venture capitalists and venture capital firms know that many new ventures won’t fly, but the occasional one will – in this case, the potential for profit is enormous.</w:t>
      </w:r>
    </w:p>
    <w:p w14:paraId="2406F036" w14:textId="77777777" w:rsidR="00646C7D" w:rsidRDefault="00646C7D" w:rsidP="006222B0">
      <w:pPr>
        <w:spacing w:after="0" w:line="240" w:lineRule="auto"/>
        <w:jc w:val="both"/>
        <w:rPr>
          <w:rFonts w:ascii="Bookman Old Style" w:hAnsi="Bookman Old Style"/>
        </w:rPr>
      </w:pPr>
    </w:p>
    <w:p w14:paraId="04FA4480" w14:textId="44AD1A90" w:rsidR="00646C7D" w:rsidRDefault="00646C7D" w:rsidP="006222B0">
      <w:pPr>
        <w:spacing w:after="0" w:line="240" w:lineRule="auto"/>
        <w:jc w:val="both"/>
        <w:rPr>
          <w:rFonts w:ascii="Bookman Old Style" w:hAnsi="Bookman Old Style"/>
        </w:rPr>
      </w:pPr>
      <w:r>
        <w:rPr>
          <w:rFonts w:ascii="Bookman Old Style" w:hAnsi="Bookman Old Style"/>
        </w:rPr>
        <w:t>To limit risk, venture capitalists usually provide financing in stages – at each stage, enough money is invested to reach the next milestone or planning stage.</w:t>
      </w:r>
    </w:p>
    <w:p w14:paraId="4E022E0A" w14:textId="77777777" w:rsidR="00646C7D" w:rsidRDefault="00646C7D" w:rsidP="006222B0">
      <w:pPr>
        <w:spacing w:after="0" w:line="240" w:lineRule="auto"/>
        <w:jc w:val="both"/>
        <w:rPr>
          <w:rFonts w:ascii="Bookman Old Style" w:hAnsi="Bookman Old Style"/>
        </w:rPr>
      </w:pPr>
    </w:p>
    <w:p w14:paraId="3FE0D37D" w14:textId="2F1E3FB2" w:rsidR="00646C7D" w:rsidRDefault="00646C7D" w:rsidP="006222B0">
      <w:pPr>
        <w:spacing w:after="0" w:line="240" w:lineRule="auto"/>
        <w:jc w:val="both"/>
        <w:rPr>
          <w:rFonts w:ascii="Bookman Old Style" w:hAnsi="Bookman Old Style"/>
        </w:rPr>
      </w:pPr>
      <w:r>
        <w:rPr>
          <w:rFonts w:ascii="Bookman Old Style" w:hAnsi="Bookman Old Style"/>
          <w:i/>
          <w:u w:val="single"/>
        </w:rPr>
        <w:t>Ex.:</w:t>
      </w:r>
    </w:p>
    <w:p w14:paraId="367E6EF9" w14:textId="214CD22E" w:rsidR="00646C7D" w:rsidRDefault="00646C7D" w:rsidP="006222B0">
      <w:pPr>
        <w:spacing w:after="0" w:line="240" w:lineRule="auto"/>
        <w:jc w:val="both"/>
        <w:rPr>
          <w:rFonts w:ascii="Bookman Old Style" w:hAnsi="Bookman Old Style"/>
        </w:rPr>
      </w:pPr>
      <w:r>
        <w:rPr>
          <w:rFonts w:ascii="Bookman Old Style" w:hAnsi="Bookman Old Style"/>
        </w:rPr>
        <w:t>First-Stage Financing: Enough money to build a prototype and complete a manufacturing plan.</w:t>
      </w:r>
    </w:p>
    <w:p w14:paraId="2B742219" w14:textId="6678C1F3" w:rsidR="00646C7D" w:rsidRDefault="00646C7D" w:rsidP="006222B0">
      <w:pPr>
        <w:spacing w:after="0" w:line="240" w:lineRule="auto"/>
        <w:jc w:val="both"/>
        <w:rPr>
          <w:rFonts w:ascii="Bookman Old Style" w:hAnsi="Bookman Old Style"/>
        </w:rPr>
      </w:pPr>
      <w:r>
        <w:rPr>
          <w:rFonts w:ascii="Bookman Old Style" w:hAnsi="Bookman Old Style"/>
        </w:rPr>
        <w:t>Stage-Two Financing: A major investment might be needed to start manufacturing, marketing and distribution.</w:t>
      </w:r>
    </w:p>
    <w:p w14:paraId="1B27F1ED" w14:textId="77777777" w:rsidR="00646C7D" w:rsidRDefault="00646C7D" w:rsidP="006222B0">
      <w:pPr>
        <w:spacing w:after="0" w:line="240" w:lineRule="auto"/>
        <w:jc w:val="both"/>
        <w:rPr>
          <w:rFonts w:ascii="Bookman Old Style" w:hAnsi="Bookman Old Style"/>
        </w:rPr>
      </w:pPr>
    </w:p>
    <w:p w14:paraId="41B5719A" w14:textId="1BE67DCC" w:rsidR="00646C7D" w:rsidRDefault="00646C7D" w:rsidP="006222B0">
      <w:pPr>
        <w:spacing w:after="0" w:line="240" w:lineRule="auto"/>
        <w:jc w:val="both"/>
        <w:rPr>
          <w:rFonts w:ascii="Bookman Old Style" w:hAnsi="Bookman Old Style"/>
        </w:rPr>
      </w:pPr>
      <w:r>
        <w:rPr>
          <w:rFonts w:ascii="Bookman Old Style" w:hAnsi="Bookman Old Style"/>
        </w:rPr>
        <w:t>There could be many stages involved in the process of growing the company.</w:t>
      </w:r>
    </w:p>
    <w:p w14:paraId="7474BF5E" w14:textId="77777777" w:rsidR="00646C7D" w:rsidRDefault="00646C7D" w:rsidP="006222B0">
      <w:pPr>
        <w:spacing w:after="0" w:line="240" w:lineRule="auto"/>
        <w:jc w:val="both"/>
        <w:rPr>
          <w:rFonts w:ascii="Bookman Old Style" w:hAnsi="Bookman Old Style"/>
        </w:rPr>
      </w:pPr>
    </w:p>
    <w:p w14:paraId="3DDE6532" w14:textId="47743C33" w:rsidR="00646C7D" w:rsidRDefault="00646C7D" w:rsidP="006222B0">
      <w:pPr>
        <w:spacing w:after="0" w:line="240" w:lineRule="auto"/>
        <w:jc w:val="both"/>
        <w:rPr>
          <w:rFonts w:ascii="Bookman Old Style" w:hAnsi="Bookman Old Style"/>
        </w:rPr>
      </w:pPr>
      <w:r>
        <w:rPr>
          <w:rFonts w:ascii="Bookman Old Style" w:hAnsi="Bookman Old Style"/>
        </w:rPr>
        <w:t>Venture capital firms usually specialize in different stages. Some specialize in very early, “seed money” financing. Some might specialize in financing the later stages; the so-called mezzanine level financing (</w:t>
      </w:r>
      <w:r>
        <w:rPr>
          <w:rFonts w:ascii="Bookman Old Style" w:hAnsi="Bookman Old Style"/>
          <w:i/>
        </w:rPr>
        <w:t>mezzanine</w:t>
      </w:r>
      <w:r>
        <w:rPr>
          <w:rFonts w:ascii="Bookman Old Style" w:hAnsi="Bookman Old Style"/>
        </w:rPr>
        <w:t xml:space="preserve"> refers to the level just above the ground floor).</w:t>
      </w:r>
    </w:p>
    <w:p w14:paraId="46410547" w14:textId="77777777" w:rsidR="00646C7D" w:rsidRDefault="00646C7D" w:rsidP="006222B0">
      <w:pPr>
        <w:spacing w:after="0" w:line="240" w:lineRule="auto"/>
        <w:jc w:val="both"/>
        <w:rPr>
          <w:rFonts w:ascii="Bookman Old Style" w:hAnsi="Bookman Old Style"/>
        </w:rPr>
      </w:pPr>
    </w:p>
    <w:p w14:paraId="51364E56" w14:textId="7197E468" w:rsidR="00646C7D" w:rsidRDefault="00675511" w:rsidP="006222B0">
      <w:pPr>
        <w:spacing w:after="0" w:line="240" w:lineRule="auto"/>
        <w:jc w:val="both"/>
        <w:rPr>
          <w:rFonts w:ascii="Bookman Old Style" w:hAnsi="Bookman Old Style"/>
        </w:rPr>
      </w:pPr>
      <w:r>
        <w:rPr>
          <w:rFonts w:ascii="Bookman Old Style" w:hAnsi="Bookman Old Style"/>
        </w:rPr>
        <w:t>Because financing is available in stages, it’s contingent on specified goals being met and is a big motivator for the firm’s founder(s). The founder doesn’t usually receive any salary in the early stages and has their own assets tied up in the business. At every stage of financing, the value of the founder’s stake grows and the probability of success rises.</w:t>
      </w:r>
    </w:p>
    <w:p w14:paraId="12340B08" w14:textId="77777777" w:rsidR="00675511" w:rsidRDefault="00675511" w:rsidP="006222B0">
      <w:pPr>
        <w:spacing w:after="0" w:line="240" w:lineRule="auto"/>
        <w:jc w:val="both"/>
        <w:rPr>
          <w:rFonts w:ascii="Bookman Old Style" w:hAnsi="Bookman Old Style"/>
        </w:rPr>
      </w:pPr>
    </w:p>
    <w:p w14:paraId="6B2253F4" w14:textId="364213D3" w:rsidR="00675511" w:rsidRDefault="00675511" w:rsidP="006222B0">
      <w:pPr>
        <w:spacing w:after="0" w:line="240" w:lineRule="auto"/>
        <w:jc w:val="both"/>
        <w:rPr>
          <w:rFonts w:ascii="Bookman Old Style" w:hAnsi="Bookman Old Style"/>
        </w:rPr>
      </w:pPr>
      <w:r>
        <w:rPr>
          <w:rFonts w:ascii="Bookman Old Style" w:hAnsi="Bookman Old Style"/>
        </w:rPr>
        <w:t>Venture capitalists also actively participate in running the firm, providing the benefit of experience with other start-ups as well as general business expertise.</w:t>
      </w:r>
    </w:p>
    <w:p w14:paraId="1EFBA051" w14:textId="77777777" w:rsidR="00675511" w:rsidRDefault="00675511" w:rsidP="006222B0">
      <w:pPr>
        <w:spacing w:after="0" w:line="240" w:lineRule="auto"/>
        <w:jc w:val="both"/>
        <w:rPr>
          <w:rFonts w:ascii="Bookman Old Style" w:hAnsi="Bookman Old Style"/>
        </w:rPr>
      </w:pPr>
    </w:p>
    <w:p w14:paraId="1FFF5BAC" w14:textId="77777777" w:rsidR="00675511" w:rsidRDefault="00675511" w:rsidP="006222B0">
      <w:pPr>
        <w:spacing w:after="0" w:line="240" w:lineRule="auto"/>
        <w:jc w:val="both"/>
        <w:rPr>
          <w:rFonts w:ascii="Bookman Old Style" w:hAnsi="Bookman Old Style"/>
        </w:rPr>
      </w:pPr>
    </w:p>
    <w:p w14:paraId="226C9D0B" w14:textId="3BD17461" w:rsidR="00675511" w:rsidRDefault="00675511" w:rsidP="006222B0">
      <w:pPr>
        <w:spacing w:after="0" w:line="240" w:lineRule="auto"/>
        <w:jc w:val="both"/>
        <w:rPr>
          <w:rFonts w:ascii="Bookman Old Style" w:hAnsi="Bookman Old Style"/>
        </w:rPr>
      </w:pPr>
      <w:r>
        <w:rPr>
          <w:rFonts w:ascii="Bookman Old Style" w:hAnsi="Bookman Old Style"/>
          <w:b/>
          <w:u w:val="single"/>
        </w:rPr>
        <w:t>VENTURE CAPITAL REALITIES</w:t>
      </w:r>
    </w:p>
    <w:p w14:paraId="7A4558F5" w14:textId="3C3B1D91" w:rsidR="00AC413A" w:rsidRDefault="00AC413A" w:rsidP="006222B0">
      <w:pPr>
        <w:spacing w:after="0" w:line="240" w:lineRule="auto"/>
        <w:jc w:val="both"/>
        <w:rPr>
          <w:rFonts w:ascii="Bookman Old Style" w:hAnsi="Bookman Old Style"/>
        </w:rPr>
      </w:pPr>
      <w:r>
        <w:rPr>
          <w:rFonts w:ascii="Bookman Old Style" w:hAnsi="Bookman Old Style"/>
        </w:rPr>
        <w:t xml:space="preserve">Access to venture capital is actually very limited – they usually receive huge numbers of unsolicited proposals, most end up unread. Venture capitalists rely heavily on informal networks of lawyers, accountants, bankers and other venture capitalists to identify potential investments. </w:t>
      </w:r>
      <w:proofErr w:type="gramStart"/>
      <w:r>
        <w:rPr>
          <w:rFonts w:ascii="Bookman Old Style" w:hAnsi="Bookman Old Style"/>
        </w:rPr>
        <w:t>So personal contacts are important in gaining access to the venture capital market.</w:t>
      </w:r>
      <w:proofErr w:type="gramEnd"/>
    </w:p>
    <w:p w14:paraId="20FA4523" w14:textId="77777777" w:rsidR="00AC413A" w:rsidRDefault="00AC413A" w:rsidP="006222B0">
      <w:pPr>
        <w:spacing w:after="0" w:line="240" w:lineRule="auto"/>
        <w:jc w:val="both"/>
        <w:rPr>
          <w:rFonts w:ascii="Bookman Old Style" w:hAnsi="Bookman Old Style"/>
        </w:rPr>
      </w:pPr>
    </w:p>
    <w:p w14:paraId="42EA12F3" w14:textId="62EC0656" w:rsidR="00AC413A" w:rsidRDefault="00AC413A" w:rsidP="006222B0">
      <w:pPr>
        <w:spacing w:after="0" w:line="240" w:lineRule="auto"/>
        <w:jc w:val="both"/>
        <w:rPr>
          <w:rFonts w:ascii="Bookman Old Style" w:hAnsi="Bookman Old Style"/>
        </w:rPr>
      </w:pPr>
      <w:r>
        <w:rPr>
          <w:rFonts w:ascii="Bookman Old Style" w:hAnsi="Bookman Old Style"/>
        </w:rPr>
        <w:t xml:space="preserve">Venture capital is also very expensive – this is inevitable given the high risk involved in such firms. Usually venture capitalists will demand, and get, 40% equity or more of equity in the company. They’ll also usually hold voting preferred stock giving </w:t>
      </w:r>
      <w:proofErr w:type="gramStart"/>
      <w:r>
        <w:rPr>
          <w:rFonts w:ascii="Bookman Old Style" w:hAnsi="Bookman Old Style"/>
        </w:rPr>
        <w:t>them</w:t>
      </w:r>
      <w:proofErr w:type="gramEnd"/>
      <w:r>
        <w:rPr>
          <w:rFonts w:ascii="Bookman Old Style" w:hAnsi="Bookman Old Style"/>
        </w:rPr>
        <w:t xml:space="preserve"> priorities in case the company is sold or liquid</w:t>
      </w:r>
      <w:r w:rsidR="00DD2F77">
        <w:rPr>
          <w:rFonts w:ascii="Bookman Old Style" w:hAnsi="Bookman Old Style"/>
        </w:rPr>
        <w:t>a</w:t>
      </w:r>
      <w:r>
        <w:rPr>
          <w:rFonts w:ascii="Bookman Old Style" w:hAnsi="Bookman Old Style"/>
        </w:rPr>
        <w:t>ted</w:t>
      </w:r>
      <w:r w:rsidR="00DD2F77">
        <w:rPr>
          <w:rFonts w:ascii="Bookman Old Style" w:hAnsi="Bookman Old Style"/>
        </w:rPr>
        <w:t>.</w:t>
      </w:r>
    </w:p>
    <w:p w14:paraId="4253C1B4" w14:textId="26F60D4C" w:rsidR="00DD2F77" w:rsidRDefault="00DD2F77" w:rsidP="006222B0">
      <w:pPr>
        <w:spacing w:after="0" w:line="240" w:lineRule="auto"/>
        <w:jc w:val="both"/>
        <w:rPr>
          <w:rFonts w:ascii="Bookman Old Style" w:hAnsi="Bookman Old Style"/>
        </w:rPr>
      </w:pPr>
      <w:r>
        <w:rPr>
          <w:rFonts w:ascii="Bookman Old Style" w:hAnsi="Bookman Old Style"/>
        </w:rPr>
        <w:lastRenderedPageBreak/>
        <w:t>Venture capitalists will also usually demand, and get, several seats on the company’s board of directors and might even appoint one or more members of senior management.</w:t>
      </w:r>
    </w:p>
    <w:p w14:paraId="13546010" w14:textId="77777777" w:rsidR="00DD2F77" w:rsidRDefault="00DD2F77" w:rsidP="006222B0">
      <w:pPr>
        <w:spacing w:after="0" w:line="240" w:lineRule="auto"/>
        <w:jc w:val="both"/>
        <w:rPr>
          <w:rFonts w:ascii="Bookman Old Style" w:hAnsi="Bookman Old Style"/>
        </w:rPr>
      </w:pPr>
    </w:p>
    <w:p w14:paraId="4868DB06" w14:textId="77777777" w:rsidR="00DD2F77" w:rsidRDefault="00DD2F77" w:rsidP="006222B0">
      <w:pPr>
        <w:spacing w:after="0" w:line="240" w:lineRule="auto"/>
        <w:jc w:val="both"/>
        <w:rPr>
          <w:rFonts w:ascii="Bookman Old Style" w:hAnsi="Bookman Old Style"/>
        </w:rPr>
      </w:pPr>
    </w:p>
    <w:p w14:paraId="79A75AC7" w14:textId="24529030" w:rsidR="00DD2F77" w:rsidRDefault="00DD2F77" w:rsidP="006222B0">
      <w:pPr>
        <w:spacing w:after="0" w:line="240" w:lineRule="auto"/>
        <w:jc w:val="both"/>
        <w:rPr>
          <w:rFonts w:ascii="Bookman Old Style" w:hAnsi="Bookman Old Style"/>
        </w:rPr>
      </w:pPr>
      <w:r>
        <w:rPr>
          <w:rFonts w:ascii="Bookman Old Style" w:hAnsi="Bookman Old Style"/>
          <w:b/>
          <w:u w:val="single"/>
        </w:rPr>
        <w:t>CHOOSING A VENTURE CAPITALIST</w:t>
      </w:r>
    </w:p>
    <w:p w14:paraId="0E7239B6" w14:textId="6410D1A9" w:rsidR="00DD2F77" w:rsidRDefault="00DD2F77" w:rsidP="006222B0">
      <w:pPr>
        <w:spacing w:after="0" w:line="240" w:lineRule="auto"/>
        <w:jc w:val="both"/>
        <w:rPr>
          <w:rFonts w:ascii="Bookman Old Style" w:hAnsi="Bookman Old Style"/>
        </w:rPr>
      </w:pPr>
      <w:r>
        <w:rPr>
          <w:rFonts w:ascii="Bookman Old Style" w:hAnsi="Bookman Old Style"/>
        </w:rPr>
        <w:t>Some start-up companies, especially those headed by experiences, previously successful entrepreneurs, will be in such demand that they’ll have the luxury of looking beyond the money in choosing a venture capitalist.</w:t>
      </w:r>
    </w:p>
    <w:p w14:paraId="4846ED77" w14:textId="77777777" w:rsidR="00DD2F77" w:rsidRDefault="00DD2F77" w:rsidP="006222B0">
      <w:pPr>
        <w:spacing w:after="0" w:line="240" w:lineRule="auto"/>
        <w:jc w:val="both"/>
        <w:rPr>
          <w:rFonts w:ascii="Bookman Old Style" w:hAnsi="Bookman Old Style"/>
        </w:rPr>
      </w:pPr>
    </w:p>
    <w:p w14:paraId="74481BA8" w14:textId="4BCD4DFB" w:rsidR="00DD2F77" w:rsidRDefault="00DD2F77" w:rsidP="006222B0">
      <w:pPr>
        <w:spacing w:after="0" w:line="240" w:lineRule="auto"/>
        <w:jc w:val="both"/>
        <w:rPr>
          <w:rFonts w:ascii="Bookman Old Style" w:hAnsi="Bookman Old Style"/>
        </w:rPr>
      </w:pPr>
      <w:r>
        <w:rPr>
          <w:rFonts w:ascii="Bookman Old Style" w:hAnsi="Bookman Old Style"/>
        </w:rPr>
        <w:t>There are some key considerations in such a case, some of which include:</w:t>
      </w:r>
    </w:p>
    <w:p w14:paraId="0D59DF04" w14:textId="77777777" w:rsidR="00DD2F77" w:rsidRDefault="00DD2F77" w:rsidP="006222B0">
      <w:pPr>
        <w:spacing w:after="0" w:line="240" w:lineRule="auto"/>
        <w:jc w:val="both"/>
        <w:rPr>
          <w:rFonts w:ascii="Bookman Old Style" w:hAnsi="Bookman Old Style"/>
        </w:rPr>
      </w:pPr>
    </w:p>
    <w:p w14:paraId="1E35727F" w14:textId="4D055EF3" w:rsidR="00DD2F77" w:rsidRPr="00DD2F77" w:rsidRDefault="00DD2F77" w:rsidP="006222B0">
      <w:pPr>
        <w:pStyle w:val="ListParagraph"/>
        <w:numPr>
          <w:ilvl w:val="0"/>
          <w:numId w:val="15"/>
        </w:numPr>
        <w:spacing w:after="0" w:line="240" w:lineRule="auto"/>
        <w:jc w:val="both"/>
        <w:rPr>
          <w:rFonts w:ascii="Bookman Old Style" w:hAnsi="Bookman Old Style"/>
        </w:rPr>
      </w:pPr>
      <w:r w:rsidRPr="00DD2F77">
        <w:rPr>
          <w:rFonts w:ascii="Bookman Old Style" w:hAnsi="Bookman Old Style"/>
        </w:rPr>
        <w:t>Financial strength is important. The venture capitalist needs to have the resources and financial reserves for additional financing stages if they’re needed – this doesn’t mean that bigger is better because of our next consideration.</w:t>
      </w:r>
    </w:p>
    <w:p w14:paraId="502A0886" w14:textId="77777777" w:rsidR="00DD2F77" w:rsidRDefault="00DD2F77" w:rsidP="006222B0">
      <w:pPr>
        <w:spacing w:after="0" w:line="240" w:lineRule="auto"/>
        <w:jc w:val="both"/>
        <w:rPr>
          <w:rFonts w:ascii="Bookman Old Style" w:hAnsi="Bookman Old Style"/>
        </w:rPr>
      </w:pPr>
    </w:p>
    <w:p w14:paraId="3B52F24C" w14:textId="05816FDA" w:rsidR="00DD2F77" w:rsidRPr="00DD2F77" w:rsidRDefault="00DD2F77" w:rsidP="006222B0">
      <w:pPr>
        <w:pStyle w:val="ListParagraph"/>
        <w:numPr>
          <w:ilvl w:val="0"/>
          <w:numId w:val="15"/>
        </w:numPr>
        <w:spacing w:after="0" w:line="240" w:lineRule="auto"/>
        <w:jc w:val="both"/>
        <w:rPr>
          <w:rFonts w:ascii="Bookman Old Style" w:hAnsi="Bookman Old Style"/>
        </w:rPr>
      </w:pPr>
      <w:r w:rsidRPr="00DD2F77">
        <w:rPr>
          <w:rFonts w:ascii="Bookman Old Style" w:hAnsi="Bookman Old Style"/>
        </w:rPr>
        <w:t>Style is important – some venture capitalists want to be very involved in the day-to-day operations and decision-making, where others will be content with monthly reports. Which are better depends on the firm and the venture capitalists’ business skills. A large venture capital firm might be less flexible and more bureaucratic than a smaller firm.</w:t>
      </w:r>
    </w:p>
    <w:p w14:paraId="21C50D6C" w14:textId="77777777" w:rsidR="00DD2F77" w:rsidRPr="00DD2F77" w:rsidRDefault="00DD2F77" w:rsidP="006222B0">
      <w:pPr>
        <w:spacing w:after="0" w:line="240" w:lineRule="auto"/>
        <w:jc w:val="both"/>
        <w:rPr>
          <w:rFonts w:ascii="Bookman Old Style" w:hAnsi="Bookman Old Style"/>
        </w:rPr>
      </w:pPr>
    </w:p>
    <w:p w14:paraId="0085CC67" w14:textId="7D92E310" w:rsidR="00DD2F77" w:rsidRDefault="00DD2F77" w:rsidP="006222B0">
      <w:pPr>
        <w:pStyle w:val="ListParagraph"/>
        <w:numPr>
          <w:ilvl w:val="0"/>
          <w:numId w:val="15"/>
        </w:numPr>
        <w:spacing w:after="0" w:line="240" w:lineRule="auto"/>
        <w:jc w:val="both"/>
        <w:rPr>
          <w:rFonts w:ascii="Bookman Old Style" w:hAnsi="Bookman Old Style"/>
        </w:rPr>
      </w:pPr>
      <w:r>
        <w:rPr>
          <w:rFonts w:ascii="Bookman Old Style" w:hAnsi="Bookman Old Style"/>
        </w:rPr>
        <w:t>References are important – has the venture capitalist been successful with similar firms? How have they dealt with situations that haven’t worked out?</w:t>
      </w:r>
    </w:p>
    <w:p w14:paraId="071DDC1F" w14:textId="77777777" w:rsidR="00DD2F77" w:rsidRPr="00DD2F77" w:rsidRDefault="00DD2F77" w:rsidP="006222B0">
      <w:pPr>
        <w:spacing w:after="0" w:line="240" w:lineRule="auto"/>
        <w:jc w:val="both"/>
        <w:rPr>
          <w:rFonts w:ascii="Bookman Old Style" w:hAnsi="Bookman Old Style"/>
        </w:rPr>
      </w:pPr>
    </w:p>
    <w:p w14:paraId="76C84F30" w14:textId="032B14E1" w:rsidR="00DD2F77" w:rsidRDefault="00DD2F77" w:rsidP="006222B0">
      <w:pPr>
        <w:pStyle w:val="ListParagraph"/>
        <w:numPr>
          <w:ilvl w:val="0"/>
          <w:numId w:val="15"/>
        </w:numPr>
        <w:spacing w:after="0" w:line="240" w:lineRule="auto"/>
        <w:jc w:val="both"/>
        <w:rPr>
          <w:rFonts w:ascii="Bookman Old Style" w:hAnsi="Bookman Old Style"/>
        </w:rPr>
      </w:pPr>
      <w:r>
        <w:rPr>
          <w:rFonts w:ascii="Bookman Old Style" w:hAnsi="Bookman Old Style"/>
        </w:rPr>
        <w:t>Contacts are important. A venture capitalist might be able to help the business in ways other than financing and management by providing them with introductions to potentially important customers, suppliers and other industry contacts. Venture capitalists usually specialize in a few particular industries, and this specialization could be valuable.</w:t>
      </w:r>
    </w:p>
    <w:p w14:paraId="26CCAEB1" w14:textId="77777777" w:rsidR="00DD2F77" w:rsidRPr="00DD2F77" w:rsidRDefault="00DD2F77" w:rsidP="006222B0">
      <w:pPr>
        <w:spacing w:after="0" w:line="240" w:lineRule="auto"/>
        <w:jc w:val="both"/>
        <w:rPr>
          <w:rFonts w:ascii="Bookman Old Style" w:hAnsi="Bookman Old Style"/>
        </w:rPr>
      </w:pPr>
    </w:p>
    <w:p w14:paraId="0E8443D6" w14:textId="36A424AC" w:rsidR="00DD2F77" w:rsidRDefault="00DD2F77" w:rsidP="006222B0">
      <w:pPr>
        <w:pStyle w:val="ListParagraph"/>
        <w:numPr>
          <w:ilvl w:val="0"/>
          <w:numId w:val="15"/>
        </w:numPr>
        <w:spacing w:after="0" w:line="240" w:lineRule="auto"/>
        <w:jc w:val="both"/>
        <w:rPr>
          <w:rFonts w:ascii="Bookman Old Style" w:hAnsi="Bookman Old Style"/>
        </w:rPr>
      </w:pPr>
      <w:r>
        <w:rPr>
          <w:rFonts w:ascii="Bookman Old Style" w:hAnsi="Bookman Old Style"/>
        </w:rPr>
        <w:t>Exit strategy is important. Venture capitalists aren’t usually long-term investors. How and under what circumstances they “cash out” of the business should be carefully evaluated.</w:t>
      </w:r>
    </w:p>
    <w:p w14:paraId="521FBB5E" w14:textId="77777777" w:rsidR="00DD2F77" w:rsidRPr="00DD2F77" w:rsidRDefault="00DD2F77" w:rsidP="006222B0">
      <w:pPr>
        <w:spacing w:after="0" w:line="240" w:lineRule="auto"/>
        <w:jc w:val="both"/>
        <w:rPr>
          <w:rFonts w:ascii="Bookman Old Style" w:hAnsi="Bookman Old Style"/>
        </w:rPr>
      </w:pPr>
    </w:p>
    <w:p w14:paraId="6B65ACD4" w14:textId="21AE3BAF" w:rsidR="00DD2F77" w:rsidRDefault="00DD2F77" w:rsidP="006222B0">
      <w:pPr>
        <w:spacing w:after="0" w:line="240" w:lineRule="auto"/>
        <w:jc w:val="both"/>
        <w:rPr>
          <w:rFonts w:ascii="Bookman Old Style" w:hAnsi="Bookman Old Style"/>
        </w:rPr>
      </w:pPr>
      <w:r>
        <w:rPr>
          <w:rFonts w:ascii="Bookman Old Style" w:hAnsi="Bookman Old Style"/>
        </w:rPr>
        <w:t>If a start-up succeeds, the big payoff usually comes when the company is sold to another company or when it goes public.</w:t>
      </w:r>
    </w:p>
    <w:p w14:paraId="489F4887" w14:textId="77777777" w:rsidR="00DD2F77" w:rsidRDefault="00DD2F77" w:rsidP="006222B0">
      <w:pPr>
        <w:spacing w:after="0" w:line="240" w:lineRule="auto"/>
        <w:jc w:val="both"/>
        <w:rPr>
          <w:rFonts w:ascii="Bookman Old Style" w:hAnsi="Bookman Old Style"/>
        </w:rPr>
      </w:pPr>
    </w:p>
    <w:p w14:paraId="34347DD8" w14:textId="6FD1776B" w:rsidR="00DD2F77" w:rsidRDefault="00DD2F77" w:rsidP="006222B0">
      <w:pPr>
        <w:spacing w:after="0" w:line="240" w:lineRule="auto"/>
        <w:jc w:val="both"/>
        <w:rPr>
          <w:rFonts w:ascii="Bookman Old Style" w:hAnsi="Bookman Old Style"/>
        </w:rPr>
      </w:pPr>
      <w:r>
        <w:rPr>
          <w:rFonts w:ascii="Bookman Old Style" w:hAnsi="Bookman Old Style"/>
        </w:rPr>
        <w:t>The IPO process has created many “dot-com” millionaires. But either way, investment bankers are usually involved in the process.</w:t>
      </w:r>
    </w:p>
    <w:p w14:paraId="22C161CB" w14:textId="77777777" w:rsidR="00DD2F77" w:rsidRDefault="00DD2F77" w:rsidP="006222B0">
      <w:pPr>
        <w:spacing w:after="0" w:line="240" w:lineRule="auto"/>
        <w:jc w:val="both"/>
        <w:rPr>
          <w:rFonts w:ascii="Bookman Old Style" w:hAnsi="Bookman Old Style"/>
        </w:rPr>
      </w:pPr>
    </w:p>
    <w:p w14:paraId="51DF396F" w14:textId="77777777" w:rsidR="00DD2F77" w:rsidRDefault="00DD2F77" w:rsidP="006222B0">
      <w:pPr>
        <w:spacing w:after="0" w:line="240" w:lineRule="auto"/>
        <w:jc w:val="both"/>
        <w:rPr>
          <w:rFonts w:ascii="Bookman Old Style" w:hAnsi="Bookman Old Style"/>
        </w:rPr>
      </w:pPr>
    </w:p>
    <w:p w14:paraId="7BAB3103" w14:textId="71842A30" w:rsidR="00DD2F77" w:rsidRDefault="00DD2F77" w:rsidP="006222B0">
      <w:pPr>
        <w:spacing w:after="0" w:line="240" w:lineRule="auto"/>
        <w:jc w:val="center"/>
        <w:rPr>
          <w:rFonts w:ascii="Bookman Old Style" w:hAnsi="Bookman Old Style"/>
          <w:b/>
          <w:u w:val="single"/>
        </w:rPr>
      </w:pPr>
      <w:r>
        <w:rPr>
          <w:rFonts w:ascii="Bookman Old Style" w:hAnsi="Bookman Old Style"/>
          <w:b/>
          <w:u w:val="single"/>
        </w:rPr>
        <w:t>THE PUBLIC ISSUE</w:t>
      </w:r>
    </w:p>
    <w:p w14:paraId="76535511" w14:textId="77777777" w:rsidR="00DD2F77" w:rsidRDefault="00DD2F77" w:rsidP="006222B0">
      <w:pPr>
        <w:spacing w:after="0" w:line="240" w:lineRule="auto"/>
        <w:jc w:val="center"/>
        <w:rPr>
          <w:rFonts w:ascii="Bookman Old Style" w:hAnsi="Bookman Old Style"/>
          <w:b/>
          <w:u w:val="single"/>
        </w:rPr>
      </w:pPr>
    </w:p>
    <w:p w14:paraId="75F36116" w14:textId="6B95309F" w:rsidR="00DD2F77" w:rsidRDefault="00DD2F77" w:rsidP="006222B0">
      <w:pPr>
        <w:spacing w:after="0" w:line="240" w:lineRule="auto"/>
        <w:jc w:val="both"/>
        <w:rPr>
          <w:rFonts w:ascii="Bookman Old Style" w:hAnsi="Bookman Old Style"/>
        </w:rPr>
      </w:pPr>
      <w:r>
        <w:rPr>
          <w:rFonts w:ascii="Bookman Old Style" w:hAnsi="Bookman Old Style"/>
        </w:rPr>
        <w:t>Public issue refers to the creation and sale of securities that are intended to trade on the public market.</w:t>
      </w:r>
    </w:p>
    <w:p w14:paraId="7563BEB8" w14:textId="77777777" w:rsidR="00DD2F77" w:rsidRDefault="00DD2F77" w:rsidP="006222B0">
      <w:pPr>
        <w:spacing w:after="0" w:line="240" w:lineRule="auto"/>
        <w:jc w:val="both"/>
        <w:rPr>
          <w:rFonts w:ascii="Bookman Old Style" w:hAnsi="Bookman Old Style"/>
        </w:rPr>
      </w:pPr>
    </w:p>
    <w:p w14:paraId="0C99511D" w14:textId="1B91ECEB" w:rsidR="00DD2F77" w:rsidRDefault="00DD2F77" w:rsidP="006222B0">
      <w:pPr>
        <w:spacing w:after="0" w:line="240" w:lineRule="auto"/>
        <w:jc w:val="both"/>
        <w:rPr>
          <w:rFonts w:ascii="Bookman Old Style" w:hAnsi="Bookman Old Style"/>
        </w:rPr>
      </w:pPr>
      <w:r>
        <w:rPr>
          <w:rFonts w:ascii="Bookman Old Style" w:hAnsi="Bookman Old Style"/>
        </w:rPr>
        <w:t xml:space="preserve">A firm issuing securities has to satisfy a number of requirements set out by provincial regulations and statutes </w:t>
      </w:r>
      <w:r w:rsidR="00492BEB">
        <w:rPr>
          <w:rFonts w:ascii="Bookman Old Style" w:hAnsi="Bookman Old Style"/>
        </w:rPr>
        <w:t xml:space="preserve">and enforced by provincial securities commissions. Every province or territory has its own securities commission. </w:t>
      </w:r>
    </w:p>
    <w:p w14:paraId="483AAF8A" w14:textId="43C18345" w:rsidR="00492BEB" w:rsidRDefault="00492BEB" w:rsidP="006222B0">
      <w:pPr>
        <w:spacing w:after="0" w:line="240" w:lineRule="auto"/>
        <w:jc w:val="both"/>
        <w:rPr>
          <w:rFonts w:ascii="Bookman Old Style" w:hAnsi="Bookman Old Style"/>
        </w:rPr>
      </w:pPr>
      <w:r>
        <w:rPr>
          <w:rFonts w:ascii="Bookman Old Style" w:hAnsi="Bookman Old Style"/>
        </w:rPr>
        <w:lastRenderedPageBreak/>
        <w:t>In the US, the federal body handles regulation: the Securities and Exchange Commission (SEC).</w:t>
      </w:r>
    </w:p>
    <w:p w14:paraId="09DEBD93" w14:textId="77777777" w:rsidR="00492BEB" w:rsidRDefault="00492BEB" w:rsidP="006222B0">
      <w:pPr>
        <w:spacing w:after="0" w:line="240" w:lineRule="auto"/>
        <w:jc w:val="both"/>
        <w:rPr>
          <w:rFonts w:ascii="Bookman Old Style" w:hAnsi="Bookman Old Style"/>
        </w:rPr>
      </w:pPr>
    </w:p>
    <w:p w14:paraId="51D96BA9" w14:textId="1A957A7B" w:rsidR="00492BEB" w:rsidRDefault="00492BEB" w:rsidP="006222B0">
      <w:pPr>
        <w:spacing w:after="0" w:line="240" w:lineRule="auto"/>
        <w:jc w:val="both"/>
        <w:rPr>
          <w:rFonts w:ascii="Bookman Old Style" w:hAnsi="Bookman Old Style"/>
        </w:rPr>
      </w:pPr>
      <w:r>
        <w:rPr>
          <w:rFonts w:ascii="Bookman Old Style" w:hAnsi="Bookman Old Style"/>
        </w:rPr>
        <w:t>The goal of regulators is to promote the efficient flow of information about securities and the smooth functioning of securities markets.</w:t>
      </w:r>
    </w:p>
    <w:p w14:paraId="06F90730" w14:textId="77777777" w:rsidR="00492BEB" w:rsidRDefault="00492BEB" w:rsidP="006222B0">
      <w:pPr>
        <w:spacing w:after="0" w:line="240" w:lineRule="auto"/>
        <w:jc w:val="both"/>
        <w:rPr>
          <w:rFonts w:ascii="Bookman Old Style" w:hAnsi="Bookman Old Style"/>
        </w:rPr>
      </w:pPr>
    </w:p>
    <w:p w14:paraId="73888371" w14:textId="6FD01639" w:rsidR="00492BEB" w:rsidRDefault="00492BEB" w:rsidP="006222B0">
      <w:pPr>
        <w:spacing w:after="0" w:line="240" w:lineRule="auto"/>
        <w:jc w:val="both"/>
        <w:rPr>
          <w:rFonts w:ascii="Bookman Old Style" w:hAnsi="Bookman Old Style"/>
        </w:rPr>
      </w:pPr>
      <w:r>
        <w:rPr>
          <w:rFonts w:ascii="Bookman Old Style" w:hAnsi="Bookman Old Style"/>
        </w:rPr>
        <w:t xml:space="preserve">All companies listed on the TSX come under the jurisdiction of the Ontario Securities Commission (OSC). The </w:t>
      </w:r>
      <w:r>
        <w:rPr>
          <w:rFonts w:ascii="Bookman Old Style" w:hAnsi="Bookman Old Style"/>
          <w:b/>
          <w:i/>
        </w:rPr>
        <w:t>Securities Act</w:t>
      </w:r>
      <w:r>
        <w:rPr>
          <w:rFonts w:ascii="Bookman Old Style" w:hAnsi="Bookman Old Style"/>
        </w:rPr>
        <w:t xml:space="preserve"> sets forth the provincial regulations for all new securities issues involving the province of Ontario and the TSX. The OSC administers the act.</w:t>
      </w:r>
    </w:p>
    <w:p w14:paraId="7D383181" w14:textId="77777777" w:rsidR="00492BEB" w:rsidRDefault="00492BEB" w:rsidP="006222B0">
      <w:pPr>
        <w:spacing w:after="0" w:line="240" w:lineRule="auto"/>
        <w:jc w:val="both"/>
        <w:rPr>
          <w:rFonts w:ascii="Bookman Old Style" w:hAnsi="Bookman Old Style"/>
        </w:rPr>
      </w:pPr>
    </w:p>
    <w:p w14:paraId="1CF18C5C" w14:textId="650DF7A8" w:rsidR="00492BEB" w:rsidRDefault="00492BEB" w:rsidP="006222B0">
      <w:pPr>
        <w:spacing w:after="0" w:line="240" w:lineRule="auto"/>
        <w:jc w:val="both"/>
        <w:rPr>
          <w:rFonts w:ascii="Bookman Old Style" w:hAnsi="Bookman Old Style"/>
        </w:rPr>
      </w:pPr>
      <w:r>
        <w:rPr>
          <w:rFonts w:ascii="Bookman Old Style" w:hAnsi="Bookman Old Style"/>
        </w:rPr>
        <w:t>Other provinces have similar legislation and regulating bodies; but the OSC is the most noteworthy because of the scope of the TSX.</w:t>
      </w:r>
    </w:p>
    <w:p w14:paraId="79A25E70" w14:textId="77777777" w:rsidR="00492BEB" w:rsidRDefault="00492BEB" w:rsidP="006222B0">
      <w:pPr>
        <w:spacing w:after="0" w:line="240" w:lineRule="auto"/>
        <w:jc w:val="both"/>
        <w:rPr>
          <w:rFonts w:ascii="Bookman Old Style" w:hAnsi="Bookman Old Style"/>
        </w:rPr>
      </w:pPr>
    </w:p>
    <w:p w14:paraId="63E2C35E" w14:textId="677804FF" w:rsidR="00492BEB" w:rsidRDefault="00492BEB" w:rsidP="006222B0">
      <w:pPr>
        <w:spacing w:after="0" w:line="240" w:lineRule="auto"/>
        <w:jc w:val="both"/>
        <w:rPr>
          <w:rFonts w:ascii="Bookman Old Style" w:hAnsi="Bookman Old Style"/>
        </w:rPr>
      </w:pPr>
      <w:r>
        <w:rPr>
          <w:rFonts w:ascii="Bookman Old Style" w:hAnsi="Bookman Old Style"/>
        </w:rPr>
        <w:t>The Canadian Securities Administration (CSA) coordinates across provinces.</w:t>
      </w:r>
    </w:p>
    <w:p w14:paraId="775DE06F" w14:textId="77777777" w:rsidR="00492BEB" w:rsidRDefault="00492BEB" w:rsidP="006222B0">
      <w:pPr>
        <w:spacing w:after="0" w:line="240" w:lineRule="auto"/>
        <w:jc w:val="both"/>
        <w:rPr>
          <w:rFonts w:ascii="Bookman Old Style" w:hAnsi="Bookman Old Style"/>
        </w:rPr>
      </w:pPr>
    </w:p>
    <w:p w14:paraId="0264A273" w14:textId="08502831" w:rsidR="00492BEB" w:rsidRDefault="00492BEB" w:rsidP="006222B0">
      <w:pPr>
        <w:spacing w:after="0" w:line="240" w:lineRule="auto"/>
        <w:jc w:val="both"/>
        <w:rPr>
          <w:rFonts w:ascii="Bookman Old Style" w:hAnsi="Bookman Old Style"/>
        </w:rPr>
      </w:pPr>
      <w:r>
        <w:rPr>
          <w:rFonts w:ascii="Bookman Old Style" w:hAnsi="Bookman Old Style"/>
        </w:rPr>
        <w:t>Generally, OSC rules seek to ensure that investors receive all material information on new issues in the form of a registration statement and prospectus.</w:t>
      </w:r>
    </w:p>
    <w:p w14:paraId="0503E309" w14:textId="77777777" w:rsidR="00492BEB" w:rsidRDefault="00492BEB" w:rsidP="006222B0">
      <w:pPr>
        <w:spacing w:after="0" w:line="240" w:lineRule="auto"/>
        <w:jc w:val="both"/>
        <w:rPr>
          <w:rFonts w:ascii="Bookman Old Style" w:hAnsi="Bookman Old Style"/>
        </w:rPr>
      </w:pPr>
    </w:p>
    <w:p w14:paraId="01297823" w14:textId="638A399D" w:rsidR="00492BEB" w:rsidRDefault="00492BEB" w:rsidP="006222B0">
      <w:pPr>
        <w:spacing w:after="0" w:line="240" w:lineRule="auto"/>
        <w:jc w:val="both"/>
        <w:rPr>
          <w:rFonts w:ascii="Bookman Old Style" w:hAnsi="Bookman Old Style"/>
        </w:rPr>
      </w:pPr>
      <w:r>
        <w:rPr>
          <w:rFonts w:ascii="Bookman Old Style" w:hAnsi="Bookman Old Style"/>
        </w:rPr>
        <w:t>The OSC’s responsibilities for efficient information flow goes beyond new issues – they continue to regulate the trading of securities after they’ve been issued to ensure adequate disclosure of information.</w:t>
      </w:r>
    </w:p>
    <w:p w14:paraId="0256B9E2" w14:textId="77777777" w:rsidR="00492BEB" w:rsidRDefault="00492BEB" w:rsidP="006222B0">
      <w:pPr>
        <w:spacing w:after="0" w:line="240" w:lineRule="auto"/>
        <w:jc w:val="both"/>
        <w:rPr>
          <w:rFonts w:ascii="Bookman Old Style" w:hAnsi="Bookman Old Style"/>
        </w:rPr>
      </w:pPr>
    </w:p>
    <w:p w14:paraId="46BEBEC5" w14:textId="6851796F" w:rsidR="00492BEB" w:rsidRDefault="00492BEB" w:rsidP="006222B0">
      <w:pPr>
        <w:spacing w:after="0" w:line="240" w:lineRule="auto"/>
        <w:jc w:val="both"/>
        <w:rPr>
          <w:rFonts w:ascii="Bookman Old Style" w:hAnsi="Bookman Old Style"/>
        </w:rPr>
      </w:pPr>
      <w:r>
        <w:rPr>
          <w:rFonts w:ascii="Bookman Old Style" w:hAnsi="Bookman Old Style"/>
        </w:rPr>
        <w:t xml:space="preserve">Another role of the OSC is gathering and publishing </w:t>
      </w:r>
      <w:r>
        <w:rPr>
          <w:rFonts w:ascii="Bookman Old Style" w:hAnsi="Bookman Old Style"/>
          <w:b/>
          <w:i/>
        </w:rPr>
        <w:t>insider reports</w:t>
      </w:r>
      <w:r>
        <w:rPr>
          <w:rFonts w:ascii="Bookman Old Style" w:hAnsi="Bookman Old Style"/>
        </w:rPr>
        <w:t xml:space="preserve"> filed by major shareholders, officers and directors of TSX-listed firms. To make sure that the market functions efficiently, the OSC oversees the training and supervision that investment dealers provide for their personnel.</w:t>
      </w:r>
    </w:p>
    <w:p w14:paraId="09C8682F" w14:textId="77777777" w:rsidR="00492BEB" w:rsidRDefault="00492BEB" w:rsidP="006222B0">
      <w:pPr>
        <w:spacing w:after="0" w:line="240" w:lineRule="auto"/>
        <w:jc w:val="both"/>
        <w:rPr>
          <w:rFonts w:ascii="Bookman Old Style" w:hAnsi="Bookman Old Style"/>
        </w:rPr>
      </w:pPr>
    </w:p>
    <w:p w14:paraId="18AC9787" w14:textId="486A9635" w:rsidR="00492BEB" w:rsidRDefault="00492BEB" w:rsidP="006222B0">
      <w:pPr>
        <w:spacing w:after="0" w:line="240" w:lineRule="auto"/>
        <w:jc w:val="both"/>
        <w:rPr>
          <w:rFonts w:ascii="Bookman Old Style" w:hAnsi="Bookman Old Style"/>
        </w:rPr>
      </w:pPr>
      <w:r>
        <w:rPr>
          <w:rFonts w:ascii="Bookman Old Style" w:hAnsi="Bookman Old Style"/>
        </w:rPr>
        <w:t>They also work with the Investment Industry Regulatory Organization of Canada (IIROC) to monitor investment dealers’ capital positions.</w:t>
      </w:r>
    </w:p>
    <w:p w14:paraId="6B697997" w14:textId="77777777" w:rsidR="00492BEB" w:rsidRDefault="00492BEB" w:rsidP="006222B0">
      <w:pPr>
        <w:spacing w:after="0" w:line="240" w:lineRule="auto"/>
        <w:jc w:val="both"/>
        <w:rPr>
          <w:rFonts w:ascii="Bookman Old Style" w:hAnsi="Bookman Old Style"/>
        </w:rPr>
      </w:pPr>
    </w:p>
    <w:p w14:paraId="3C114EF0" w14:textId="77777777" w:rsidR="00492BEB" w:rsidRDefault="00492BEB" w:rsidP="006222B0">
      <w:pPr>
        <w:spacing w:after="0" w:line="240" w:lineRule="auto"/>
        <w:jc w:val="both"/>
        <w:rPr>
          <w:rFonts w:ascii="Bookman Old Style" w:hAnsi="Bookman Old Style"/>
        </w:rPr>
      </w:pPr>
    </w:p>
    <w:p w14:paraId="7F0E254D" w14:textId="5CB9EC30" w:rsidR="00492BEB" w:rsidRDefault="00492BEB" w:rsidP="006222B0">
      <w:pPr>
        <w:spacing w:after="0" w:line="240" w:lineRule="auto"/>
        <w:jc w:val="center"/>
        <w:rPr>
          <w:rFonts w:ascii="Bookman Old Style" w:hAnsi="Bookman Old Style"/>
          <w:b/>
          <w:u w:val="single"/>
        </w:rPr>
      </w:pPr>
      <w:r>
        <w:rPr>
          <w:rFonts w:ascii="Bookman Old Style" w:hAnsi="Bookman Old Style"/>
          <w:b/>
          <w:u w:val="single"/>
        </w:rPr>
        <w:t>THE BASIC PROCEDURE FOR A NEW ISSUE</w:t>
      </w:r>
    </w:p>
    <w:p w14:paraId="63A6D8F5" w14:textId="77777777" w:rsidR="00492BEB" w:rsidRDefault="00492BEB" w:rsidP="006222B0">
      <w:pPr>
        <w:spacing w:after="0" w:line="240" w:lineRule="auto"/>
        <w:jc w:val="center"/>
        <w:rPr>
          <w:rFonts w:ascii="Bookman Old Style" w:hAnsi="Bookman Old Style"/>
          <w:b/>
          <w:u w:val="single"/>
        </w:rPr>
      </w:pPr>
    </w:p>
    <w:p w14:paraId="12DE21F2" w14:textId="7C0A52A1" w:rsidR="00492BEB" w:rsidRDefault="00492BEB" w:rsidP="006222B0">
      <w:pPr>
        <w:spacing w:after="0" w:line="240" w:lineRule="auto"/>
        <w:jc w:val="both"/>
        <w:rPr>
          <w:rFonts w:ascii="Bookman Old Style" w:hAnsi="Bookman Old Style"/>
        </w:rPr>
      </w:pPr>
      <w:r>
        <w:rPr>
          <w:rFonts w:ascii="Bookman Old Style" w:hAnsi="Bookman Old Style"/>
        </w:rPr>
        <w:t>There’s a series of steps involved in issuing securities to the public. Generally, the basic procedure is:</w:t>
      </w:r>
    </w:p>
    <w:p w14:paraId="50A243A8" w14:textId="77777777" w:rsidR="00492BEB" w:rsidRDefault="00492BEB" w:rsidP="006222B0">
      <w:pPr>
        <w:spacing w:after="0" w:line="240" w:lineRule="auto"/>
        <w:jc w:val="both"/>
        <w:rPr>
          <w:rFonts w:ascii="Bookman Old Style" w:hAnsi="Bookman Old Style"/>
        </w:rPr>
      </w:pPr>
    </w:p>
    <w:p w14:paraId="3310D915" w14:textId="65125F3B" w:rsidR="00492BEB" w:rsidRPr="00492BEB" w:rsidRDefault="00492BEB" w:rsidP="006222B0">
      <w:pPr>
        <w:pStyle w:val="ListParagraph"/>
        <w:numPr>
          <w:ilvl w:val="0"/>
          <w:numId w:val="16"/>
        </w:numPr>
        <w:spacing w:after="0" w:line="240" w:lineRule="auto"/>
        <w:jc w:val="both"/>
        <w:rPr>
          <w:rFonts w:ascii="Bookman Old Style" w:hAnsi="Bookman Old Style"/>
        </w:rPr>
      </w:pPr>
      <w:r w:rsidRPr="00492BEB">
        <w:rPr>
          <w:rFonts w:ascii="Bookman Old Style" w:hAnsi="Bookman Old Style"/>
        </w:rPr>
        <w:t>Management first has to get approval from the board of directors to issue public securities. Sometimes, the number of authorized shares of common stock has to be increased – this requires a vote of the shareholders.</w:t>
      </w:r>
    </w:p>
    <w:p w14:paraId="508B6C7D" w14:textId="77777777" w:rsidR="00492BEB" w:rsidRDefault="00492BEB" w:rsidP="006222B0">
      <w:pPr>
        <w:spacing w:after="0" w:line="240" w:lineRule="auto"/>
        <w:jc w:val="both"/>
        <w:rPr>
          <w:rFonts w:ascii="Bookman Old Style" w:hAnsi="Bookman Old Style"/>
        </w:rPr>
      </w:pPr>
    </w:p>
    <w:p w14:paraId="32154F3E" w14:textId="2FFED3C5" w:rsidR="00492BEB" w:rsidRPr="008975D7" w:rsidRDefault="00492BEB" w:rsidP="006222B0">
      <w:pPr>
        <w:pStyle w:val="ListParagraph"/>
        <w:numPr>
          <w:ilvl w:val="0"/>
          <w:numId w:val="16"/>
        </w:numPr>
        <w:spacing w:after="0" w:line="240" w:lineRule="auto"/>
        <w:jc w:val="both"/>
        <w:rPr>
          <w:rFonts w:ascii="Bookman Old Style" w:hAnsi="Bookman Old Style"/>
        </w:rPr>
      </w:pPr>
      <w:r w:rsidRPr="008975D7">
        <w:rPr>
          <w:rFonts w:ascii="Bookman Old Style" w:hAnsi="Bookman Old Style"/>
        </w:rPr>
        <w:t xml:space="preserve">The firm has to prepare and distribute a preliminary </w:t>
      </w:r>
      <w:r w:rsidRPr="008975D7">
        <w:rPr>
          <w:rFonts w:ascii="Bookman Old Style" w:hAnsi="Bookman Old Style"/>
          <w:b/>
        </w:rPr>
        <w:t>prospectus</w:t>
      </w:r>
      <w:r w:rsidRPr="008975D7">
        <w:rPr>
          <w:rFonts w:ascii="Bookman Old Style" w:hAnsi="Bookman Old Style"/>
        </w:rPr>
        <w:t xml:space="preserve"> to the OSC and to potential investors.</w:t>
      </w:r>
      <w:r w:rsidR="008975D7" w:rsidRPr="008975D7">
        <w:rPr>
          <w:rFonts w:ascii="Bookman Old Style" w:hAnsi="Bookman Old Style"/>
        </w:rPr>
        <w:t xml:space="preserve"> The preliminary prospectus contains some of the financial information that will be in the final prospectus – it doesn’t contain the price at which the security will be offered.</w:t>
      </w:r>
    </w:p>
    <w:p w14:paraId="0AC1A12B" w14:textId="77777777" w:rsidR="008975D7" w:rsidRPr="008975D7" w:rsidRDefault="008975D7" w:rsidP="006222B0">
      <w:pPr>
        <w:spacing w:after="0" w:line="240" w:lineRule="auto"/>
        <w:jc w:val="both"/>
        <w:rPr>
          <w:rFonts w:ascii="Bookman Old Style" w:hAnsi="Bookman Old Style"/>
        </w:rPr>
      </w:pPr>
    </w:p>
    <w:p w14:paraId="557B809E" w14:textId="397D8BDE" w:rsidR="008975D7" w:rsidRDefault="008975D7" w:rsidP="006222B0">
      <w:pPr>
        <w:pStyle w:val="ListParagraph"/>
        <w:spacing w:after="0" w:line="240" w:lineRule="auto"/>
        <w:jc w:val="both"/>
        <w:rPr>
          <w:rFonts w:ascii="Bookman Old Style" w:hAnsi="Bookman Old Style"/>
        </w:rPr>
      </w:pPr>
      <w:r>
        <w:rPr>
          <w:rFonts w:ascii="Bookman Old Style" w:hAnsi="Bookman Old Style"/>
        </w:rPr>
        <w:t xml:space="preserve">The preliminary prospectus is sometimes called a </w:t>
      </w:r>
      <w:r>
        <w:rPr>
          <w:rFonts w:ascii="Bookman Old Style" w:hAnsi="Bookman Old Style"/>
          <w:b/>
        </w:rPr>
        <w:t>red herring</w:t>
      </w:r>
      <w:r>
        <w:rPr>
          <w:rFonts w:ascii="Bookman Old Style" w:hAnsi="Bookman Old Style"/>
        </w:rPr>
        <w:t>, mainly because bold red letters are printed on the cover warning that the OSC hasn’t approved or disapproved of the securities.</w:t>
      </w:r>
    </w:p>
    <w:p w14:paraId="52D110C7" w14:textId="77777777" w:rsidR="008975D7" w:rsidRDefault="008975D7" w:rsidP="006222B0">
      <w:pPr>
        <w:pStyle w:val="ListParagraph"/>
        <w:spacing w:after="0" w:line="240" w:lineRule="auto"/>
        <w:jc w:val="both"/>
        <w:rPr>
          <w:rFonts w:ascii="Bookman Old Style" w:hAnsi="Bookman Old Style"/>
        </w:rPr>
      </w:pPr>
    </w:p>
    <w:p w14:paraId="206B9ADE" w14:textId="2D5BDD1D" w:rsidR="008975D7" w:rsidRDefault="008975D7" w:rsidP="006222B0">
      <w:pPr>
        <w:pStyle w:val="ListParagraph"/>
        <w:spacing w:after="0" w:line="240" w:lineRule="auto"/>
        <w:jc w:val="both"/>
        <w:rPr>
          <w:rFonts w:ascii="Bookman Old Style" w:hAnsi="Bookman Old Style"/>
        </w:rPr>
      </w:pPr>
      <w:r>
        <w:rPr>
          <w:rFonts w:ascii="Bookman Old Style" w:hAnsi="Bookman Old Style"/>
        </w:rPr>
        <w:lastRenderedPageBreak/>
        <w:t>The OSC studies the preliminary prospectus and notifies the company of any changes they need to make – this process is usually completed in about 2 weeks.</w:t>
      </w:r>
    </w:p>
    <w:p w14:paraId="383E7E13" w14:textId="77777777" w:rsidR="008975D7" w:rsidRDefault="008975D7" w:rsidP="006222B0">
      <w:pPr>
        <w:spacing w:after="0" w:line="240" w:lineRule="auto"/>
        <w:jc w:val="both"/>
        <w:rPr>
          <w:rFonts w:ascii="Bookman Old Style" w:hAnsi="Bookman Old Style"/>
        </w:rPr>
      </w:pPr>
    </w:p>
    <w:p w14:paraId="55F61A2E" w14:textId="0FBE465B" w:rsidR="008975D7" w:rsidRPr="00E2653B" w:rsidRDefault="008975D7" w:rsidP="006222B0">
      <w:pPr>
        <w:pStyle w:val="ListParagraph"/>
        <w:numPr>
          <w:ilvl w:val="0"/>
          <w:numId w:val="16"/>
        </w:numPr>
        <w:spacing w:after="0" w:line="240" w:lineRule="auto"/>
        <w:jc w:val="both"/>
        <w:rPr>
          <w:rFonts w:ascii="Bookman Old Style" w:hAnsi="Bookman Old Style"/>
        </w:rPr>
      </w:pPr>
      <w:r w:rsidRPr="00E2653B">
        <w:rPr>
          <w:rFonts w:ascii="Bookman Old Style" w:hAnsi="Bookman Old Style"/>
        </w:rPr>
        <w:t>Once the revised, final prospectus meets OSC’s approval, a price is determined and a full-fledged selling effort gets under way.</w:t>
      </w:r>
    </w:p>
    <w:p w14:paraId="57EF3B2E" w14:textId="77777777" w:rsidR="00E2653B" w:rsidRDefault="00E2653B" w:rsidP="006222B0">
      <w:pPr>
        <w:pStyle w:val="ListParagraph"/>
        <w:spacing w:after="0" w:line="240" w:lineRule="auto"/>
        <w:jc w:val="both"/>
        <w:rPr>
          <w:rFonts w:ascii="Bookman Old Style" w:hAnsi="Bookman Old Style"/>
        </w:rPr>
      </w:pPr>
    </w:p>
    <w:p w14:paraId="7CB95003" w14:textId="716C1656" w:rsidR="00E2653B" w:rsidRDefault="00E2653B" w:rsidP="006222B0">
      <w:pPr>
        <w:pStyle w:val="ListParagraph"/>
        <w:spacing w:after="0" w:line="240" w:lineRule="auto"/>
        <w:jc w:val="both"/>
        <w:rPr>
          <w:rFonts w:ascii="Bookman Old Style" w:hAnsi="Bookman Old Style"/>
        </w:rPr>
      </w:pPr>
      <w:r>
        <w:rPr>
          <w:rFonts w:ascii="Bookman Old Style" w:hAnsi="Bookman Old Style"/>
        </w:rPr>
        <w:t>A final prospectus has to accompany the delivery of securities or confirmation of sale - whichever comes first.</w:t>
      </w:r>
    </w:p>
    <w:p w14:paraId="21C7CEB2" w14:textId="77777777" w:rsidR="00E2653B" w:rsidRDefault="00E2653B" w:rsidP="006222B0">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nThickLargeGap" w:sz="24" w:space="0" w:color="auto"/>
          <w:right w:val="thinThickLargeGap" w:sz="24" w:space="0" w:color="auto"/>
          <w:insideH w:val="none" w:sz="0" w:space="0" w:color="auto"/>
          <w:insideV w:val="none" w:sz="0" w:space="0" w:color="auto"/>
        </w:tblBorders>
        <w:tblLook w:val="04A0" w:firstRow="1" w:lastRow="0" w:firstColumn="1" w:lastColumn="0" w:noHBand="0" w:noVBand="1"/>
      </w:tblPr>
      <w:tblGrid>
        <w:gridCol w:w="9576"/>
      </w:tblGrid>
      <w:tr w:rsidR="00E2653B" w14:paraId="2D8B6DAD" w14:textId="77777777" w:rsidTr="00E2653B">
        <w:tc>
          <w:tcPr>
            <w:tcW w:w="9576" w:type="dxa"/>
          </w:tcPr>
          <w:p w14:paraId="58FB5D5D" w14:textId="05F525EE" w:rsidR="00E2653B" w:rsidRDefault="00E2653B" w:rsidP="006222B0">
            <w:pPr>
              <w:jc w:val="both"/>
              <w:rPr>
                <w:rFonts w:ascii="Bookman Old Style" w:hAnsi="Bookman Old Style"/>
              </w:rPr>
            </w:pPr>
          </w:p>
          <w:p w14:paraId="08ADFC17" w14:textId="0AB1E3A3" w:rsidR="00E2653B" w:rsidRDefault="00E2653B" w:rsidP="006222B0">
            <w:pPr>
              <w:jc w:val="both"/>
              <w:rPr>
                <w:rFonts w:ascii="Bookman Old Style" w:hAnsi="Bookman Old Style"/>
              </w:rPr>
            </w:pPr>
            <w:r>
              <w:rPr>
                <w:rFonts w:ascii="Bookman Old Style" w:hAnsi="Bookman Old Style"/>
                <w:b/>
              </w:rPr>
              <w:t>Prospectus</w:t>
            </w:r>
            <w:r>
              <w:rPr>
                <w:rFonts w:ascii="Bookman Old Style" w:hAnsi="Bookman Old Style"/>
              </w:rPr>
              <w:t xml:space="preserve"> – Legal document describing details of the issuing corporation and the proposed offering to potential investors</w:t>
            </w:r>
          </w:p>
          <w:p w14:paraId="1B54BF64" w14:textId="77777777" w:rsidR="00E2653B" w:rsidRDefault="00E2653B" w:rsidP="006222B0">
            <w:pPr>
              <w:jc w:val="both"/>
              <w:rPr>
                <w:rFonts w:ascii="Bookman Old Style" w:hAnsi="Bookman Old Style"/>
              </w:rPr>
            </w:pPr>
          </w:p>
          <w:p w14:paraId="0AE17293" w14:textId="77777777" w:rsidR="00E2653B" w:rsidRDefault="00E2653B" w:rsidP="006222B0">
            <w:pPr>
              <w:jc w:val="both"/>
              <w:rPr>
                <w:rFonts w:ascii="Bookman Old Style" w:hAnsi="Bookman Old Style"/>
              </w:rPr>
            </w:pPr>
            <w:r>
              <w:rPr>
                <w:rFonts w:ascii="Bookman Old Style" w:hAnsi="Bookman Old Style"/>
                <w:b/>
              </w:rPr>
              <w:t>Red Herring</w:t>
            </w:r>
            <w:r>
              <w:rPr>
                <w:rFonts w:ascii="Bookman Old Style" w:hAnsi="Bookman Old Style"/>
              </w:rPr>
              <w:t xml:space="preserve"> – A preliminary prospectus distributed to prospective investors in a new issue of securities</w:t>
            </w:r>
          </w:p>
          <w:p w14:paraId="00A0A29F" w14:textId="50D15CC9" w:rsidR="00E2653B" w:rsidRPr="00E2653B" w:rsidRDefault="00E2653B" w:rsidP="006222B0">
            <w:pPr>
              <w:jc w:val="both"/>
              <w:rPr>
                <w:rFonts w:ascii="Bookman Old Style" w:hAnsi="Bookman Old Style"/>
              </w:rPr>
            </w:pPr>
          </w:p>
        </w:tc>
      </w:tr>
    </w:tbl>
    <w:p w14:paraId="5AA1D00F" w14:textId="77777777" w:rsidR="00E2653B" w:rsidRDefault="00E2653B" w:rsidP="006222B0">
      <w:pPr>
        <w:spacing w:after="0" w:line="240" w:lineRule="auto"/>
        <w:jc w:val="both"/>
        <w:rPr>
          <w:rFonts w:ascii="Bookman Old Style" w:hAnsi="Bookman Old Style"/>
        </w:rPr>
      </w:pPr>
    </w:p>
    <w:p w14:paraId="33323218" w14:textId="1E3FA9BA" w:rsidR="00E2653B" w:rsidRDefault="006520B9" w:rsidP="006222B0">
      <w:pPr>
        <w:spacing w:after="0" w:line="240" w:lineRule="auto"/>
        <w:jc w:val="both"/>
        <w:rPr>
          <w:rFonts w:ascii="Bookman Old Style" w:hAnsi="Bookman Old Style"/>
        </w:rPr>
      </w:pPr>
      <w:r>
        <w:rPr>
          <w:rFonts w:ascii="Bookman Old Style" w:hAnsi="Bookman Old Style"/>
          <w:b/>
          <w:i/>
        </w:rPr>
        <w:t>Tombstone advertisements</w:t>
      </w:r>
      <w:r>
        <w:rPr>
          <w:rFonts w:ascii="Bookman Old Style" w:hAnsi="Bookman Old Style"/>
        </w:rPr>
        <w:t xml:space="preserve"> are placed during &amp; after the waiting period – it contains the name of the </w:t>
      </w:r>
      <w:proofErr w:type="gramStart"/>
      <w:r>
        <w:rPr>
          <w:rFonts w:ascii="Bookman Old Style" w:hAnsi="Bookman Old Style"/>
        </w:rPr>
        <w:t>company whose securities are</w:t>
      </w:r>
      <w:proofErr w:type="gramEnd"/>
      <w:r>
        <w:rPr>
          <w:rFonts w:ascii="Bookman Old Style" w:hAnsi="Bookman Old Style"/>
        </w:rPr>
        <w:t xml:space="preserve"> involved and provides some information about the issue. It also lists the investment dealers (and underwriters) who are involved with selling of the issue.</w:t>
      </w:r>
    </w:p>
    <w:p w14:paraId="155FFB7D" w14:textId="77777777" w:rsidR="006520B9" w:rsidRDefault="006520B9" w:rsidP="006222B0">
      <w:pPr>
        <w:spacing w:after="0" w:line="240" w:lineRule="auto"/>
        <w:jc w:val="both"/>
        <w:rPr>
          <w:rFonts w:ascii="Bookman Old Style" w:hAnsi="Bookman Old Style"/>
        </w:rPr>
      </w:pPr>
    </w:p>
    <w:p w14:paraId="0B5F0AB5" w14:textId="04B7A62F" w:rsidR="006520B9" w:rsidRDefault="006520B9" w:rsidP="006222B0">
      <w:pPr>
        <w:spacing w:after="0" w:line="240" w:lineRule="auto"/>
        <w:jc w:val="both"/>
        <w:rPr>
          <w:rFonts w:ascii="Bookman Old Style" w:hAnsi="Bookman Old Style"/>
        </w:rPr>
      </w:pPr>
      <w:r>
        <w:rPr>
          <w:rFonts w:ascii="Bookman Old Style" w:hAnsi="Bookman Old Style"/>
          <w:b/>
          <w:i/>
        </w:rPr>
        <w:t>Investment dealers</w:t>
      </w:r>
      <w:r>
        <w:rPr>
          <w:rFonts w:ascii="Bookman Old Style" w:hAnsi="Bookman Old Style"/>
        </w:rPr>
        <w:t xml:space="preserve"> are divided into groups called </w:t>
      </w:r>
      <w:r>
        <w:rPr>
          <w:rFonts w:ascii="Bookman Old Style" w:hAnsi="Bookman Old Style"/>
          <w:u w:val="single"/>
        </w:rPr>
        <w:t>brackets</w:t>
      </w:r>
      <w:r>
        <w:rPr>
          <w:rFonts w:ascii="Bookman Old Style" w:hAnsi="Bookman Old Style"/>
        </w:rPr>
        <w:t xml:space="preserve"> on the tombstone &amp; prospectus, and the names of the dealers are listed alphabetically within each bracket – the brackets are kind of a pecking order; the higher the bracket, the greater the underwriter’s prestige.</w:t>
      </w:r>
    </w:p>
    <w:p w14:paraId="6B9CC116" w14:textId="77777777" w:rsidR="006520B9" w:rsidRDefault="006520B9" w:rsidP="006222B0">
      <w:pPr>
        <w:spacing w:after="0" w:line="240" w:lineRule="auto"/>
        <w:jc w:val="both"/>
        <w:rPr>
          <w:rFonts w:ascii="Bookman Old Style" w:hAnsi="Bookman Old Style"/>
        </w:rPr>
      </w:pPr>
    </w:p>
    <w:p w14:paraId="12F5339F" w14:textId="44E8491D" w:rsidR="006520B9" w:rsidRDefault="006520B9" w:rsidP="006222B0">
      <w:pPr>
        <w:spacing w:after="0" w:line="240" w:lineRule="auto"/>
        <w:jc w:val="both"/>
        <w:rPr>
          <w:rFonts w:ascii="Bookman Old Style" w:hAnsi="Bookman Old Style"/>
        </w:rPr>
      </w:pPr>
      <w:r>
        <w:rPr>
          <w:rFonts w:ascii="Bookman Old Style" w:hAnsi="Bookman Old Style"/>
        </w:rPr>
        <w:t xml:space="preserve">An underwriter’s prestige is important for a </w:t>
      </w:r>
      <w:r>
        <w:rPr>
          <w:rFonts w:ascii="Bookman Old Style" w:hAnsi="Bookman Old Style"/>
          <w:b/>
        </w:rPr>
        <w:t>seasoned new issue</w:t>
      </w:r>
      <w:r w:rsidR="008F4F87">
        <w:rPr>
          <w:rFonts w:ascii="Bookman Old Style" w:hAnsi="Bookman Old Style"/>
          <w:b/>
        </w:rPr>
        <w:t xml:space="preserve"> </w:t>
      </w:r>
      <w:r w:rsidR="008F4F87">
        <w:rPr>
          <w:rFonts w:ascii="Bookman Old Style" w:hAnsi="Bookman Old Style"/>
        </w:rPr>
        <w:t xml:space="preserve">by a </w:t>
      </w:r>
      <w:proofErr w:type="spellStart"/>
      <w:r w:rsidR="008F4F87">
        <w:rPr>
          <w:rFonts w:ascii="Bookman Old Style" w:hAnsi="Bookman Old Style"/>
        </w:rPr>
        <w:t>well known</w:t>
      </w:r>
      <w:proofErr w:type="spellEnd"/>
      <w:r w:rsidR="008F4F87">
        <w:rPr>
          <w:rFonts w:ascii="Bookman Old Style" w:hAnsi="Bookman Old Style"/>
        </w:rPr>
        <w:t xml:space="preserve"> company already traded on the TSX, it’s even more important for the first public equity issue referred to as an </w:t>
      </w:r>
      <w:r w:rsidR="008F4F87">
        <w:rPr>
          <w:rFonts w:ascii="Bookman Old Style" w:hAnsi="Bookman Old Style"/>
          <w:b/>
        </w:rPr>
        <w:t>initial public offering (IPO)</w:t>
      </w:r>
      <w:r w:rsidR="008F4F87">
        <w:rPr>
          <w:rFonts w:ascii="Bookman Old Style" w:hAnsi="Bookman Old Style"/>
        </w:rPr>
        <w:t>, or an unseasoned new issue.</w:t>
      </w:r>
    </w:p>
    <w:p w14:paraId="50D63627" w14:textId="77777777" w:rsidR="008F4F87" w:rsidRDefault="008F4F87" w:rsidP="006222B0">
      <w:pPr>
        <w:spacing w:after="0" w:line="240" w:lineRule="auto"/>
        <w:jc w:val="both"/>
        <w:rPr>
          <w:rFonts w:ascii="Bookman Old Style" w:hAnsi="Bookman Old Style"/>
        </w:rPr>
      </w:pPr>
    </w:p>
    <w:tbl>
      <w:tblPr>
        <w:tblStyle w:val="TableGrid"/>
        <w:tblW w:w="0" w:type="auto"/>
        <w:tblBorders>
          <w:top w:val="thinThickLargeGap" w:sz="24" w:space="0" w:color="auto"/>
          <w:left w:val="thinThickLargeGap" w:sz="24" w:space="0" w:color="auto"/>
          <w:bottom w:val="thickThinLargeGap" w:sz="24" w:space="0" w:color="auto"/>
          <w:right w:val="thickThinLargeGap" w:sz="24" w:space="0" w:color="auto"/>
          <w:insideH w:val="none" w:sz="0" w:space="0" w:color="auto"/>
          <w:insideV w:val="none" w:sz="0" w:space="0" w:color="auto"/>
        </w:tblBorders>
        <w:tblLook w:val="04A0" w:firstRow="1" w:lastRow="0" w:firstColumn="1" w:lastColumn="0" w:noHBand="0" w:noVBand="1"/>
      </w:tblPr>
      <w:tblGrid>
        <w:gridCol w:w="9576"/>
      </w:tblGrid>
      <w:tr w:rsidR="008F4F87" w14:paraId="15196A3C" w14:textId="77777777" w:rsidTr="008F4F87">
        <w:tc>
          <w:tcPr>
            <w:tcW w:w="9576" w:type="dxa"/>
          </w:tcPr>
          <w:p w14:paraId="43A719EA" w14:textId="0B8065DF" w:rsidR="008F4F87" w:rsidRDefault="008F4F87" w:rsidP="006222B0">
            <w:pPr>
              <w:jc w:val="both"/>
              <w:rPr>
                <w:rFonts w:ascii="Bookman Old Style" w:hAnsi="Bookman Old Style"/>
                <w:b/>
              </w:rPr>
            </w:pPr>
          </w:p>
          <w:p w14:paraId="7626DF3F" w14:textId="77777777" w:rsidR="008F4F87" w:rsidRPr="008F4F87" w:rsidRDefault="008F4F87" w:rsidP="006222B0">
            <w:pPr>
              <w:jc w:val="both"/>
              <w:rPr>
                <w:rFonts w:ascii="Bookman Old Style" w:hAnsi="Bookman Old Style"/>
              </w:rPr>
            </w:pPr>
            <w:r w:rsidRPr="008F4F87">
              <w:rPr>
                <w:rFonts w:ascii="Bookman Old Style" w:hAnsi="Bookman Old Style"/>
                <w:b/>
              </w:rPr>
              <w:t>Seasoned New Issue</w:t>
            </w:r>
            <w:r w:rsidRPr="008F4F87">
              <w:rPr>
                <w:rFonts w:ascii="Bookman Old Style" w:hAnsi="Bookman Old Style"/>
              </w:rPr>
              <w:t xml:space="preserve"> – A new issue of securities by a firm that has already issued securities in the past.</w:t>
            </w:r>
          </w:p>
          <w:p w14:paraId="1D9B99E6" w14:textId="77777777" w:rsidR="008F4F87" w:rsidRPr="008F4F87" w:rsidRDefault="008F4F87" w:rsidP="006222B0">
            <w:pPr>
              <w:jc w:val="both"/>
              <w:rPr>
                <w:rFonts w:ascii="Bookman Old Style" w:hAnsi="Bookman Old Style"/>
              </w:rPr>
            </w:pPr>
          </w:p>
          <w:p w14:paraId="44CD1A8D" w14:textId="77777777" w:rsidR="008F4F87" w:rsidRPr="008F4F87" w:rsidRDefault="008F4F87" w:rsidP="006222B0">
            <w:pPr>
              <w:jc w:val="both"/>
              <w:rPr>
                <w:rFonts w:ascii="Bookman Old Style" w:hAnsi="Bookman Old Style"/>
              </w:rPr>
            </w:pPr>
            <w:r w:rsidRPr="008F4F87">
              <w:rPr>
                <w:rFonts w:ascii="Bookman Old Style" w:hAnsi="Bookman Old Style"/>
                <w:b/>
              </w:rPr>
              <w:t xml:space="preserve">Initial Public Offering (IPO) – </w:t>
            </w:r>
            <w:r w:rsidRPr="008F4F87">
              <w:rPr>
                <w:rFonts w:ascii="Bookman Old Style" w:hAnsi="Bookman Old Style"/>
              </w:rPr>
              <w:t>A company’s first equity issue made available to the public. Also an unseasoned new issue.</w:t>
            </w:r>
          </w:p>
          <w:p w14:paraId="21CB7377" w14:textId="17F24851" w:rsidR="008F4F87" w:rsidRPr="008F4F87" w:rsidRDefault="008F4F87" w:rsidP="006222B0">
            <w:pPr>
              <w:jc w:val="both"/>
              <w:rPr>
                <w:rFonts w:ascii="Bookman Old Style" w:hAnsi="Bookman Old Style"/>
              </w:rPr>
            </w:pPr>
          </w:p>
        </w:tc>
      </w:tr>
    </w:tbl>
    <w:p w14:paraId="1E49BA4C" w14:textId="0D7CCA82" w:rsidR="008F4F87" w:rsidRDefault="008F4F87" w:rsidP="006222B0">
      <w:pPr>
        <w:spacing w:after="0" w:line="240" w:lineRule="auto"/>
        <w:jc w:val="both"/>
        <w:rPr>
          <w:rFonts w:ascii="Bookman Old Style" w:hAnsi="Bookman Old Style"/>
        </w:rPr>
      </w:pPr>
    </w:p>
    <w:p w14:paraId="5DBE0556" w14:textId="58FC6C5B" w:rsidR="008F4F87" w:rsidRDefault="008F4F87" w:rsidP="006222B0">
      <w:pPr>
        <w:spacing w:after="0" w:line="240" w:lineRule="auto"/>
        <w:jc w:val="both"/>
        <w:rPr>
          <w:rFonts w:ascii="Bookman Old Style" w:hAnsi="Bookman Old Style"/>
        </w:rPr>
      </w:pPr>
      <w:r>
        <w:rPr>
          <w:rFonts w:ascii="Bookman Old Style" w:hAnsi="Bookman Old Style"/>
        </w:rPr>
        <w:t>An IPO occurs when a company decides to go public. Research found that IPOs with prestigious underwriters performed better.</w:t>
      </w:r>
    </w:p>
    <w:p w14:paraId="66D5B91F" w14:textId="77777777" w:rsidR="008F4F87" w:rsidRDefault="008F4F87" w:rsidP="006222B0">
      <w:pPr>
        <w:spacing w:after="0" w:line="240" w:lineRule="auto"/>
        <w:jc w:val="both"/>
        <w:rPr>
          <w:rFonts w:ascii="Bookman Old Style" w:hAnsi="Bookman Old Style"/>
        </w:rPr>
      </w:pPr>
    </w:p>
    <w:p w14:paraId="4547F013" w14:textId="77777777" w:rsidR="008F4F87" w:rsidRDefault="008F4F87" w:rsidP="006222B0">
      <w:pPr>
        <w:spacing w:after="0" w:line="240" w:lineRule="auto"/>
        <w:jc w:val="both"/>
        <w:rPr>
          <w:rFonts w:ascii="Bookman Old Style" w:hAnsi="Bookman Old Style"/>
        </w:rPr>
      </w:pPr>
    </w:p>
    <w:p w14:paraId="73D1E403" w14:textId="77777777" w:rsidR="008F4F87" w:rsidRDefault="008F4F87" w:rsidP="006222B0">
      <w:pPr>
        <w:spacing w:after="0" w:line="240" w:lineRule="auto"/>
        <w:jc w:val="both"/>
        <w:rPr>
          <w:rFonts w:ascii="Bookman Old Style" w:hAnsi="Bookman Old Style"/>
        </w:rPr>
      </w:pPr>
    </w:p>
    <w:p w14:paraId="5625427F" w14:textId="77777777" w:rsidR="008F4F87" w:rsidRDefault="008F4F87" w:rsidP="006222B0">
      <w:pPr>
        <w:spacing w:after="0" w:line="240" w:lineRule="auto"/>
        <w:jc w:val="both"/>
        <w:rPr>
          <w:rFonts w:ascii="Bookman Old Style" w:hAnsi="Bookman Old Style"/>
        </w:rPr>
      </w:pPr>
    </w:p>
    <w:p w14:paraId="302BC0D7" w14:textId="77777777" w:rsidR="008F4F87" w:rsidRDefault="008F4F87" w:rsidP="006222B0">
      <w:pPr>
        <w:spacing w:after="0" w:line="240" w:lineRule="auto"/>
        <w:jc w:val="both"/>
        <w:rPr>
          <w:rFonts w:ascii="Bookman Old Style" w:hAnsi="Bookman Old Style"/>
        </w:rPr>
      </w:pPr>
    </w:p>
    <w:p w14:paraId="1991C522" w14:textId="084478B4" w:rsidR="008F4F87" w:rsidRDefault="008F4F87" w:rsidP="006222B0">
      <w:pPr>
        <w:spacing w:after="0" w:line="240" w:lineRule="auto"/>
        <w:jc w:val="both"/>
        <w:rPr>
          <w:rFonts w:ascii="Bookman Old Style" w:hAnsi="Bookman Old Style"/>
        </w:rPr>
      </w:pPr>
      <w:r>
        <w:rPr>
          <w:rFonts w:ascii="Bookman Old Style" w:hAnsi="Bookman Old Style"/>
          <w:b/>
          <w:u w:val="single"/>
        </w:rPr>
        <w:lastRenderedPageBreak/>
        <w:t>SECURITIES REGISTRATION</w:t>
      </w:r>
    </w:p>
    <w:p w14:paraId="45D75294" w14:textId="15194CA2" w:rsidR="008F4F87" w:rsidRDefault="008F4F87" w:rsidP="006222B0">
      <w:pPr>
        <w:spacing w:after="0" w:line="240" w:lineRule="auto"/>
        <w:jc w:val="both"/>
        <w:rPr>
          <w:rFonts w:ascii="Bookman Old Style" w:hAnsi="Bookman Old Style"/>
        </w:rPr>
      </w:pPr>
      <w:r>
        <w:rPr>
          <w:rFonts w:ascii="Bookman Old Style" w:hAnsi="Bookman Old Style"/>
        </w:rPr>
        <w:t>The SEC uses a shelf registration system designed to reduce repetitive filing requirements for large companies. The OSC’s SFPD (short form prospectus distribution) system has a similar goal.</w:t>
      </w:r>
    </w:p>
    <w:p w14:paraId="6E74E244" w14:textId="77777777" w:rsidR="008F4F87" w:rsidRDefault="008F4F87" w:rsidP="006222B0">
      <w:pPr>
        <w:spacing w:after="0" w:line="240" w:lineRule="auto"/>
        <w:jc w:val="both"/>
        <w:rPr>
          <w:rFonts w:ascii="Bookman Old Style" w:hAnsi="Bookman Old Style"/>
        </w:rPr>
      </w:pPr>
    </w:p>
    <w:p w14:paraId="069D9522" w14:textId="33B2F3FA" w:rsidR="008F4F87" w:rsidRDefault="008F4F87" w:rsidP="006222B0">
      <w:pPr>
        <w:spacing w:after="0" w:line="240" w:lineRule="auto"/>
        <w:jc w:val="both"/>
        <w:rPr>
          <w:rFonts w:ascii="Bookman Old Style" w:hAnsi="Bookman Old Style"/>
        </w:rPr>
      </w:pPr>
      <w:r>
        <w:rPr>
          <w:rFonts w:ascii="Bookman Old Style" w:hAnsi="Bookman Old Style"/>
        </w:rPr>
        <w:t>The provincial securities commissions all have compatible legislation allowing certain securities issuers prompt access to capital markets without preparing a full preliminary and final prospectus before a distribution.</w:t>
      </w:r>
    </w:p>
    <w:p w14:paraId="3259A245" w14:textId="77777777" w:rsidR="008F4F87" w:rsidRDefault="008F4F87" w:rsidP="006222B0">
      <w:pPr>
        <w:spacing w:after="0" w:line="240" w:lineRule="auto"/>
        <w:jc w:val="both"/>
        <w:rPr>
          <w:rFonts w:ascii="Bookman Old Style" w:hAnsi="Bookman Old Style"/>
        </w:rPr>
      </w:pPr>
    </w:p>
    <w:p w14:paraId="73469F86" w14:textId="6BDCBE2D" w:rsidR="008F4F87" w:rsidRDefault="008F4F87" w:rsidP="006222B0">
      <w:pPr>
        <w:spacing w:after="0" w:line="240" w:lineRule="auto"/>
        <w:jc w:val="both"/>
        <w:rPr>
          <w:rFonts w:ascii="Bookman Old Style" w:hAnsi="Bookman Old Style"/>
        </w:rPr>
      </w:pPr>
      <w:r>
        <w:rPr>
          <w:rFonts w:ascii="Bookman Old Style" w:hAnsi="Bookman Old Style"/>
        </w:rPr>
        <w:t>The SFPD system, only accessible by large companies, allows issuers to file annual and interim financial statements regardless of whether they issue securities in a given year.</w:t>
      </w:r>
    </w:p>
    <w:p w14:paraId="03A4FF24" w14:textId="77777777" w:rsidR="008F4F87" w:rsidRDefault="008F4F87" w:rsidP="006222B0">
      <w:pPr>
        <w:spacing w:after="0" w:line="240" w:lineRule="auto"/>
        <w:jc w:val="both"/>
        <w:rPr>
          <w:rFonts w:ascii="Bookman Old Style" w:hAnsi="Bookman Old Style"/>
        </w:rPr>
      </w:pPr>
    </w:p>
    <w:p w14:paraId="0E78A3BC" w14:textId="3842B3CF" w:rsidR="008F4F87" w:rsidRDefault="008F4F87" w:rsidP="006222B0">
      <w:pPr>
        <w:spacing w:after="0" w:line="240" w:lineRule="auto"/>
        <w:jc w:val="both"/>
        <w:rPr>
          <w:rFonts w:ascii="Bookman Old Style" w:hAnsi="Bookman Old Style"/>
        </w:rPr>
      </w:pPr>
      <w:r>
        <w:rPr>
          <w:rFonts w:ascii="Bookman Old Style" w:hAnsi="Bookman Old Style"/>
        </w:rPr>
        <w:t>To use the POP (Prompt Offering Prospectus) system, issuers must have reported for 36 months and complied with the continuous disclosure requirements. The OSC has an extensive file of information on these companies so only a short prospectus is required when securities are issued.</w:t>
      </w:r>
    </w:p>
    <w:p w14:paraId="71F8E86F" w14:textId="77777777" w:rsidR="008F4F87" w:rsidRDefault="008F4F87" w:rsidP="006222B0">
      <w:pPr>
        <w:spacing w:after="0" w:line="240" w:lineRule="auto"/>
        <w:jc w:val="both"/>
        <w:rPr>
          <w:rFonts w:ascii="Bookman Old Style" w:hAnsi="Bookman Old Style"/>
        </w:rPr>
      </w:pPr>
    </w:p>
    <w:p w14:paraId="74F9DB2A" w14:textId="7B95E9C4" w:rsidR="008F4F87" w:rsidRDefault="008F4F87" w:rsidP="006222B0">
      <w:pPr>
        <w:spacing w:after="0" w:line="240" w:lineRule="auto"/>
        <w:jc w:val="both"/>
        <w:rPr>
          <w:rFonts w:ascii="Bookman Old Style" w:hAnsi="Bookman Old Style"/>
        </w:rPr>
      </w:pPr>
      <w:r>
        <w:rPr>
          <w:rFonts w:ascii="Bookman Old Style" w:hAnsi="Bookman Old Style"/>
        </w:rPr>
        <w:t xml:space="preserve">In the 1990s, securities regulators in Canada &amp; the US introduced a Multi-Jurisdictional Disclosure System (MJDS) where large issuers </w:t>
      </w:r>
      <w:r w:rsidR="001C7B4E">
        <w:rPr>
          <w:rFonts w:ascii="Bookman Old Style" w:hAnsi="Bookman Old Style"/>
        </w:rPr>
        <w:t>are allowed to issue securities in both countries under disclosure documents satisfactory to regulators in the home country. This was important in simplifying the filing requirements for certain large Canadian companies.</w:t>
      </w:r>
    </w:p>
    <w:p w14:paraId="0B955977" w14:textId="77777777" w:rsidR="001C7B4E" w:rsidRDefault="001C7B4E" w:rsidP="006222B0">
      <w:pPr>
        <w:spacing w:after="0" w:line="240" w:lineRule="auto"/>
        <w:jc w:val="both"/>
        <w:rPr>
          <w:rFonts w:ascii="Bookman Old Style" w:hAnsi="Bookman Old Style"/>
        </w:rPr>
      </w:pPr>
    </w:p>
    <w:p w14:paraId="14D37433" w14:textId="77777777" w:rsidR="001C7B4E" w:rsidRDefault="001C7B4E" w:rsidP="006222B0">
      <w:pPr>
        <w:spacing w:after="0" w:line="240" w:lineRule="auto"/>
        <w:jc w:val="both"/>
        <w:rPr>
          <w:rFonts w:ascii="Bookman Old Style" w:hAnsi="Bookman Old Style"/>
        </w:rPr>
      </w:pPr>
      <w:r>
        <w:rPr>
          <w:rFonts w:ascii="Bookman Old Style" w:hAnsi="Bookman Old Style"/>
        </w:rPr>
        <w:t xml:space="preserve">MJDS is based on a model of companies issuing securities simultaneously at home and in foreign markets – many Canadian companies are cross-listed on the NYSE or </w:t>
      </w:r>
      <w:proofErr w:type="gramStart"/>
      <w:r>
        <w:rPr>
          <w:rFonts w:ascii="Bookman Old Style" w:hAnsi="Bookman Old Style"/>
        </w:rPr>
        <w:t>Nasdaq</w:t>
      </w:r>
      <w:proofErr w:type="gramEnd"/>
      <w:r>
        <w:rPr>
          <w:rFonts w:ascii="Bookman Old Style" w:hAnsi="Bookman Old Style"/>
        </w:rPr>
        <w:t xml:space="preserve">. </w:t>
      </w:r>
    </w:p>
    <w:p w14:paraId="78C0A8D1" w14:textId="77777777" w:rsidR="001C7B4E" w:rsidRDefault="001C7B4E" w:rsidP="006222B0">
      <w:pPr>
        <w:spacing w:after="0" w:line="240" w:lineRule="auto"/>
        <w:jc w:val="both"/>
        <w:rPr>
          <w:rFonts w:ascii="Bookman Old Style" w:hAnsi="Bookman Old Style"/>
        </w:rPr>
      </w:pPr>
    </w:p>
    <w:p w14:paraId="08FFEE73" w14:textId="225908A6" w:rsidR="001C7B4E" w:rsidRDefault="001C7B4E" w:rsidP="006222B0">
      <w:pPr>
        <w:spacing w:after="0" w:line="240" w:lineRule="auto"/>
        <w:jc w:val="both"/>
        <w:rPr>
          <w:rFonts w:ascii="Bookman Old Style" w:hAnsi="Bookman Old Style"/>
        </w:rPr>
      </w:pPr>
      <w:r>
        <w:rPr>
          <w:rFonts w:ascii="Bookman Old Style" w:hAnsi="Bookman Old Style"/>
        </w:rPr>
        <w:t>Cross listing is the practice of listing a firm’s shares for trading on other exchanges, usually in foreign countries. For Canadian firms, cross listing opens up an alternative of issuing in larger US stock markets. Listing in the US offers many advantages such as:</w:t>
      </w:r>
    </w:p>
    <w:p w14:paraId="5334B8F9" w14:textId="7892FAB7" w:rsidR="001C7B4E" w:rsidRPr="001C7B4E" w:rsidRDefault="001C7B4E" w:rsidP="006222B0">
      <w:pPr>
        <w:pStyle w:val="ListParagraph"/>
        <w:numPr>
          <w:ilvl w:val="0"/>
          <w:numId w:val="14"/>
        </w:numPr>
        <w:spacing w:after="0" w:line="240" w:lineRule="auto"/>
        <w:jc w:val="both"/>
        <w:rPr>
          <w:rFonts w:ascii="Bookman Old Style" w:hAnsi="Bookman Old Style"/>
        </w:rPr>
      </w:pPr>
      <w:r w:rsidRPr="001C7B4E">
        <w:rPr>
          <w:rFonts w:ascii="Bookman Old Style" w:hAnsi="Bookman Old Style"/>
        </w:rPr>
        <w:t>Greater liquidity</w:t>
      </w:r>
    </w:p>
    <w:p w14:paraId="4136059B" w14:textId="59D1AECF" w:rsidR="001C7B4E" w:rsidRDefault="001C7B4E" w:rsidP="006222B0">
      <w:pPr>
        <w:pStyle w:val="ListParagraph"/>
        <w:numPr>
          <w:ilvl w:val="0"/>
          <w:numId w:val="14"/>
        </w:numPr>
        <w:spacing w:after="0" w:line="240" w:lineRule="auto"/>
        <w:jc w:val="both"/>
        <w:rPr>
          <w:rFonts w:ascii="Bookman Old Style" w:hAnsi="Bookman Old Style"/>
        </w:rPr>
      </w:pPr>
      <w:r>
        <w:rPr>
          <w:rFonts w:ascii="Bookman Old Style" w:hAnsi="Bookman Old Style"/>
        </w:rPr>
        <w:t>L</w:t>
      </w:r>
      <w:r w:rsidRPr="001C7B4E">
        <w:rPr>
          <w:rFonts w:ascii="Bookman Old Style" w:hAnsi="Bookman Old Style"/>
        </w:rPr>
        <w:t>ower trading costs</w:t>
      </w:r>
    </w:p>
    <w:p w14:paraId="5C2C1EDA" w14:textId="1756B734" w:rsidR="001C7B4E" w:rsidRDefault="001C7B4E" w:rsidP="006222B0">
      <w:pPr>
        <w:pStyle w:val="ListParagraph"/>
        <w:numPr>
          <w:ilvl w:val="0"/>
          <w:numId w:val="14"/>
        </w:numPr>
        <w:spacing w:after="0" w:line="240" w:lineRule="auto"/>
        <w:jc w:val="both"/>
        <w:rPr>
          <w:rFonts w:ascii="Bookman Old Style" w:hAnsi="Bookman Old Style"/>
        </w:rPr>
      </w:pPr>
      <w:r>
        <w:rPr>
          <w:rFonts w:ascii="Bookman Old Style" w:hAnsi="Bookman Old Style"/>
        </w:rPr>
        <w:t>Greater visibility</w:t>
      </w:r>
    </w:p>
    <w:p w14:paraId="12C47F5C" w14:textId="5F098A74" w:rsidR="001C7B4E" w:rsidRDefault="001C7B4E" w:rsidP="006222B0">
      <w:pPr>
        <w:pStyle w:val="ListParagraph"/>
        <w:numPr>
          <w:ilvl w:val="0"/>
          <w:numId w:val="14"/>
        </w:numPr>
        <w:spacing w:after="0" w:line="240" w:lineRule="auto"/>
        <w:jc w:val="both"/>
        <w:rPr>
          <w:rFonts w:ascii="Bookman Old Style" w:hAnsi="Bookman Old Style"/>
        </w:rPr>
      </w:pPr>
      <w:r>
        <w:rPr>
          <w:rFonts w:ascii="Bookman Old Style" w:hAnsi="Bookman Old Style"/>
        </w:rPr>
        <w:t>Greater investor protection under more stringent US securities laws</w:t>
      </w:r>
    </w:p>
    <w:p w14:paraId="74BF0401" w14:textId="77777777" w:rsidR="001C7B4E" w:rsidRDefault="001C7B4E" w:rsidP="006222B0">
      <w:pPr>
        <w:spacing w:after="0" w:line="240" w:lineRule="auto"/>
        <w:jc w:val="both"/>
        <w:rPr>
          <w:rFonts w:ascii="Bookman Old Style" w:hAnsi="Bookman Old Style"/>
        </w:rPr>
      </w:pPr>
    </w:p>
    <w:p w14:paraId="3C408F33" w14:textId="42D74ECF" w:rsidR="001C7B4E" w:rsidRDefault="001C7B4E" w:rsidP="006222B0">
      <w:pPr>
        <w:spacing w:after="0" w:line="240" w:lineRule="auto"/>
        <w:jc w:val="both"/>
        <w:rPr>
          <w:rFonts w:ascii="Bookman Old Style" w:hAnsi="Bookman Old Style"/>
        </w:rPr>
      </w:pPr>
      <w:r>
        <w:rPr>
          <w:rFonts w:ascii="Bookman Old Style" w:hAnsi="Bookman Old Style"/>
        </w:rPr>
        <w:t xml:space="preserve">US listing also </w:t>
      </w:r>
      <w:proofErr w:type="gramStart"/>
      <w:r>
        <w:rPr>
          <w:rFonts w:ascii="Bookman Old Style" w:hAnsi="Bookman Old Style"/>
        </w:rPr>
        <w:t>has</w:t>
      </w:r>
      <w:proofErr w:type="gramEnd"/>
      <w:r>
        <w:rPr>
          <w:rFonts w:ascii="Bookman Old Style" w:hAnsi="Bookman Old Style"/>
        </w:rPr>
        <w:t xml:space="preserve"> disadvantages like higher accounting and compliance costs. So it’s still undecided as to whether US listings adds shareholder value.</w:t>
      </w:r>
    </w:p>
    <w:p w14:paraId="4CAD9DDF" w14:textId="77777777" w:rsidR="001C7B4E" w:rsidRDefault="001C7B4E" w:rsidP="006222B0">
      <w:pPr>
        <w:spacing w:after="0" w:line="240" w:lineRule="auto"/>
        <w:jc w:val="both"/>
        <w:rPr>
          <w:rFonts w:ascii="Bookman Old Style" w:hAnsi="Bookman Old Style"/>
        </w:rPr>
      </w:pPr>
    </w:p>
    <w:p w14:paraId="3B8E5E7C" w14:textId="77777777" w:rsidR="001C7B4E" w:rsidRDefault="001C7B4E" w:rsidP="006222B0">
      <w:pPr>
        <w:spacing w:after="0" w:line="240" w:lineRule="auto"/>
        <w:jc w:val="both"/>
        <w:rPr>
          <w:rFonts w:ascii="Bookman Old Style" w:hAnsi="Bookman Old Style"/>
        </w:rPr>
      </w:pPr>
    </w:p>
    <w:p w14:paraId="5FCB9928" w14:textId="20BF72C4" w:rsidR="001C7B4E" w:rsidRDefault="001C7B4E" w:rsidP="006222B0">
      <w:pPr>
        <w:spacing w:after="0" w:line="240" w:lineRule="auto"/>
        <w:jc w:val="both"/>
        <w:rPr>
          <w:rFonts w:ascii="Bookman Old Style" w:hAnsi="Bookman Old Style"/>
        </w:rPr>
      </w:pPr>
      <w:r>
        <w:rPr>
          <w:rFonts w:ascii="Bookman Old Style" w:hAnsi="Bookman Old Style"/>
          <w:b/>
          <w:u w:val="single"/>
        </w:rPr>
        <w:t>ALTERNATIVE ISSUE METHODS</w:t>
      </w:r>
    </w:p>
    <w:p w14:paraId="6BA29DDF" w14:textId="0E202522" w:rsidR="001C7B4E" w:rsidRDefault="001C7B4E" w:rsidP="006222B0">
      <w:pPr>
        <w:spacing w:after="0" w:line="240" w:lineRule="auto"/>
        <w:jc w:val="both"/>
        <w:rPr>
          <w:rFonts w:ascii="Bookman Old Style" w:hAnsi="Bookman Old Style"/>
        </w:rPr>
      </w:pPr>
      <w:r>
        <w:rPr>
          <w:rFonts w:ascii="Bookman Old Style" w:hAnsi="Bookman Old Style"/>
        </w:rPr>
        <w:t>For equity sales, there are 2 kinds of public issues:</w:t>
      </w:r>
    </w:p>
    <w:p w14:paraId="588F5797" w14:textId="77777777" w:rsidR="001C7B4E" w:rsidRDefault="001C7B4E" w:rsidP="006222B0">
      <w:pPr>
        <w:spacing w:after="0" w:line="240" w:lineRule="auto"/>
        <w:jc w:val="both"/>
        <w:rPr>
          <w:rFonts w:ascii="Bookman Old Style" w:hAnsi="Bookman Old Style"/>
        </w:rPr>
      </w:pPr>
    </w:p>
    <w:p w14:paraId="023D44B3" w14:textId="6F7071CC" w:rsidR="001C7B4E" w:rsidRPr="001C7B4E" w:rsidRDefault="00C60E3E" w:rsidP="006222B0">
      <w:pPr>
        <w:pStyle w:val="ListParagraph"/>
        <w:numPr>
          <w:ilvl w:val="0"/>
          <w:numId w:val="17"/>
        </w:numPr>
        <w:spacing w:after="0" w:line="240" w:lineRule="auto"/>
        <w:jc w:val="both"/>
        <w:rPr>
          <w:rFonts w:ascii="Bookman Old Style" w:hAnsi="Bookman Old Style"/>
        </w:rPr>
      </w:pPr>
      <w:r>
        <w:rPr>
          <w:rFonts w:ascii="Bookman Old Style" w:hAnsi="Bookman Old Style"/>
          <w:b/>
        </w:rPr>
        <w:t>GENERAL CASH OFFER</w:t>
      </w:r>
      <w:r w:rsidR="001C7B4E" w:rsidRPr="001C7B4E">
        <w:rPr>
          <w:rFonts w:ascii="Bookman Old Style" w:hAnsi="Bookman Old Style"/>
          <w:b/>
        </w:rPr>
        <w:t>:</w:t>
      </w:r>
      <w:r w:rsidR="001C7B4E" w:rsidRPr="001C7B4E">
        <w:rPr>
          <w:rFonts w:ascii="Bookman Old Style" w:hAnsi="Bookman Old Style"/>
        </w:rPr>
        <w:t xml:space="preserve"> An issue of securities offered for sale to the general public on a cash basis</w:t>
      </w:r>
      <w:r w:rsidR="001C7B4E">
        <w:rPr>
          <w:rFonts w:ascii="Bookman Old Style" w:hAnsi="Bookman Old Style"/>
        </w:rPr>
        <w:t>.</w:t>
      </w:r>
    </w:p>
    <w:p w14:paraId="25EE0807" w14:textId="77777777" w:rsidR="001C7B4E" w:rsidRDefault="001C7B4E" w:rsidP="006222B0">
      <w:pPr>
        <w:spacing w:after="0" w:line="240" w:lineRule="auto"/>
        <w:jc w:val="both"/>
        <w:rPr>
          <w:rFonts w:ascii="Bookman Old Style" w:hAnsi="Bookman Old Style"/>
        </w:rPr>
      </w:pPr>
    </w:p>
    <w:p w14:paraId="6645AB4C" w14:textId="42295F00" w:rsidR="001C7B4E" w:rsidRPr="001C7B4E" w:rsidRDefault="00C60E3E" w:rsidP="006222B0">
      <w:pPr>
        <w:pStyle w:val="ListParagraph"/>
        <w:numPr>
          <w:ilvl w:val="0"/>
          <w:numId w:val="17"/>
        </w:numPr>
        <w:spacing w:after="0" w:line="240" w:lineRule="auto"/>
        <w:jc w:val="both"/>
        <w:rPr>
          <w:rFonts w:ascii="Bookman Old Style" w:hAnsi="Bookman Old Style"/>
        </w:rPr>
      </w:pPr>
      <w:r>
        <w:rPr>
          <w:rFonts w:ascii="Bookman Old Style" w:hAnsi="Bookman Old Style"/>
          <w:b/>
        </w:rPr>
        <w:t>RIGHTS OFFER</w:t>
      </w:r>
      <w:r w:rsidR="001C7B4E" w:rsidRPr="001C7B4E">
        <w:rPr>
          <w:rFonts w:ascii="Bookman Old Style" w:hAnsi="Bookman Old Style"/>
        </w:rPr>
        <w:t xml:space="preserve">: A public issue of securities in which securities are first offered to existing shareholders. Also called a </w:t>
      </w:r>
      <w:r w:rsidR="001C7B4E" w:rsidRPr="001C7B4E">
        <w:rPr>
          <w:rFonts w:ascii="Bookman Old Style" w:hAnsi="Bookman Old Style"/>
          <w:i/>
        </w:rPr>
        <w:t>rights offering</w:t>
      </w:r>
      <w:r w:rsidR="001C7B4E" w:rsidRPr="001C7B4E">
        <w:rPr>
          <w:rFonts w:ascii="Bookman Old Style" w:hAnsi="Bookman Old Style"/>
        </w:rPr>
        <w:t>.</w:t>
      </w:r>
    </w:p>
    <w:p w14:paraId="6AC355F2" w14:textId="77777777" w:rsidR="001C7B4E" w:rsidRPr="001C7B4E" w:rsidRDefault="001C7B4E" w:rsidP="006222B0">
      <w:pPr>
        <w:spacing w:after="0" w:line="240" w:lineRule="auto"/>
        <w:jc w:val="both"/>
        <w:rPr>
          <w:rFonts w:ascii="Bookman Old Style" w:hAnsi="Bookman Old Style"/>
        </w:rPr>
      </w:pPr>
    </w:p>
    <w:p w14:paraId="774293EF" w14:textId="672872F9" w:rsidR="001C7B4E" w:rsidRDefault="001C7B4E" w:rsidP="006222B0">
      <w:pPr>
        <w:spacing w:after="0" w:line="240" w:lineRule="auto"/>
        <w:jc w:val="both"/>
        <w:rPr>
          <w:rFonts w:ascii="Bookman Old Style" w:hAnsi="Bookman Old Style"/>
        </w:rPr>
      </w:pPr>
      <w:r>
        <w:rPr>
          <w:rFonts w:ascii="Bookman Old Style" w:hAnsi="Bookman Old Style"/>
        </w:rPr>
        <w:lastRenderedPageBreak/>
        <w:t>Rights offers are fairly common in other countries but are fairly rare in Canada (and the US) particularly in recent years. So we focus mainly on cash offers.</w:t>
      </w:r>
    </w:p>
    <w:p w14:paraId="5A89B5F9" w14:textId="77777777" w:rsidR="001C7B4E" w:rsidRDefault="001C7B4E" w:rsidP="006222B0">
      <w:pPr>
        <w:spacing w:after="0" w:line="240" w:lineRule="auto"/>
        <w:jc w:val="both"/>
        <w:rPr>
          <w:rFonts w:ascii="Bookman Old Style" w:hAnsi="Bookman Old Style"/>
        </w:rPr>
      </w:pPr>
    </w:p>
    <w:p w14:paraId="701704B2" w14:textId="08A83608" w:rsidR="001C7B4E" w:rsidRDefault="001C7B4E" w:rsidP="006222B0">
      <w:pPr>
        <w:spacing w:after="0" w:line="240" w:lineRule="auto"/>
        <w:jc w:val="both"/>
        <w:rPr>
          <w:rFonts w:ascii="Bookman Old Style" w:hAnsi="Bookman Old Style"/>
        </w:rPr>
      </w:pPr>
      <w:r>
        <w:rPr>
          <w:rFonts w:ascii="Bookman Old Style" w:hAnsi="Bookman Old Style"/>
        </w:rPr>
        <w:t xml:space="preserve">The first public equity issue made by a company is referred to as an </w:t>
      </w:r>
      <w:r>
        <w:rPr>
          <w:rFonts w:ascii="Bookman Old Style" w:hAnsi="Bookman Old Style"/>
          <w:b/>
          <w:i/>
        </w:rPr>
        <w:t>initial public offering (IPO)</w:t>
      </w:r>
      <w:r>
        <w:rPr>
          <w:rFonts w:ascii="Bookman Old Style" w:hAnsi="Bookman Old Style"/>
        </w:rPr>
        <w:t xml:space="preserve">, or an </w:t>
      </w:r>
      <w:r w:rsidRPr="001C7B4E">
        <w:rPr>
          <w:rFonts w:ascii="Bookman Old Style" w:hAnsi="Bookman Old Style"/>
          <w:i/>
        </w:rPr>
        <w:t xml:space="preserve">unseasoned </w:t>
      </w:r>
      <w:r>
        <w:rPr>
          <w:rFonts w:ascii="Bookman Old Style" w:hAnsi="Bookman Old Style"/>
          <w:i/>
        </w:rPr>
        <w:t>new issue</w:t>
      </w:r>
      <w:r w:rsidR="00DE77A7">
        <w:rPr>
          <w:rFonts w:ascii="Bookman Old Style" w:hAnsi="Bookman Old Style"/>
        </w:rPr>
        <w:t xml:space="preserve">. This issue occurs when a company decides to go public – </w:t>
      </w:r>
      <w:r w:rsidR="00DE77A7" w:rsidRPr="00DE77A7">
        <w:rPr>
          <w:rFonts w:ascii="Bookman Old Style" w:hAnsi="Bookman Old Style"/>
          <w:u w:val="single"/>
        </w:rPr>
        <w:t>all IPOs are cash offers</w:t>
      </w:r>
      <w:r w:rsidR="00DE77A7">
        <w:rPr>
          <w:rFonts w:ascii="Bookman Old Style" w:hAnsi="Bookman Old Style"/>
        </w:rPr>
        <w:t>. If the firm’s existing shareholders wanted to buy the shares, the firm wouldn’t have to go public in the first place.</w:t>
      </w:r>
    </w:p>
    <w:p w14:paraId="651F9BC8" w14:textId="77777777" w:rsidR="00DE77A7" w:rsidRDefault="00DE77A7" w:rsidP="006222B0">
      <w:pPr>
        <w:spacing w:after="0" w:line="240" w:lineRule="auto"/>
        <w:jc w:val="both"/>
        <w:rPr>
          <w:rFonts w:ascii="Bookman Old Style" w:hAnsi="Bookman Old Style"/>
        </w:rPr>
      </w:pPr>
    </w:p>
    <w:p w14:paraId="382D7360" w14:textId="58EC422D" w:rsidR="00DE77A7" w:rsidRDefault="00DE77A7" w:rsidP="006222B0">
      <w:pPr>
        <w:spacing w:after="0" w:line="240" w:lineRule="auto"/>
        <w:jc w:val="both"/>
        <w:rPr>
          <w:rFonts w:ascii="Bookman Old Style" w:hAnsi="Bookman Old Style"/>
        </w:rPr>
      </w:pPr>
      <w:r>
        <w:rPr>
          <w:rFonts w:ascii="Bookman Old Style" w:hAnsi="Bookman Old Style"/>
        </w:rPr>
        <w:t xml:space="preserve">A </w:t>
      </w:r>
      <w:r>
        <w:rPr>
          <w:rFonts w:ascii="Bookman Old Style" w:hAnsi="Bookman Old Style"/>
          <w:b/>
        </w:rPr>
        <w:t>seasoned equity offering (SEO)</w:t>
      </w:r>
      <w:r>
        <w:rPr>
          <w:rFonts w:ascii="Bookman Old Style" w:hAnsi="Bookman Old Style"/>
        </w:rPr>
        <w:t xml:space="preserve"> is a new issue for a company with securities that have been previously issued. A seasoned equity offering of common stock can be made using a cash offer or a rights offer.</w:t>
      </w:r>
    </w:p>
    <w:p w14:paraId="7AB3A930" w14:textId="77777777" w:rsidR="00DE77A7" w:rsidRDefault="00DE77A7" w:rsidP="006222B0">
      <w:pPr>
        <w:spacing w:after="0" w:line="240" w:lineRule="auto"/>
        <w:jc w:val="both"/>
        <w:rPr>
          <w:rFonts w:ascii="Bookman Old Style" w:hAnsi="Bookman Old Style"/>
        </w:rPr>
      </w:pPr>
    </w:p>
    <w:tbl>
      <w:tblPr>
        <w:tblStyle w:val="TableGrid"/>
        <w:tblW w:w="0" w:type="auto"/>
        <w:tblBorders>
          <w:top w:val="thinThickLargeGap" w:sz="24" w:space="0" w:color="auto"/>
          <w:left w:val="thinThickLargeGap" w:sz="24" w:space="0" w:color="auto"/>
          <w:bottom w:val="thickThinLargeGap" w:sz="24" w:space="0" w:color="auto"/>
          <w:right w:val="thickThinLargeGap" w:sz="24" w:space="0" w:color="auto"/>
          <w:insideH w:val="none" w:sz="0" w:space="0" w:color="auto"/>
          <w:insideV w:val="none" w:sz="0" w:space="0" w:color="auto"/>
        </w:tblBorders>
        <w:tblLook w:val="04A0" w:firstRow="1" w:lastRow="0" w:firstColumn="1" w:lastColumn="0" w:noHBand="0" w:noVBand="1"/>
      </w:tblPr>
      <w:tblGrid>
        <w:gridCol w:w="9576"/>
      </w:tblGrid>
      <w:tr w:rsidR="00DE77A7" w14:paraId="4BE8A80F" w14:textId="77777777" w:rsidTr="00DE77A7">
        <w:tc>
          <w:tcPr>
            <w:tcW w:w="9576" w:type="dxa"/>
          </w:tcPr>
          <w:p w14:paraId="378425B6" w14:textId="77777777" w:rsidR="00DE77A7" w:rsidRDefault="00DE77A7" w:rsidP="006222B0">
            <w:pPr>
              <w:jc w:val="both"/>
              <w:rPr>
                <w:rFonts w:ascii="Bookman Old Style" w:hAnsi="Bookman Old Style"/>
              </w:rPr>
            </w:pPr>
          </w:p>
          <w:p w14:paraId="63A77DEC" w14:textId="60BCA602" w:rsidR="00DE77A7" w:rsidRPr="00DE77A7" w:rsidRDefault="00DE77A7" w:rsidP="006222B0">
            <w:pPr>
              <w:jc w:val="both"/>
              <w:rPr>
                <w:rFonts w:ascii="Bookman Old Style" w:hAnsi="Bookman Old Style"/>
              </w:rPr>
            </w:pPr>
            <w:r>
              <w:rPr>
                <w:rFonts w:ascii="Bookman Old Style" w:hAnsi="Bookman Old Style"/>
                <w:b/>
              </w:rPr>
              <w:t>Seasoned Equity Offering (SEO)</w:t>
            </w:r>
            <w:r>
              <w:rPr>
                <w:rFonts w:ascii="Bookman Old Style" w:hAnsi="Bookman Old Style"/>
              </w:rPr>
              <w:t xml:space="preserve"> – A new equity issue of securities by a company that previously issued securities to the public.</w:t>
            </w:r>
          </w:p>
          <w:p w14:paraId="37FBA4A9" w14:textId="77777777" w:rsidR="00DE77A7" w:rsidRDefault="00DE77A7" w:rsidP="006222B0">
            <w:pPr>
              <w:jc w:val="both"/>
              <w:rPr>
                <w:rFonts w:ascii="Bookman Old Style" w:hAnsi="Bookman Old Style"/>
              </w:rPr>
            </w:pPr>
          </w:p>
        </w:tc>
      </w:tr>
    </w:tbl>
    <w:p w14:paraId="596E8568" w14:textId="77777777" w:rsidR="00DE77A7" w:rsidRDefault="00DE77A7" w:rsidP="006222B0">
      <w:pPr>
        <w:spacing w:after="0" w:line="240" w:lineRule="auto"/>
        <w:jc w:val="both"/>
        <w:rPr>
          <w:rFonts w:ascii="Bookman Old Style" w:hAnsi="Bookman Old Style"/>
        </w:rPr>
      </w:pPr>
    </w:p>
    <w:p w14:paraId="4698437C" w14:textId="770BB26A" w:rsidR="00DE77A7" w:rsidRDefault="00DE77A7" w:rsidP="006222B0">
      <w:pPr>
        <w:spacing w:after="0" w:line="240" w:lineRule="auto"/>
        <w:jc w:val="both"/>
        <w:rPr>
          <w:rFonts w:ascii="Bookman Old Style" w:hAnsi="Bookman Old Style"/>
        </w:rPr>
      </w:pPr>
      <w:r>
        <w:rPr>
          <w:rFonts w:ascii="Bookman Old Style" w:hAnsi="Bookman Old Style"/>
        </w:rPr>
        <w:t>The different ways of issuing new securities is shown below.</w:t>
      </w:r>
    </w:p>
    <w:p w14:paraId="4039735E" w14:textId="77777777" w:rsidR="00DE77A7" w:rsidRDefault="00DE77A7" w:rsidP="006222B0">
      <w:pPr>
        <w:spacing w:after="0" w:line="240" w:lineRule="auto"/>
        <w:jc w:val="both"/>
        <w:rPr>
          <w:rFonts w:ascii="Bookman Old Style" w:hAnsi="Bookman Old Style"/>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1818"/>
        <w:gridCol w:w="2520"/>
        <w:gridCol w:w="5238"/>
      </w:tblGrid>
      <w:tr w:rsidR="00DE77A7" w:rsidRPr="00C60E3E" w14:paraId="2C038EC3" w14:textId="77777777" w:rsidTr="00C60E3E">
        <w:tc>
          <w:tcPr>
            <w:tcW w:w="1818" w:type="dxa"/>
          </w:tcPr>
          <w:p w14:paraId="57C27C7B" w14:textId="0BE078E9" w:rsidR="00DE77A7" w:rsidRPr="00C60E3E" w:rsidRDefault="00DE77A7" w:rsidP="006222B0">
            <w:pPr>
              <w:jc w:val="center"/>
              <w:rPr>
                <w:rFonts w:ascii="Bookman Old Style" w:hAnsi="Bookman Old Style"/>
                <w:b/>
                <w:sz w:val="18"/>
                <w:u w:val="single"/>
              </w:rPr>
            </w:pPr>
            <w:r w:rsidRPr="00C60E3E">
              <w:rPr>
                <w:rFonts w:ascii="Bookman Old Style" w:hAnsi="Bookman Old Style"/>
                <w:b/>
                <w:sz w:val="18"/>
                <w:u w:val="single"/>
              </w:rPr>
              <w:t>Method</w:t>
            </w:r>
          </w:p>
        </w:tc>
        <w:tc>
          <w:tcPr>
            <w:tcW w:w="2520" w:type="dxa"/>
          </w:tcPr>
          <w:p w14:paraId="5B2E598B" w14:textId="3D8B3406" w:rsidR="00DE77A7" w:rsidRPr="00C60E3E" w:rsidRDefault="00DE77A7" w:rsidP="006222B0">
            <w:pPr>
              <w:jc w:val="center"/>
              <w:rPr>
                <w:rFonts w:ascii="Bookman Old Style" w:hAnsi="Bookman Old Style"/>
                <w:b/>
                <w:sz w:val="18"/>
                <w:u w:val="single"/>
              </w:rPr>
            </w:pPr>
            <w:r w:rsidRPr="00C60E3E">
              <w:rPr>
                <w:rFonts w:ascii="Bookman Old Style" w:hAnsi="Bookman Old Style"/>
                <w:b/>
                <w:sz w:val="18"/>
                <w:u w:val="single"/>
              </w:rPr>
              <w:t>Type</w:t>
            </w:r>
          </w:p>
        </w:tc>
        <w:tc>
          <w:tcPr>
            <w:tcW w:w="5238" w:type="dxa"/>
          </w:tcPr>
          <w:p w14:paraId="1C2E01B0" w14:textId="2057988F" w:rsidR="00DE77A7" w:rsidRPr="00C60E3E" w:rsidRDefault="00DE77A7" w:rsidP="006222B0">
            <w:pPr>
              <w:jc w:val="center"/>
              <w:rPr>
                <w:rFonts w:ascii="Bookman Old Style" w:hAnsi="Bookman Old Style"/>
                <w:b/>
                <w:sz w:val="18"/>
                <w:u w:val="single"/>
              </w:rPr>
            </w:pPr>
            <w:r w:rsidRPr="00C60E3E">
              <w:rPr>
                <w:rFonts w:ascii="Bookman Old Style" w:hAnsi="Bookman Old Style"/>
                <w:b/>
                <w:sz w:val="18"/>
                <w:u w:val="single"/>
              </w:rPr>
              <w:t>Definition</w:t>
            </w:r>
          </w:p>
        </w:tc>
      </w:tr>
      <w:tr w:rsidR="00C60E3E" w:rsidRPr="00C60E3E" w14:paraId="77E37C5B" w14:textId="77777777" w:rsidTr="00C60E3E">
        <w:tc>
          <w:tcPr>
            <w:tcW w:w="1818" w:type="dxa"/>
          </w:tcPr>
          <w:p w14:paraId="09D300AB" w14:textId="77777777" w:rsidR="00C60E3E" w:rsidRDefault="00C60E3E" w:rsidP="006222B0">
            <w:pPr>
              <w:rPr>
                <w:rFonts w:ascii="Bookman Old Style" w:hAnsi="Bookman Old Style"/>
                <w:b/>
                <w:i/>
                <w:sz w:val="18"/>
              </w:rPr>
            </w:pPr>
          </w:p>
          <w:p w14:paraId="523E42DD" w14:textId="7E9FA5D7" w:rsidR="00C60E3E" w:rsidRPr="00C60E3E" w:rsidRDefault="00C60E3E" w:rsidP="006222B0">
            <w:pPr>
              <w:rPr>
                <w:rFonts w:ascii="Bookman Old Style" w:hAnsi="Bookman Old Style"/>
                <w:b/>
                <w:sz w:val="18"/>
              </w:rPr>
            </w:pPr>
            <w:r w:rsidRPr="00C60E3E">
              <w:rPr>
                <w:rFonts w:ascii="Bookman Old Style" w:hAnsi="Bookman Old Style"/>
                <w:b/>
                <w:i/>
                <w:sz w:val="18"/>
              </w:rPr>
              <w:t>Public</w:t>
            </w:r>
          </w:p>
        </w:tc>
        <w:tc>
          <w:tcPr>
            <w:tcW w:w="2520" w:type="dxa"/>
          </w:tcPr>
          <w:p w14:paraId="3997F340" w14:textId="77777777" w:rsidR="00C60E3E" w:rsidRPr="00C60E3E" w:rsidRDefault="00C60E3E" w:rsidP="006222B0">
            <w:pPr>
              <w:rPr>
                <w:rFonts w:ascii="Bookman Old Style" w:hAnsi="Bookman Old Style"/>
                <w:b/>
                <w:sz w:val="18"/>
              </w:rPr>
            </w:pPr>
          </w:p>
        </w:tc>
        <w:tc>
          <w:tcPr>
            <w:tcW w:w="5238" w:type="dxa"/>
          </w:tcPr>
          <w:p w14:paraId="155BA55C" w14:textId="77777777" w:rsidR="00C60E3E" w:rsidRPr="00C60E3E" w:rsidRDefault="00C60E3E" w:rsidP="006222B0">
            <w:pPr>
              <w:rPr>
                <w:rFonts w:ascii="Bookman Old Style" w:hAnsi="Bookman Old Style"/>
                <w:b/>
                <w:sz w:val="18"/>
              </w:rPr>
            </w:pPr>
          </w:p>
        </w:tc>
      </w:tr>
      <w:tr w:rsidR="00DE77A7" w:rsidRPr="00C60E3E" w14:paraId="201273AF" w14:textId="77777777" w:rsidTr="00C60E3E">
        <w:tc>
          <w:tcPr>
            <w:tcW w:w="1818" w:type="dxa"/>
          </w:tcPr>
          <w:p w14:paraId="1F888FCE" w14:textId="0CA74A80" w:rsidR="00DE77A7" w:rsidRPr="00C60E3E" w:rsidRDefault="00DE77A7" w:rsidP="006222B0">
            <w:pPr>
              <w:rPr>
                <w:rFonts w:ascii="Bookman Old Style" w:hAnsi="Bookman Old Style"/>
                <w:sz w:val="18"/>
              </w:rPr>
            </w:pPr>
            <w:r w:rsidRPr="00C60E3E">
              <w:rPr>
                <w:rFonts w:ascii="Bookman Old Style" w:hAnsi="Bookman Old Style"/>
                <w:sz w:val="18"/>
              </w:rPr>
              <w:t>Traditional Negotiated Cash Offer</w:t>
            </w:r>
          </w:p>
        </w:tc>
        <w:tc>
          <w:tcPr>
            <w:tcW w:w="2520" w:type="dxa"/>
          </w:tcPr>
          <w:p w14:paraId="550197D1" w14:textId="517C2D44" w:rsidR="00DE77A7" w:rsidRPr="00C60E3E" w:rsidRDefault="00DE77A7" w:rsidP="006222B0">
            <w:pPr>
              <w:rPr>
                <w:rFonts w:ascii="Bookman Old Style" w:hAnsi="Bookman Old Style"/>
                <w:sz w:val="18"/>
              </w:rPr>
            </w:pPr>
            <w:r w:rsidRPr="00C60E3E">
              <w:rPr>
                <w:rFonts w:ascii="Bookman Old Style" w:hAnsi="Bookman Old Style"/>
                <w:sz w:val="18"/>
              </w:rPr>
              <w:t>Firm Commitment Cash Offer</w:t>
            </w:r>
          </w:p>
        </w:tc>
        <w:tc>
          <w:tcPr>
            <w:tcW w:w="5238" w:type="dxa"/>
          </w:tcPr>
          <w:p w14:paraId="63CC960F" w14:textId="77777777" w:rsidR="00DE77A7" w:rsidRPr="00C60E3E" w:rsidRDefault="00DE77A7" w:rsidP="006222B0">
            <w:pPr>
              <w:rPr>
                <w:rFonts w:ascii="Bookman Old Style" w:hAnsi="Bookman Old Style"/>
                <w:sz w:val="18"/>
              </w:rPr>
            </w:pPr>
            <w:r w:rsidRPr="00C60E3E">
              <w:rPr>
                <w:rFonts w:ascii="Bookman Old Style" w:hAnsi="Bookman Old Style"/>
                <w:sz w:val="18"/>
              </w:rPr>
              <w:t>A company negotiates an agreement with an investment banker to underwrite and distribute the new shares. A specified number of shares are bought by underwriters and sold at a higher price.</w:t>
            </w:r>
          </w:p>
          <w:p w14:paraId="392A1FCB" w14:textId="516586E7" w:rsidR="00C60E3E" w:rsidRPr="00C60E3E" w:rsidRDefault="00C60E3E" w:rsidP="006222B0">
            <w:pPr>
              <w:rPr>
                <w:rFonts w:ascii="Bookman Old Style" w:hAnsi="Bookman Old Style"/>
                <w:sz w:val="18"/>
              </w:rPr>
            </w:pPr>
          </w:p>
        </w:tc>
      </w:tr>
      <w:tr w:rsidR="00DE77A7" w:rsidRPr="00C60E3E" w14:paraId="78E532F2" w14:textId="77777777" w:rsidTr="00C60E3E">
        <w:tc>
          <w:tcPr>
            <w:tcW w:w="1818" w:type="dxa"/>
          </w:tcPr>
          <w:p w14:paraId="7EECB83E" w14:textId="54A2F51B" w:rsidR="00DE77A7" w:rsidRPr="00C60E3E" w:rsidRDefault="00DE77A7" w:rsidP="006222B0">
            <w:pPr>
              <w:rPr>
                <w:rFonts w:ascii="Bookman Old Style" w:hAnsi="Bookman Old Style"/>
                <w:sz w:val="18"/>
              </w:rPr>
            </w:pPr>
          </w:p>
        </w:tc>
        <w:tc>
          <w:tcPr>
            <w:tcW w:w="2520" w:type="dxa"/>
          </w:tcPr>
          <w:p w14:paraId="5A652127" w14:textId="1AA95005" w:rsidR="00DE77A7" w:rsidRPr="00C60E3E" w:rsidRDefault="00DE77A7" w:rsidP="006222B0">
            <w:pPr>
              <w:rPr>
                <w:rFonts w:ascii="Bookman Old Style" w:hAnsi="Bookman Old Style"/>
                <w:sz w:val="18"/>
              </w:rPr>
            </w:pPr>
            <w:r w:rsidRPr="00C60E3E">
              <w:rPr>
                <w:rFonts w:ascii="Bookman Old Style" w:hAnsi="Bookman Old Style"/>
                <w:sz w:val="18"/>
              </w:rPr>
              <w:t>Best Efforts Cash Offer</w:t>
            </w:r>
          </w:p>
        </w:tc>
        <w:tc>
          <w:tcPr>
            <w:tcW w:w="5238" w:type="dxa"/>
          </w:tcPr>
          <w:p w14:paraId="3AA5A84C" w14:textId="77777777" w:rsidR="00DE77A7" w:rsidRPr="00C60E3E" w:rsidRDefault="00DE77A7" w:rsidP="006222B0">
            <w:pPr>
              <w:rPr>
                <w:rFonts w:ascii="Bookman Old Style" w:hAnsi="Bookman Old Style"/>
                <w:sz w:val="18"/>
              </w:rPr>
            </w:pPr>
            <w:r w:rsidRPr="00C60E3E">
              <w:rPr>
                <w:rFonts w:ascii="Bookman Old Style" w:hAnsi="Bookman Old Style"/>
                <w:sz w:val="18"/>
              </w:rPr>
              <w:t>Company has investment bankers sell as many of the new shares as possible at the agreed-upon price. There’s no guarantee concerning how much cash will be raised.</w:t>
            </w:r>
          </w:p>
          <w:p w14:paraId="74B5AE1B" w14:textId="50268E2C" w:rsidR="00C60E3E" w:rsidRPr="00C60E3E" w:rsidRDefault="00C60E3E" w:rsidP="006222B0">
            <w:pPr>
              <w:rPr>
                <w:rFonts w:ascii="Bookman Old Style" w:hAnsi="Bookman Old Style"/>
                <w:sz w:val="18"/>
              </w:rPr>
            </w:pPr>
          </w:p>
        </w:tc>
      </w:tr>
      <w:tr w:rsidR="00DE77A7" w:rsidRPr="00C60E3E" w14:paraId="6A47F29E" w14:textId="77777777" w:rsidTr="00C60E3E">
        <w:tc>
          <w:tcPr>
            <w:tcW w:w="1818" w:type="dxa"/>
          </w:tcPr>
          <w:p w14:paraId="21864502" w14:textId="77777777" w:rsidR="00DE77A7" w:rsidRPr="00C60E3E" w:rsidRDefault="00DE77A7" w:rsidP="006222B0">
            <w:pPr>
              <w:rPr>
                <w:rFonts w:ascii="Bookman Old Style" w:hAnsi="Bookman Old Style"/>
                <w:sz w:val="18"/>
              </w:rPr>
            </w:pPr>
          </w:p>
        </w:tc>
        <w:tc>
          <w:tcPr>
            <w:tcW w:w="2520" w:type="dxa"/>
          </w:tcPr>
          <w:p w14:paraId="371229EE" w14:textId="3623C4EA" w:rsidR="00DE77A7" w:rsidRPr="00C60E3E" w:rsidRDefault="00DE77A7" w:rsidP="006222B0">
            <w:pPr>
              <w:rPr>
                <w:rFonts w:ascii="Bookman Old Style" w:hAnsi="Bookman Old Style"/>
                <w:sz w:val="18"/>
              </w:rPr>
            </w:pPr>
            <w:r w:rsidRPr="00C60E3E">
              <w:rPr>
                <w:rFonts w:ascii="Bookman Old Style" w:hAnsi="Bookman Old Style"/>
                <w:sz w:val="18"/>
              </w:rPr>
              <w:t>Dutch Auction Cash Offer</w:t>
            </w:r>
          </w:p>
        </w:tc>
        <w:tc>
          <w:tcPr>
            <w:tcW w:w="5238" w:type="dxa"/>
          </w:tcPr>
          <w:p w14:paraId="16E49799" w14:textId="77777777" w:rsidR="00DE77A7" w:rsidRPr="00C60E3E" w:rsidRDefault="00DE77A7" w:rsidP="006222B0">
            <w:pPr>
              <w:rPr>
                <w:rFonts w:ascii="Bookman Old Style" w:hAnsi="Bookman Old Style"/>
                <w:sz w:val="18"/>
              </w:rPr>
            </w:pPr>
            <w:r w:rsidRPr="00C60E3E">
              <w:rPr>
                <w:rFonts w:ascii="Bookman Old Style" w:hAnsi="Bookman Old Style"/>
                <w:sz w:val="18"/>
              </w:rPr>
              <w:t xml:space="preserve">Company has investment </w:t>
            </w:r>
            <w:proofErr w:type="gramStart"/>
            <w:r w:rsidRPr="00C60E3E">
              <w:rPr>
                <w:rFonts w:ascii="Bookman Old Style" w:hAnsi="Bookman Old Style"/>
                <w:sz w:val="18"/>
              </w:rPr>
              <w:t>bankers</w:t>
            </w:r>
            <w:proofErr w:type="gramEnd"/>
            <w:r w:rsidRPr="00C60E3E">
              <w:rPr>
                <w:rFonts w:ascii="Bookman Old Style" w:hAnsi="Bookman Old Style"/>
                <w:sz w:val="18"/>
              </w:rPr>
              <w:t xml:space="preserve"> auction shares to determine the highest offer price obtainable for a given number of shares to be sold</w:t>
            </w:r>
            <w:r w:rsidR="00C60E3E" w:rsidRPr="00C60E3E">
              <w:rPr>
                <w:rFonts w:ascii="Bookman Old Style" w:hAnsi="Bookman Old Style"/>
                <w:sz w:val="18"/>
              </w:rPr>
              <w:t>.</w:t>
            </w:r>
          </w:p>
          <w:p w14:paraId="4EDF5EE2" w14:textId="4354A94B" w:rsidR="00C60E3E" w:rsidRPr="00C60E3E" w:rsidRDefault="00C60E3E" w:rsidP="006222B0">
            <w:pPr>
              <w:rPr>
                <w:rFonts w:ascii="Bookman Old Style" w:hAnsi="Bookman Old Style"/>
                <w:sz w:val="18"/>
              </w:rPr>
            </w:pPr>
          </w:p>
        </w:tc>
      </w:tr>
      <w:tr w:rsidR="00DE77A7" w:rsidRPr="00C60E3E" w14:paraId="29EA65C0" w14:textId="77777777" w:rsidTr="00C60E3E">
        <w:tc>
          <w:tcPr>
            <w:tcW w:w="1818" w:type="dxa"/>
          </w:tcPr>
          <w:p w14:paraId="04717132" w14:textId="5A987C48" w:rsidR="00DE77A7" w:rsidRPr="00C60E3E" w:rsidRDefault="00DE77A7" w:rsidP="006222B0">
            <w:pPr>
              <w:rPr>
                <w:rFonts w:ascii="Bookman Old Style" w:hAnsi="Bookman Old Style"/>
                <w:sz w:val="18"/>
              </w:rPr>
            </w:pPr>
            <w:r w:rsidRPr="00C60E3E">
              <w:rPr>
                <w:rFonts w:ascii="Bookman Old Style" w:hAnsi="Bookman Old Style"/>
                <w:sz w:val="18"/>
              </w:rPr>
              <w:t>Privileged Subscription</w:t>
            </w:r>
          </w:p>
        </w:tc>
        <w:tc>
          <w:tcPr>
            <w:tcW w:w="2520" w:type="dxa"/>
          </w:tcPr>
          <w:p w14:paraId="0F103E91" w14:textId="1C5AC48E" w:rsidR="00DE77A7" w:rsidRPr="00C60E3E" w:rsidRDefault="00C60E3E" w:rsidP="006222B0">
            <w:pPr>
              <w:rPr>
                <w:rFonts w:ascii="Bookman Old Style" w:hAnsi="Bookman Old Style"/>
                <w:sz w:val="18"/>
              </w:rPr>
            </w:pPr>
            <w:r w:rsidRPr="00C60E3E">
              <w:rPr>
                <w:rFonts w:ascii="Bookman Old Style" w:hAnsi="Bookman Old Style"/>
                <w:sz w:val="18"/>
              </w:rPr>
              <w:t>Direct Rights Offer</w:t>
            </w:r>
          </w:p>
        </w:tc>
        <w:tc>
          <w:tcPr>
            <w:tcW w:w="5238" w:type="dxa"/>
          </w:tcPr>
          <w:p w14:paraId="26E4CB1A" w14:textId="77777777" w:rsidR="00DE77A7" w:rsidRPr="00C60E3E" w:rsidRDefault="00C60E3E" w:rsidP="006222B0">
            <w:pPr>
              <w:rPr>
                <w:rFonts w:ascii="Bookman Old Style" w:hAnsi="Bookman Old Style"/>
                <w:sz w:val="18"/>
              </w:rPr>
            </w:pPr>
            <w:r w:rsidRPr="00C60E3E">
              <w:rPr>
                <w:rFonts w:ascii="Bookman Old Style" w:hAnsi="Bookman Old Style"/>
                <w:sz w:val="18"/>
              </w:rPr>
              <w:t>Company offers the new stock directly to its existing shareholders</w:t>
            </w:r>
          </w:p>
          <w:p w14:paraId="7D3D0B60" w14:textId="61333607" w:rsidR="00C60E3E" w:rsidRPr="00C60E3E" w:rsidRDefault="00C60E3E" w:rsidP="006222B0">
            <w:pPr>
              <w:rPr>
                <w:rFonts w:ascii="Bookman Old Style" w:hAnsi="Bookman Old Style"/>
                <w:sz w:val="18"/>
              </w:rPr>
            </w:pPr>
          </w:p>
        </w:tc>
      </w:tr>
      <w:tr w:rsidR="00C60E3E" w:rsidRPr="00C60E3E" w14:paraId="6CED85A8" w14:textId="77777777" w:rsidTr="00C60E3E">
        <w:tc>
          <w:tcPr>
            <w:tcW w:w="1818" w:type="dxa"/>
          </w:tcPr>
          <w:p w14:paraId="657B6826" w14:textId="77777777" w:rsidR="00C60E3E" w:rsidRPr="00C60E3E" w:rsidRDefault="00C60E3E" w:rsidP="006222B0">
            <w:pPr>
              <w:rPr>
                <w:rFonts w:ascii="Bookman Old Style" w:hAnsi="Bookman Old Style"/>
                <w:sz w:val="18"/>
              </w:rPr>
            </w:pPr>
          </w:p>
        </w:tc>
        <w:tc>
          <w:tcPr>
            <w:tcW w:w="2520" w:type="dxa"/>
          </w:tcPr>
          <w:p w14:paraId="4A577510" w14:textId="6F2D8041" w:rsidR="00C60E3E" w:rsidRPr="00C60E3E" w:rsidRDefault="00C60E3E" w:rsidP="006222B0">
            <w:pPr>
              <w:rPr>
                <w:rFonts w:ascii="Bookman Old Style" w:hAnsi="Bookman Old Style"/>
                <w:sz w:val="18"/>
              </w:rPr>
            </w:pPr>
            <w:r w:rsidRPr="00C60E3E">
              <w:rPr>
                <w:rFonts w:ascii="Bookman Old Style" w:hAnsi="Bookman Old Style"/>
                <w:sz w:val="18"/>
              </w:rPr>
              <w:t>Standby Right Offer</w:t>
            </w:r>
          </w:p>
        </w:tc>
        <w:tc>
          <w:tcPr>
            <w:tcW w:w="5238" w:type="dxa"/>
          </w:tcPr>
          <w:p w14:paraId="3250748B" w14:textId="77777777" w:rsidR="00C60E3E" w:rsidRPr="00C60E3E" w:rsidRDefault="00C60E3E" w:rsidP="006222B0">
            <w:pPr>
              <w:rPr>
                <w:rFonts w:ascii="Bookman Old Style" w:hAnsi="Bookman Old Style"/>
                <w:sz w:val="18"/>
              </w:rPr>
            </w:pPr>
            <w:r w:rsidRPr="00C60E3E">
              <w:rPr>
                <w:rFonts w:ascii="Bookman Old Style" w:hAnsi="Bookman Old Style"/>
                <w:sz w:val="18"/>
              </w:rPr>
              <w:t>Like the direct rights offer, this contains a privileged subscription arrangement with existing shareholders. The net proceeds are guaranteed by the underwriters.</w:t>
            </w:r>
          </w:p>
          <w:p w14:paraId="1832B8F0" w14:textId="10A6F3FD" w:rsidR="00C60E3E" w:rsidRPr="00C60E3E" w:rsidRDefault="00C60E3E" w:rsidP="006222B0">
            <w:pPr>
              <w:rPr>
                <w:rFonts w:ascii="Bookman Old Style" w:hAnsi="Bookman Old Style"/>
                <w:sz w:val="18"/>
              </w:rPr>
            </w:pPr>
          </w:p>
        </w:tc>
      </w:tr>
      <w:tr w:rsidR="00C60E3E" w:rsidRPr="00C60E3E" w14:paraId="56513075" w14:textId="77777777" w:rsidTr="00C60E3E">
        <w:tc>
          <w:tcPr>
            <w:tcW w:w="1818" w:type="dxa"/>
          </w:tcPr>
          <w:p w14:paraId="2C9B1B59" w14:textId="26A5B95E" w:rsidR="00C60E3E" w:rsidRPr="00C60E3E" w:rsidRDefault="00C60E3E" w:rsidP="006222B0">
            <w:pPr>
              <w:rPr>
                <w:rFonts w:ascii="Bookman Old Style" w:hAnsi="Bookman Old Style"/>
                <w:sz w:val="18"/>
              </w:rPr>
            </w:pPr>
            <w:r w:rsidRPr="00C60E3E">
              <w:rPr>
                <w:rFonts w:ascii="Bookman Old Style" w:hAnsi="Bookman Old Style"/>
                <w:sz w:val="18"/>
              </w:rPr>
              <w:t>Non-Traditional Cash Offer</w:t>
            </w:r>
          </w:p>
        </w:tc>
        <w:tc>
          <w:tcPr>
            <w:tcW w:w="2520" w:type="dxa"/>
          </w:tcPr>
          <w:p w14:paraId="5574E937" w14:textId="3EC50FB5" w:rsidR="00C60E3E" w:rsidRPr="00C60E3E" w:rsidRDefault="00C60E3E" w:rsidP="006222B0">
            <w:pPr>
              <w:rPr>
                <w:rFonts w:ascii="Bookman Old Style" w:hAnsi="Bookman Old Style"/>
                <w:sz w:val="18"/>
              </w:rPr>
            </w:pPr>
            <w:r w:rsidRPr="00C60E3E">
              <w:rPr>
                <w:rFonts w:ascii="Bookman Old Style" w:hAnsi="Bookman Old Style"/>
                <w:sz w:val="18"/>
              </w:rPr>
              <w:t>Shelf Cash Offer</w:t>
            </w:r>
          </w:p>
        </w:tc>
        <w:tc>
          <w:tcPr>
            <w:tcW w:w="5238" w:type="dxa"/>
          </w:tcPr>
          <w:p w14:paraId="5393D901" w14:textId="77777777" w:rsidR="00C60E3E" w:rsidRPr="00C60E3E" w:rsidRDefault="00C60E3E" w:rsidP="006222B0">
            <w:pPr>
              <w:rPr>
                <w:rFonts w:ascii="Bookman Old Style" w:hAnsi="Bookman Old Style"/>
                <w:sz w:val="18"/>
              </w:rPr>
            </w:pPr>
            <w:r w:rsidRPr="00C60E3E">
              <w:rPr>
                <w:rFonts w:ascii="Bookman Old Style" w:hAnsi="Bookman Old Style"/>
                <w:sz w:val="18"/>
              </w:rPr>
              <w:t>Qualifying companies can authorize all shares they expect to sell over a two-year period and sell them when needed</w:t>
            </w:r>
          </w:p>
          <w:p w14:paraId="0123D28E" w14:textId="28F87450" w:rsidR="00C60E3E" w:rsidRPr="00C60E3E" w:rsidRDefault="00C60E3E" w:rsidP="006222B0">
            <w:pPr>
              <w:rPr>
                <w:rFonts w:ascii="Bookman Old Style" w:hAnsi="Bookman Old Style"/>
                <w:sz w:val="18"/>
              </w:rPr>
            </w:pPr>
          </w:p>
        </w:tc>
      </w:tr>
      <w:tr w:rsidR="00C60E3E" w:rsidRPr="00C60E3E" w14:paraId="372290F5" w14:textId="77777777" w:rsidTr="00C60E3E">
        <w:tc>
          <w:tcPr>
            <w:tcW w:w="1818" w:type="dxa"/>
          </w:tcPr>
          <w:p w14:paraId="508CC5CC" w14:textId="77777777" w:rsidR="00C60E3E" w:rsidRPr="00C60E3E" w:rsidRDefault="00C60E3E" w:rsidP="006222B0">
            <w:pPr>
              <w:rPr>
                <w:rFonts w:ascii="Bookman Old Style" w:hAnsi="Bookman Old Style"/>
                <w:sz w:val="18"/>
              </w:rPr>
            </w:pPr>
          </w:p>
        </w:tc>
        <w:tc>
          <w:tcPr>
            <w:tcW w:w="2520" w:type="dxa"/>
          </w:tcPr>
          <w:p w14:paraId="438D0916" w14:textId="441FC532" w:rsidR="00C60E3E" w:rsidRPr="00C60E3E" w:rsidRDefault="00C60E3E" w:rsidP="006222B0">
            <w:pPr>
              <w:rPr>
                <w:rFonts w:ascii="Bookman Old Style" w:hAnsi="Bookman Old Style"/>
                <w:sz w:val="18"/>
              </w:rPr>
            </w:pPr>
            <w:r w:rsidRPr="00C60E3E">
              <w:rPr>
                <w:rFonts w:ascii="Bookman Old Style" w:hAnsi="Bookman Old Style"/>
                <w:sz w:val="18"/>
              </w:rPr>
              <w:t>Competitive Firm Cash Offer</w:t>
            </w:r>
          </w:p>
        </w:tc>
        <w:tc>
          <w:tcPr>
            <w:tcW w:w="5238" w:type="dxa"/>
          </w:tcPr>
          <w:p w14:paraId="69F8D367" w14:textId="77777777" w:rsidR="00C60E3E" w:rsidRPr="00C60E3E" w:rsidRDefault="00C60E3E" w:rsidP="006222B0">
            <w:pPr>
              <w:rPr>
                <w:rFonts w:ascii="Bookman Old Style" w:hAnsi="Bookman Old Style"/>
                <w:sz w:val="18"/>
              </w:rPr>
            </w:pPr>
            <w:r w:rsidRPr="00C60E3E">
              <w:rPr>
                <w:rFonts w:ascii="Bookman Old Style" w:hAnsi="Bookman Old Style"/>
                <w:sz w:val="18"/>
              </w:rPr>
              <w:t>Company can elect to award the underwriting contract through a public auction instead of negotiation.</w:t>
            </w:r>
          </w:p>
          <w:p w14:paraId="14A27300" w14:textId="11DCDFDD" w:rsidR="00C60E3E" w:rsidRPr="00C60E3E" w:rsidRDefault="00C60E3E" w:rsidP="006222B0">
            <w:pPr>
              <w:rPr>
                <w:rFonts w:ascii="Bookman Old Style" w:hAnsi="Bookman Old Style"/>
                <w:sz w:val="18"/>
              </w:rPr>
            </w:pPr>
          </w:p>
        </w:tc>
      </w:tr>
      <w:tr w:rsidR="00C60E3E" w:rsidRPr="00C60E3E" w14:paraId="60FE30DE" w14:textId="77777777" w:rsidTr="00C60E3E">
        <w:tc>
          <w:tcPr>
            <w:tcW w:w="1818" w:type="dxa"/>
          </w:tcPr>
          <w:p w14:paraId="27674C80" w14:textId="6FEAEB5A" w:rsidR="00C60E3E" w:rsidRPr="00C60E3E" w:rsidRDefault="00C60E3E" w:rsidP="006222B0">
            <w:pPr>
              <w:rPr>
                <w:rFonts w:ascii="Bookman Old Style" w:hAnsi="Bookman Old Style"/>
                <w:sz w:val="18"/>
              </w:rPr>
            </w:pPr>
            <w:r w:rsidRPr="00C60E3E">
              <w:rPr>
                <w:rFonts w:ascii="Bookman Old Style" w:hAnsi="Bookman Old Style"/>
                <w:b/>
                <w:i/>
                <w:sz w:val="18"/>
              </w:rPr>
              <w:t>Private</w:t>
            </w:r>
          </w:p>
        </w:tc>
        <w:tc>
          <w:tcPr>
            <w:tcW w:w="2520" w:type="dxa"/>
          </w:tcPr>
          <w:p w14:paraId="40EE8458" w14:textId="2253CF9D" w:rsidR="00C60E3E" w:rsidRPr="00C60E3E" w:rsidRDefault="00C60E3E" w:rsidP="006222B0">
            <w:pPr>
              <w:rPr>
                <w:rFonts w:ascii="Bookman Old Style" w:hAnsi="Bookman Old Style"/>
                <w:sz w:val="18"/>
              </w:rPr>
            </w:pPr>
            <w:r w:rsidRPr="00C60E3E">
              <w:rPr>
                <w:rFonts w:ascii="Bookman Old Style" w:hAnsi="Bookman Old Style"/>
                <w:sz w:val="18"/>
              </w:rPr>
              <w:t>Direct Placement</w:t>
            </w:r>
          </w:p>
        </w:tc>
        <w:tc>
          <w:tcPr>
            <w:tcW w:w="5238" w:type="dxa"/>
          </w:tcPr>
          <w:p w14:paraId="19580681" w14:textId="70912BCF" w:rsidR="00C60E3E" w:rsidRPr="00C60E3E" w:rsidRDefault="00C60E3E" w:rsidP="006222B0">
            <w:pPr>
              <w:rPr>
                <w:rFonts w:ascii="Bookman Old Style" w:hAnsi="Bookman Old Style"/>
                <w:sz w:val="18"/>
              </w:rPr>
            </w:pPr>
            <w:r w:rsidRPr="00C60E3E">
              <w:rPr>
                <w:rFonts w:ascii="Bookman Old Style" w:hAnsi="Bookman Old Style"/>
                <w:sz w:val="18"/>
              </w:rPr>
              <w:t>Securities are sold directly to the buyer, who (at least until recently) couldn’t resell securities for 4 months</w:t>
            </w:r>
          </w:p>
        </w:tc>
      </w:tr>
    </w:tbl>
    <w:p w14:paraId="79647A89" w14:textId="77777777" w:rsidR="00DE77A7" w:rsidRDefault="00DE77A7" w:rsidP="006222B0">
      <w:pPr>
        <w:spacing w:after="0" w:line="240" w:lineRule="auto"/>
        <w:jc w:val="both"/>
        <w:rPr>
          <w:rFonts w:ascii="Bookman Old Style" w:hAnsi="Bookman Old Style"/>
          <w:sz w:val="20"/>
        </w:rPr>
      </w:pPr>
    </w:p>
    <w:p w14:paraId="7ECD6953" w14:textId="77777777" w:rsidR="00C60E3E" w:rsidRDefault="00C60E3E" w:rsidP="006222B0">
      <w:pPr>
        <w:spacing w:after="0" w:line="240" w:lineRule="auto"/>
        <w:jc w:val="both"/>
        <w:rPr>
          <w:rFonts w:ascii="Bookman Old Style" w:hAnsi="Bookman Old Style"/>
          <w:sz w:val="20"/>
        </w:rPr>
      </w:pPr>
    </w:p>
    <w:p w14:paraId="294E80C0" w14:textId="77777777" w:rsidR="00C60E3E" w:rsidRDefault="00C60E3E" w:rsidP="006222B0">
      <w:pPr>
        <w:spacing w:after="0" w:line="240" w:lineRule="auto"/>
        <w:jc w:val="both"/>
        <w:rPr>
          <w:rFonts w:ascii="Bookman Old Style" w:hAnsi="Bookman Old Style"/>
          <w:b/>
          <w:sz w:val="20"/>
          <w:u w:val="single"/>
        </w:rPr>
      </w:pPr>
    </w:p>
    <w:p w14:paraId="43AE194C" w14:textId="77777777" w:rsidR="00C60E3E" w:rsidRDefault="00C60E3E" w:rsidP="006222B0">
      <w:pPr>
        <w:spacing w:after="0" w:line="240" w:lineRule="auto"/>
        <w:jc w:val="both"/>
        <w:rPr>
          <w:rFonts w:ascii="Bookman Old Style" w:hAnsi="Bookman Old Style"/>
          <w:b/>
          <w:sz w:val="20"/>
          <w:u w:val="single"/>
        </w:rPr>
      </w:pPr>
    </w:p>
    <w:p w14:paraId="090D4065" w14:textId="5C6C169E" w:rsidR="00C60E3E" w:rsidRPr="00C60E3E" w:rsidRDefault="00C60E3E" w:rsidP="006222B0">
      <w:pPr>
        <w:spacing w:after="0" w:line="240" w:lineRule="auto"/>
        <w:jc w:val="center"/>
        <w:rPr>
          <w:rFonts w:ascii="Bookman Old Style" w:hAnsi="Bookman Old Style"/>
          <w:b/>
          <w:sz w:val="20"/>
          <w:u w:val="single"/>
        </w:rPr>
      </w:pPr>
      <w:r>
        <w:rPr>
          <w:rFonts w:ascii="Bookman Old Style" w:hAnsi="Bookman Old Style"/>
          <w:b/>
          <w:sz w:val="20"/>
          <w:u w:val="single"/>
        </w:rPr>
        <w:lastRenderedPageBreak/>
        <w:t>THE CASH OFFER</w:t>
      </w:r>
    </w:p>
    <w:p w14:paraId="16C88179" w14:textId="77777777" w:rsidR="00DE77A7" w:rsidRDefault="00DE77A7" w:rsidP="006222B0">
      <w:pPr>
        <w:spacing w:after="0" w:line="240" w:lineRule="auto"/>
        <w:jc w:val="both"/>
        <w:rPr>
          <w:rFonts w:ascii="Bookman Old Style" w:hAnsi="Bookman Old Style"/>
        </w:rPr>
      </w:pPr>
    </w:p>
    <w:p w14:paraId="39AC8085" w14:textId="7C53A053" w:rsidR="00C60E3E" w:rsidRDefault="00C60E3E" w:rsidP="006222B0">
      <w:pPr>
        <w:spacing w:after="0" w:line="240" w:lineRule="auto"/>
        <w:jc w:val="both"/>
        <w:rPr>
          <w:rFonts w:ascii="Bookman Old Style" w:hAnsi="Bookman Old Style"/>
        </w:rPr>
      </w:pPr>
      <w:r w:rsidRPr="00C60E3E">
        <w:rPr>
          <w:rFonts w:ascii="Bookman Old Style" w:hAnsi="Bookman Old Style"/>
        </w:rPr>
        <w:t xml:space="preserve">If the </w:t>
      </w:r>
      <w:r>
        <w:rPr>
          <w:rFonts w:ascii="Bookman Old Style" w:hAnsi="Bookman Old Style"/>
        </w:rPr>
        <w:t>public issue of securities is a cash offer, underwriters are usually involved. Underwriters perform the following services for corporate issuers:</w:t>
      </w:r>
    </w:p>
    <w:p w14:paraId="1C22C105" w14:textId="77777777" w:rsidR="00C60E3E" w:rsidRDefault="00C60E3E" w:rsidP="006222B0">
      <w:pPr>
        <w:spacing w:after="0" w:line="240" w:lineRule="auto"/>
        <w:jc w:val="both"/>
        <w:rPr>
          <w:rFonts w:ascii="Bookman Old Style" w:hAnsi="Bookman Old Style"/>
        </w:rPr>
      </w:pPr>
    </w:p>
    <w:p w14:paraId="2F3A833E" w14:textId="30B321A7" w:rsidR="00C60E3E" w:rsidRDefault="00C60E3E" w:rsidP="006222B0">
      <w:pPr>
        <w:pStyle w:val="ListParagraph"/>
        <w:numPr>
          <w:ilvl w:val="0"/>
          <w:numId w:val="18"/>
        </w:numPr>
        <w:spacing w:after="0" w:line="240" w:lineRule="auto"/>
        <w:jc w:val="both"/>
        <w:rPr>
          <w:rFonts w:ascii="Bookman Old Style" w:hAnsi="Bookman Old Style"/>
        </w:rPr>
      </w:pPr>
      <w:r>
        <w:rPr>
          <w:rFonts w:ascii="Bookman Old Style" w:hAnsi="Bookman Old Style"/>
        </w:rPr>
        <w:t>Formulating the method used to issue securities</w:t>
      </w:r>
    </w:p>
    <w:p w14:paraId="6E3CE1E6" w14:textId="2F16B914" w:rsidR="00C60E3E" w:rsidRDefault="00C60E3E" w:rsidP="006222B0">
      <w:pPr>
        <w:pStyle w:val="ListParagraph"/>
        <w:numPr>
          <w:ilvl w:val="0"/>
          <w:numId w:val="18"/>
        </w:numPr>
        <w:spacing w:after="0" w:line="240" w:lineRule="auto"/>
        <w:jc w:val="both"/>
        <w:rPr>
          <w:rFonts w:ascii="Bookman Old Style" w:hAnsi="Bookman Old Style"/>
        </w:rPr>
      </w:pPr>
      <w:r>
        <w:rPr>
          <w:rFonts w:ascii="Bookman Old Style" w:hAnsi="Bookman Old Style"/>
        </w:rPr>
        <w:t>Pricing the new securities</w:t>
      </w:r>
    </w:p>
    <w:p w14:paraId="631EC920" w14:textId="0E019F78" w:rsidR="00C60E3E" w:rsidRPr="00C60E3E" w:rsidRDefault="00C60E3E" w:rsidP="006222B0">
      <w:pPr>
        <w:pStyle w:val="ListParagraph"/>
        <w:numPr>
          <w:ilvl w:val="0"/>
          <w:numId w:val="18"/>
        </w:numPr>
        <w:spacing w:after="0" w:line="240" w:lineRule="auto"/>
        <w:jc w:val="both"/>
        <w:rPr>
          <w:rFonts w:ascii="Bookman Old Style" w:hAnsi="Bookman Old Style"/>
        </w:rPr>
      </w:pPr>
      <w:r>
        <w:rPr>
          <w:rFonts w:ascii="Bookman Old Style" w:hAnsi="Bookman Old Style"/>
        </w:rPr>
        <w:t>Selling the new securities</w:t>
      </w:r>
    </w:p>
    <w:p w14:paraId="76A907D6" w14:textId="77777777" w:rsidR="00DE77A7" w:rsidRDefault="00DE77A7" w:rsidP="006222B0">
      <w:pPr>
        <w:spacing w:after="0" w:line="240" w:lineRule="auto"/>
        <w:jc w:val="both"/>
        <w:rPr>
          <w:rFonts w:ascii="Bookman Old Style" w:hAnsi="Bookman Old Style"/>
        </w:rPr>
      </w:pPr>
    </w:p>
    <w:p w14:paraId="5967F97F" w14:textId="4F8EC8F7" w:rsidR="00C60E3E" w:rsidRDefault="00C60E3E" w:rsidP="006222B0">
      <w:pPr>
        <w:spacing w:after="0" w:line="240" w:lineRule="auto"/>
        <w:jc w:val="both"/>
        <w:rPr>
          <w:rFonts w:ascii="Bookman Old Style" w:hAnsi="Bookman Old Style"/>
        </w:rPr>
      </w:pPr>
      <w:r>
        <w:rPr>
          <w:rFonts w:ascii="Bookman Old Style" w:hAnsi="Bookman Old Style"/>
        </w:rPr>
        <w:t>Usually the underwrite buys the securities for less than the offering price and accepts the risk of not being able to sell them.</w:t>
      </w:r>
    </w:p>
    <w:p w14:paraId="33C09348" w14:textId="77777777" w:rsidR="00C60E3E" w:rsidRDefault="00C60E3E" w:rsidP="006222B0">
      <w:pPr>
        <w:spacing w:after="0" w:line="240" w:lineRule="auto"/>
        <w:jc w:val="both"/>
        <w:rPr>
          <w:rFonts w:ascii="Bookman Old Style" w:hAnsi="Bookman Old Style"/>
        </w:rPr>
      </w:pPr>
    </w:p>
    <w:p w14:paraId="7DDF0C0A" w14:textId="19B9AAE0" w:rsidR="00C60E3E" w:rsidRDefault="00C60E3E" w:rsidP="006222B0">
      <w:pPr>
        <w:spacing w:after="0" w:line="240" w:lineRule="auto"/>
        <w:jc w:val="both"/>
        <w:rPr>
          <w:rFonts w:ascii="Bookman Old Style" w:hAnsi="Bookman Old Style"/>
        </w:rPr>
      </w:pPr>
      <w:r>
        <w:rPr>
          <w:rFonts w:ascii="Bookman Old Style" w:hAnsi="Bookman Old Style"/>
        </w:rPr>
        <w:t xml:space="preserve">Because underwriting involves risk, underwriters combine to form an </w:t>
      </w:r>
      <w:r>
        <w:rPr>
          <w:rFonts w:ascii="Bookman Old Style" w:hAnsi="Bookman Old Style"/>
          <w:i/>
        </w:rPr>
        <w:t>underwriting group</w:t>
      </w:r>
      <w:r>
        <w:rPr>
          <w:rFonts w:ascii="Bookman Old Style" w:hAnsi="Bookman Old Style"/>
        </w:rPr>
        <w:t xml:space="preserve"> called a </w:t>
      </w:r>
      <w:r>
        <w:rPr>
          <w:rFonts w:ascii="Bookman Old Style" w:hAnsi="Bookman Old Style"/>
          <w:b/>
        </w:rPr>
        <w:t>syndicate</w:t>
      </w:r>
      <w:r>
        <w:rPr>
          <w:rFonts w:ascii="Bookman Old Style" w:hAnsi="Bookman Old Style"/>
        </w:rPr>
        <w:t xml:space="preserve"> or a </w:t>
      </w:r>
      <w:r>
        <w:rPr>
          <w:rFonts w:ascii="Bookman Old Style" w:hAnsi="Bookman Old Style"/>
          <w:i/>
        </w:rPr>
        <w:t>banking group</w:t>
      </w:r>
      <w:r>
        <w:rPr>
          <w:rFonts w:ascii="Bookman Old Style" w:hAnsi="Bookman Old Style"/>
        </w:rPr>
        <w:t xml:space="preserve"> to share the risk and help them to sell the issue.</w:t>
      </w:r>
    </w:p>
    <w:p w14:paraId="799D119D" w14:textId="77777777" w:rsidR="00C60E3E" w:rsidRDefault="00C60E3E" w:rsidP="006222B0">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C60E3E" w14:paraId="00A48DC9" w14:textId="77777777" w:rsidTr="00C60E3E">
        <w:tc>
          <w:tcPr>
            <w:tcW w:w="9576" w:type="dxa"/>
          </w:tcPr>
          <w:p w14:paraId="43E01935" w14:textId="00F93334" w:rsidR="00C60E3E" w:rsidRDefault="00C60E3E" w:rsidP="006222B0">
            <w:pPr>
              <w:jc w:val="both"/>
              <w:rPr>
                <w:rFonts w:ascii="Bookman Old Style" w:hAnsi="Bookman Old Style"/>
              </w:rPr>
            </w:pPr>
          </w:p>
          <w:p w14:paraId="0733E126" w14:textId="053FA08F" w:rsidR="00C60E3E" w:rsidRDefault="00C60E3E" w:rsidP="006222B0">
            <w:pPr>
              <w:jc w:val="both"/>
              <w:rPr>
                <w:rFonts w:ascii="Bookman Old Style" w:hAnsi="Bookman Old Style"/>
              </w:rPr>
            </w:pPr>
            <w:r>
              <w:rPr>
                <w:rFonts w:ascii="Bookman Old Style" w:hAnsi="Bookman Old Style"/>
                <w:b/>
              </w:rPr>
              <w:t>Syndicate</w:t>
            </w:r>
            <w:r>
              <w:rPr>
                <w:rFonts w:ascii="Bookman Old Style" w:hAnsi="Bookman Old Style"/>
              </w:rPr>
              <w:t xml:space="preserve"> – A group of underwriters formed to reduce the risk and help to sell an issue.</w:t>
            </w:r>
          </w:p>
          <w:p w14:paraId="162E133B" w14:textId="77777777" w:rsidR="00C60E3E" w:rsidRDefault="00C60E3E" w:rsidP="006222B0">
            <w:pPr>
              <w:jc w:val="both"/>
              <w:rPr>
                <w:rFonts w:ascii="Bookman Old Style" w:hAnsi="Bookman Old Style"/>
              </w:rPr>
            </w:pPr>
          </w:p>
        </w:tc>
      </w:tr>
    </w:tbl>
    <w:p w14:paraId="02DD0A27" w14:textId="77777777" w:rsidR="00C60E3E" w:rsidRDefault="00C60E3E" w:rsidP="006222B0">
      <w:pPr>
        <w:spacing w:after="0" w:line="240" w:lineRule="auto"/>
        <w:jc w:val="both"/>
        <w:rPr>
          <w:rFonts w:ascii="Bookman Old Style" w:hAnsi="Bookman Old Style"/>
        </w:rPr>
      </w:pPr>
    </w:p>
    <w:p w14:paraId="732DFE2C" w14:textId="74DE3DBC" w:rsidR="00C60E3E" w:rsidRDefault="00C60E3E" w:rsidP="006222B0">
      <w:pPr>
        <w:spacing w:after="0" w:line="240" w:lineRule="auto"/>
        <w:jc w:val="both"/>
        <w:rPr>
          <w:rFonts w:ascii="Bookman Old Style" w:hAnsi="Bookman Old Style"/>
        </w:rPr>
      </w:pPr>
      <w:r>
        <w:rPr>
          <w:rFonts w:ascii="Bookman Old Style" w:hAnsi="Bookman Old Style"/>
        </w:rPr>
        <w:t xml:space="preserve">In a syndicate, one or more managers arrange of co-manage the offering. The manager is designated as the lead manager and is responsible for packaging and executing the deal. The other underwriters in the syndicate </w:t>
      </w:r>
      <w:r w:rsidR="000C1DAF">
        <w:rPr>
          <w:rFonts w:ascii="Bookman Old Style" w:hAnsi="Bookman Old Style"/>
        </w:rPr>
        <w:t>serve mainly to distribute the issue.</w:t>
      </w:r>
    </w:p>
    <w:p w14:paraId="0CF343BF" w14:textId="77777777" w:rsidR="000C1DAF" w:rsidRDefault="000C1DAF" w:rsidP="006222B0">
      <w:pPr>
        <w:spacing w:after="0" w:line="240" w:lineRule="auto"/>
        <w:jc w:val="both"/>
        <w:rPr>
          <w:rFonts w:ascii="Bookman Old Style" w:hAnsi="Bookman Old Style"/>
        </w:rPr>
      </w:pPr>
    </w:p>
    <w:p w14:paraId="6B7AB6E6" w14:textId="1818BB5D" w:rsidR="000C1DAF" w:rsidRDefault="000C1DAF" w:rsidP="006222B0">
      <w:pPr>
        <w:spacing w:after="0" w:line="240" w:lineRule="auto"/>
        <w:jc w:val="both"/>
        <w:rPr>
          <w:rFonts w:ascii="Bookman Old Style" w:hAnsi="Bookman Old Style"/>
        </w:rPr>
      </w:pPr>
      <w:r>
        <w:rPr>
          <w:rFonts w:ascii="Bookman Old Style" w:hAnsi="Bookman Old Style"/>
        </w:rPr>
        <w:t xml:space="preserve">The difference between the underwriters’ buying and the offering price is called the </w:t>
      </w:r>
      <w:r>
        <w:rPr>
          <w:rFonts w:ascii="Bookman Old Style" w:hAnsi="Bookman Old Style"/>
          <w:b/>
        </w:rPr>
        <w:t>spread</w:t>
      </w:r>
      <w:r>
        <w:rPr>
          <w:rFonts w:ascii="Bookman Old Style" w:hAnsi="Bookman Old Style"/>
        </w:rPr>
        <w:t xml:space="preserve"> or the </w:t>
      </w:r>
      <w:r>
        <w:rPr>
          <w:rFonts w:ascii="Bookman Old Style" w:hAnsi="Bookman Old Style"/>
          <w:i/>
        </w:rPr>
        <w:t>discount</w:t>
      </w:r>
      <w:r>
        <w:rPr>
          <w:rFonts w:ascii="Bookman Old Style" w:hAnsi="Bookman Old Style"/>
        </w:rPr>
        <w:t>. It’s basically the compensation the underwriter receives.</w:t>
      </w:r>
    </w:p>
    <w:p w14:paraId="07D8AB5E" w14:textId="77777777" w:rsidR="000C1DAF" w:rsidRDefault="000C1DAF" w:rsidP="006222B0">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0C1DAF" w14:paraId="7082FED5" w14:textId="77777777" w:rsidTr="000C1DAF">
        <w:tc>
          <w:tcPr>
            <w:tcW w:w="9576" w:type="dxa"/>
          </w:tcPr>
          <w:p w14:paraId="6C771AA7" w14:textId="77777777" w:rsidR="000C1DAF" w:rsidRDefault="000C1DAF" w:rsidP="006222B0">
            <w:pPr>
              <w:jc w:val="both"/>
              <w:rPr>
                <w:rFonts w:ascii="Bookman Old Style" w:hAnsi="Bookman Old Style"/>
              </w:rPr>
            </w:pPr>
          </w:p>
          <w:p w14:paraId="30465A73" w14:textId="6E9B2BAC" w:rsidR="000C1DAF" w:rsidRPr="000C1DAF" w:rsidRDefault="000C1DAF" w:rsidP="006222B0">
            <w:pPr>
              <w:jc w:val="both"/>
              <w:rPr>
                <w:rFonts w:ascii="Bookman Old Style" w:hAnsi="Bookman Old Style"/>
              </w:rPr>
            </w:pPr>
            <w:r>
              <w:rPr>
                <w:rFonts w:ascii="Bookman Old Style" w:hAnsi="Bookman Old Style"/>
                <w:b/>
              </w:rPr>
              <w:t>Spread</w:t>
            </w:r>
            <w:r>
              <w:rPr>
                <w:rFonts w:ascii="Bookman Old Style" w:hAnsi="Bookman Old Style"/>
              </w:rPr>
              <w:t xml:space="preserve"> – Compensation to the underwriter, determined by the difference between the underwriter’s buying price and offering price.</w:t>
            </w:r>
          </w:p>
          <w:p w14:paraId="69DA2324" w14:textId="77777777" w:rsidR="000C1DAF" w:rsidRDefault="000C1DAF" w:rsidP="006222B0">
            <w:pPr>
              <w:jc w:val="both"/>
              <w:rPr>
                <w:rFonts w:ascii="Bookman Old Style" w:hAnsi="Bookman Old Style"/>
              </w:rPr>
            </w:pPr>
          </w:p>
        </w:tc>
      </w:tr>
    </w:tbl>
    <w:p w14:paraId="1E32DAB1" w14:textId="77777777" w:rsidR="000C1DAF" w:rsidRDefault="000C1DAF" w:rsidP="006222B0">
      <w:pPr>
        <w:spacing w:after="0" w:line="240" w:lineRule="auto"/>
        <w:jc w:val="both"/>
        <w:rPr>
          <w:rFonts w:ascii="Bookman Old Style" w:hAnsi="Bookman Old Style"/>
        </w:rPr>
      </w:pPr>
    </w:p>
    <w:p w14:paraId="51E75E58" w14:textId="65DAA34F" w:rsidR="000C1DAF" w:rsidRDefault="000C1DAF" w:rsidP="006222B0">
      <w:pPr>
        <w:spacing w:after="0" w:line="240" w:lineRule="auto"/>
        <w:jc w:val="both"/>
        <w:rPr>
          <w:rFonts w:ascii="Bookman Old Style" w:hAnsi="Bookman Old Style"/>
        </w:rPr>
      </w:pPr>
      <w:r>
        <w:rPr>
          <w:rFonts w:ascii="Bookman Old Style" w:hAnsi="Bookman Old Style"/>
        </w:rPr>
        <w:t xml:space="preserve">In Canada, firms usually establish long-term relationships with their underwriters. With the growing popularity of </w:t>
      </w:r>
      <w:r>
        <w:rPr>
          <w:rFonts w:ascii="Bookman Old Style" w:hAnsi="Bookman Old Style"/>
          <w:b/>
        </w:rPr>
        <w:t>bought deals</w:t>
      </w:r>
      <w:r>
        <w:rPr>
          <w:rFonts w:ascii="Bookman Old Style" w:hAnsi="Bookman Old Style"/>
        </w:rPr>
        <w:t>, competition between underwriters has increased. Mergers among investment dealers have also reduced the number of underwriters.</w:t>
      </w:r>
    </w:p>
    <w:p w14:paraId="55893FC9" w14:textId="77777777" w:rsidR="000C1DAF" w:rsidRDefault="000C1DAF" w:rsidP="006222B0">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0C1DAF" w14:paraId="19FF11C7" w14:textId="77777777" w:rsidTr="000C1DAF">
        <w:tc>
          <w:tcPr>
            <w:tcW w:w="9576" w:type="dxa"/>
          </w:tcPr>
          <w:p w14:paraId="6959B1DE" w14:textId="77777777" w:rsidR="000C1DAF" w:rsidRDefault="000C1DAF" w:rsidP="006222B0">
            <w:pPr>
              <w:jc w:val="both"/>
              <w:rPr>
                <w:rFonts w:ascii="Bookman Old Style" w:hAnsi="Bookman Old Style"/>
              </w:rPr>
            </w:pPr>
          </w:p>
          <w:p w14:paraId="310982CB" w14:textId="3B6CA4BF" w:rsidR="000C1DAF" w:rsidRPr="000C1DAF" w:rsidRDefault="000C1DAF" w:rsidP="006222B0">
            <w:pPr>
              <w:jc w:val="both"/>
              <w:rPr>
                <w:rFonts w:ascii="Bookman Old Style" w:hAnsi="Bookman Old Style"/>
              </w:rPr>
            </w:pPr>
            <w:r>
              <w:rPr>
                <w:rFonts w:ascii="Bookman Old Style" w:hAnsi="Bookman Old Style"/>
                <w:b/>
              </w:rPr>
              <w:t>Bought Deal</w:t>
            </w:r>
            <w:r>
              <w:rPr>
                <w:rFonts w:ascii="Bookman Old Style" w:hAnsi="Bookman Old Style"/>
              </w:rPr>
              <w:t xml:space="preserve"> – One underwriter buys securities from an issuing firm and sells them directly to a small number of investors.</w:t>
            </w:r>
          </w:p>
          <w:p w14:paraId="6DE23458" w14:textId="77777777" w:rsidR="000C1DAF" w:rsidRDefault="000C1DAF" w:rsidP="006222B0">
            <w:pPr>
              <w:jc w:val="both"/>
              <w:rPr>
                <w:rFonts w:ascii="Bookman Old Style" w:hAnsi="Bookman Old Style"/>
              </w:rPr>
            </w:pPr>
          </w:p>
        </w:tc>
      </w:tr>
    </w:tbl>
    <w:p w14:paraId="0FB7EF2F" w14:textId="77777777" w:rsidR="000C1DAF" w:rsidRDefault="000C1DAF" w:rsidP="006222B0">
      <w:pPr>
        <w:spacing w:after="0" w:line="240" w:lineRule="auto"/>
        <w:jc w:val="both"/>
        <w:rPr>
          <w:rFonts w:ascii="Bookman Old Style" w:hAnsi="Bookman Old Style"/>
        </w:rPr>
      </w:pPr>
    </w:p>
    <w:p w14:paraId="59F8E069" w14:textId="77777777" w:rsidR="000C1DAF" w:rsidRDefault="000C1DAF" w:rsidP="006222B0">
      <w:pPr>
        <w:spacing w:after="0" w:line="240" w:lineRule="auto"/>
        <w:jc w:val="both"/>
        <w:rPr>
          <w:rFonts w:ascii="Bookman Old Style" w:hAnsi="Bookman Old Style"/>
        </w:rPr>
      </w:pPr>
    </w:p>
    <w:p w14:paraId="37212904" w14:textId="77777777" w:rsidR="000C1DAF" w:rsidRDefault="000C1DAF" w:rsidP="006222B0">
      <w:pPr>
        <w:spacing w:after="0" w:line="240" w:lineRule="auto"/>
        <w:jc w:val="both"/>
        <w:rPr>
          <w:rFonts w:ascii="Bookman Old Style" w:hAnsi="Bookman Old Style"/>
          <w:b/>
          <w:u w:val="single"/>
        </w:rPr>
      </w:pPr>
    </w:p>
    <w:p w14:paraId="0E2F5D17" w14:textId="77777777" w:rsidR="000C1DAF" w:rsidRDefault="000C1DAF" w:rsidP="006222B0">
      <w:pPr>
        <w:spacing w:after="0" w:line="240" w:lineRule="auto"/>
        <w:jc w:val="both"/>
        <w:rPr>
          <w:rFonts w:ascii="Bookman Old Style" w:hAnsi="Bookman Old Style"/>
          <w:b/>
          <w:u w:val="single"/>
        </w:rPr>
      </w:pPr>
    </w:p>
    <w:p w14:paraId="4A12FEA4" w14:textId="77777777" w:rsidR="000C1DAF" w:rsidRDefault="000C1DAF" w:rsidP="006222B0">
      <w:pPr>
        <w:spacing w:after="0" w:line="240" w:lineRule="auto"/>
        <w:jc w:val="both"/>
        <w:rPr>
          <w:rFonts w:ascii="Bookman Old Style" w:hAnsi="Bookman Old Style"/>
          <w:b/>
          <w:u w:val="single"/>
        </w:rPr>
      </w:pPr>
    </w:p>
    <w:p w14:paraId="51F90129" w14:textId="58AE7090" w:rsidR="000C1DAF" w:rsidRDefault="000C1DAF" w:rsidP="006222B0">
      <w:pPr>
        <w:spacing w:after="0" w:line="240" w:lineRule="auto"/>
        <w:jc w:val="both"/>
        <w:rPr>
          <w:rFonts w:ascii="Bookman Old Style" w:hAnsi="Bookman Old Style"/>
          <w:b/>
          <w:u w:val="single"/>
        </w:rPr>
      </w:pPr>
      <w:r>
        <w:rPr>
          <w:rFonts w:ascii="Bookman Old Style" w:hAnsi="Bookman Old Style"/>
          <w:b/>
          <w:u w:val="single"/>
        </w:rPr>
        <w:lastRenderedPageBreak/>
        <w:t>TYPES OF UNDERWRITING</w:t>
      </w:r>
    </w:p>
    <w:p w14:paraId="55BFB7C3" w14:textId="2097688C" w:rsidR="000C1DAF" w:rsidRDefault="000C1DAF" w:rsidP="006222B0">
      <w:pPr>
        <w:spacing w:after="0" w:line="240" w:lineRule="auto"/>
        <w:jc w:val="both"/>
        <w:rPr>
          <w:rFonts w:ascii="Bookman Old Style" w:hAnsi="Bookman Old Style"/>
        </w:rPr>
      </w:pPr>
      <w:r>
        <w:rPr>
          <w:rFonts w:ascii="Bookman Old Style" w:hAnsi="Bookman Old Style"/>
        </w:rPr>
        <w:t>There are 2 basic types of underwriting available in a cash offer:</w:t>
      </w:r>
    </w:p>
    <w:p w14:paraId="535DF247" w14:textId="77777777" w:rsidR="000C1DAF" w:rsidRDefault="000C1DAF" w:rsidP="006222B0">
      <w:pPr>
        <w:pStyle w:val="ListParagraph"/>
        <w:spacing w:after="0" w:line="240" w:lineRule="auto"/>
        <w:jc w:val="both"/>
        <w:rPr>
          <w:rFonts w:ascii="Bookman Old Style" w:hAnsi="Bookman Old Style"/>
        </w:rPr>
      </w:pPr>
    </w:p>
    <w:p w14:paraId="36F99A0B" w14:textId="4E99F8A9" w:rsidR="000C1DAF" w:rsidRDefault="000C1DAF" w:rsidP="006222B0">
      <w:pPr>
        <w:pStyle w:val="ListParagraph"/>
        <w:numPr>
          <w:ilvl w:val="0"/>
          <w:numId w:val="19"/>
        </w:numPr>
        <w:spacing w:after="0" w:line="240" w:lineRule="auto"/>
        <w:jc w:val="both"/>
        <w:rPr>
          <w:rFonts w:ascii="Bookman Old Style" w:hAnsi="Bookman Old Style"/>
        </w:rPr>
      </w:pPr>
      <w:r>
        <w:rPr>
          <w:rFonts w:ascii="Bookman Old Style" w:hAnsi="Bookman Old Style"/>
        </w:rPr>
        <w:t>Regular underwriting</w:t>
      </w:r>
    </w:p>
    <w:p w14:paraId="56246DED" w14:textId="0D6A22CD" w:rsidR="000C1DAF" w:rsidRDefault="000C1DAF" w:rsidP="006222B0">
      <w:pPr>
        <w:pStyle w:val="ListParagraph"/>
        <w:numPr>
          <w:ilvl w:val="0"/>
          <w:numId w:val="19"/>
        </w:numPr>
        <w:spacing w:after="0" w:line="240" w:lineRule="auto"/>
        <w:jc w:val="both"/>
        <w:rPr>
          <w:rFonts w:ascii="Bookman Old Style" w:hAnsi="Bookman Old Style"/>
        </w:rPr>
      </w:pPr>
      <w:r>
        <w:rPr>
          <w:rFonts w:ascii="Bookman Old Style" w:hAnsi="Bookman Old Style"/>
        </w:rPr>
        <w:t>Bought deal</w:t>
      </w:r>
    </w:p>
    <w:p w14:paraId="03E543E4" w14:textId="77777777" w:rsidR="000C1DAF" w:rsidRDefault="000C1DAF" w:rsidP="006222B0">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0C1DAF" w14:paraId="49F163F8" w14:textId="77777777" w:rsidTr="000C1DAF">
        <w:tc>
          <w:tcPr>
            <w:tcW w:w="9576" w:type="dxa"/>
          </w:tcPr>
          <w:p w14:paraId="4C94FEC1" w14:textId="77777777" w:rsidR="000C1DAF" w:rsidRDefault="000C1DAF" w:rsidP="006222B0">
            <w:pPr>
              <w:jc w:val="both"/>
              <w:rPr>
                <w:rFonts w:ascii="Bookman Old Style" w:hAnsi="Bookman Old Style"/>
              </w:rPr>
            </w:pPr>
          </w:p>
          <w:p w14:paraId="0AFE0DE7" w14:textId="0445D814" w:rsidR="000C1DAF" w:rsidRPr="000C1DAF" w:rsidRDefault="000C1DAF" w:rsidP="006222B0">
            <w:pPr>
              <w:jc w:val="both"/>
              <w:rPr>
                <w:rFonts w:ascii="Bookman Old Style" w:hAnsi="Bookman Old Style"/>
              </w:rPr>
            </w:pPr>
            <w:r>
              <w:rPr>
                <w:rFonts w:ascii="Bookman Old Style" w:hAnsi="Bookman Old Style"/>
                <w:b/>
              </w:rPr>
              <w:t>Regular Underwriting</w:t>
            </w:r>
            <w:r>
              <w:rPr>
                <w:rFonts w:ascii="Bookman Old Style" w:hAnsi="Bookman Old Style"/>
              </w:rPr>
              <w:t xml:space="preserve"> – The purchase of securities from the issuing company by an investment banker for resale to the public.</w:t>
            </w:r>
          </w:p>
          <w:p w14:paraId="402E43F2" w14:textId="77777777" w:rsidR="000C1DAF" w:rsidRDefault="000C1DAF" w:rsidP="006222B0">
            <w:pPr>
              <w:jc w:val="both"/>
              <w:rPr>
                <w:rFonts w:ascii="Bookman Old Style" w:hAnsi="Bookman Old Style"/>
              </w:rPr>
            </w:pPr>
          </w:p>
        </w:tc>
      </w:tr>
    </w:tbl>
    <w:p w14:paraId="78D34493" w14:textId="77777777" w:rsidR="000C1DAF" w:rsidRDefault="000C1DAF" w:rsidP="006222B0">
      <w:pPr>
        <w:spacing w:after="0" w:line="240" w:lineRule="auto"/>
        <w:jc w:val="both"/>
        <w:rPr>
          <w:rFonts w:ascii="Bookman Old Style" w:hAnsi="Bookman Old Style"/>
        </w:rPr>
      </w:pPr>
    </w:p>
    <w:p w14:paraId="0502870B" w14:textId="4DC6BF66" w:rsidR="000C1DAF" w:rsidRDefault="002E2FB6" w:rsidP="006222B0">
      <w:pPr>
        <w:spacing w:after="0" w:line="240" w:lineRule="auto"/>
        <w:jc w:val="both"/>
        <w:rPr>
          <w:rFonts w:ascii="Bookman Old Style" w:hAnsi="Bookman Old Style"/>
        </w:rPr>
      </w:pPr>
      <w:r>
        <w:rPr>
          <w:rFonts w:ascii="Bookman Old Style" w:hAnsi="Bookman Old Style"/>
          <w:b/>
        </w:rPr>
        <w:t>REGULAR UNDERWRITING</w:t>
      </w:r>
      <w:r w:rsidR="000C1DAF">
        <w:rPr>
          <w:rFonts w:ascii="Bookman Old Style" w:hAnsi="Bookman Old Style"/>
        </w:rPr>
        <w:t>: The banking group of underwriters buys the securities from the issuing firm and resells them to the public for the purchase price plus an underwriting spread.</w:t>
      </w:r>
    </w:p>
    <w:p w14:paraId="2703E4E5" w14:textId="5B70FC42" w:rsidR="000C1DAF" w:rsidRDefault="000C1DAF" w:rsidP="006222B0">
      <w:pPr>
        <w:spacing w:after="0" w:line="240" w:lineRule="auto"/>
        <w:jc w:val="both"/>
        <w:rPr>
          <w:rFonts w:ascii="Bookman Old Style" w:hAnsi="Bookman Old Style"/>
        </w:rPr>
      </w:pPr>
    </w:p>
    <w:p w14:paraId="188A4C5E" w14:textId="0285445B" w:rsidR="000C1DAF" w:rsidRDefault="000C1DAF" w:rsidP="006222B0">
      <w:pPr>
        <w:spacing w:after="0" w:line="240" w:lineRule="auto"/>
        <w:jc w:val="both"/>
        <w:rPr>
          <w:rFonts w:ascii="Bookman Old Style" w:hAnsi="Bookman Old Style"/>
        </w:rPr>
      </w:pPr>
      <w:r>
        <w:rPr>
          <w:rFonts w:ascii="Bookman Old Style" w:hAnsi="Bookman Old Style"/>
        </w:rPr>
        <w:t>Regular underwriting includes a “market out clause” that gives the banking group the option to decline the issue if the price drops dramatically – in this case, the deal is usually withdrawn. The issue might be re-priced and/or reoffered at a later date.</w:t>
      </w:r>
    </w:p>
    <w:p w14:paraId="2420345B" w14:textId="77777777" w:rsidR="000C1DAF" w:rsidRDefault="000C1DAF" w:rsidP="006222B0">
      <w:pPr>
        <w:spacing w:after="0" w:line="240" w:lineRule="auto"/>
        <w:jc w:val="both"/>
        <w:rPr>
          <w:rFonts w:ascii="Bookman Old Style" w:hAnsi="Bookman Old Style"/>
        </w:rPr>
      </w:pPr>
    </w:p>
    <w:p w14:paraId="4D9BFA80" w14:textId="6698BAC1" w:rsidR="000C1DAF" w:rsidRDefault="000C1DAF" w:rsidP="006222B0">
      <w:pPr>
        <w:spacing w:after="0" w:line="240" w:lineRule="auto"/>
        <w:jc w:val="both"/>
        <w:rPr>
          <w:rFonts w:ascii="Bookman Old Style" w:hAnsi="Bookman Old Style"/>
        </w:rPr>
      </w:pPr>
      <w:r>
        <w:rPr>
          <w:rFonts w:ascii="Bookman Old Style" w:hAnsi="Bookman Old Style"/>
          <w:b/>
        </w:rPr>
        <w:t>Firm commitment underwriting</w:t>
      </w:r>
      <w:r>
        <w:rPr>
          <w:rFonts w:ascii="Bookman Old Style" w:hAnsi="Bookman Old Style"/>
        </w:rPr>
        <w:t xml:space="preserve"> is like regular underwriting without the market clause.</w:t>
      </w:r>
    </w:p>
    <w:p w14:paraId="0C4165E4" w14:textId="77777777" w:rsidR="000C1DAF" w:rsidRDefault="000C1DAF" w:rsidP="006222B0">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0C1DAF" w14:paraId="1BF83B7B" w14:textId="77777777" w:rsidTr="000C1DAF">
        <w:tc>
          <w:tcPr>
            <w:tcW w:w="9576" w:type="dxa"/>
          </w:tcPr>
          <w:p w14:paraId="1D0E8E9D" w14:textId="77777777" w:rsidR="000C1DAF" w:rsidRDefault="000C1DAF" w:rsidP="006222B0">
            <w:pPr>
              <w:jc w:val="both"/>
              <w:rPr>
                <w:rFonts w:ascii="Bookman Old Style" w:hAnsi="Bookman Old Style"/>
              </w:rPr>
            </w:pPr>
          </w:p>
          <w:p w14:paraId="5281E7F6" w14:textId="53FED3DC" w:rsidR="000C1DAF" w:rsidRPr="000C1DAF" w:rsidRDefault="000C1DAF" w:rsidP="006222B0">
            <w:pPr>
              <w:jc w:val="both"/>
              <w:rPr>
                <w:rFonts w:ascii="Bookman Old Style" w:hAnsi="Bookman Old Style"/>
              </w:rPr>
            </w:pPr>
            <w:r>
              <w:rPr>
                <w:rFonts w:ascii="Bookman Old Style" w:hAnsi="Bookman Old Style"/>
                <w:b/>
              </w:rPr>
              <w:t>Firm Commitment Underwriting</w:t>
            </w:r>
            <w:r>
              <w:rPr>
                <w:rFonts w:ascii="Bookman Old Style" w:hAnsi="Bookman Old Style"/>
              </w:rPr>
              <w:t xml:space="preserve"> – Underwriter buys the entire issue, assuming full financial responsibility for any unsold shares.</w:t>
            </w:r>
          </w:p>
          <w:p w14:paraId="0B1ABE03" w14:textId="77777777" w:rsidR="000C1DAF" w:rsidRDefault="000C1DAF" w:rsidP="006222B0">
            <w:pPr>
              <w:jc w:val="both"/>
              <w:rPr>
                <w:rFonts w:ascii="Bookman Old Style" w:hAnsi="Bookman Old Style"/>
              </w:rPr>
            </w:pPr>
          </w:p>
        </w:tc>
      </w:tr>
    </w:tbl>
    <w:p w14:paraId="43EEA542" w14:textId="77777777" w:rsidR="000C1DAF" w:rsidRPr="000C1DAF" w:rsidRDefault="000C1DAF" w:rsidP="006222B0">
      <w:pPr>
        <w:spacing w:after="0" w:line="240" w:lineRule="auto"/>
        <w:jc w:val="both"/>
        <w:rPr>
          <w:rFonts w:ascii="Bookman Old Style" w:hAnsi="Bookman Old Style"/>
        </w:rPr>
      </w:pPr>
    </w:p>
    <w:p w14:paraId="4E6F988B" w14:textId="77777777" w:rsidR="000C1DAF" w:rsidRDefault="000C1DAF" w:rsidP="006222B0">
      <w:pPr>
        <w:spacing w:after="0" w:line="240" w:lineRule="auto"/>
        <w:jc w:val="both"/>
        <w:rPr>
          <w:rFonts w:ascii="Bookman Old Style" w:hAnsi="Bookman Old Style"/>
        </w:rPr>
      </w:pPr>
      <w:r>
        <w:rPr>
          <w:rFonts w:ascii="Bookman Old Style" w:hAnsi="Bookman Old Style"/>
        </w:rPr>
        <w:t xml:space="preserve">A close counterpart to regular underwriting is called </w:t>
      </w:r>
      <w:r>
        <w:rPr>
          <w:rFonts w:ascii="Bookman Old Style" w:hAnsi="Bookman Old Style"/>
          <w:b/>
        </w:rPr>
        <w:t>best efforts underwriting</w:t>
      </w:r>
      <w:r>
        <w:rPr>
          <w:rFonts w:ascii="Bookman Old Style" w:hAnsi="Bookman Old Style"/>
        </w:rPr>
        <w:t xml:space="preserve"> – the writer is legally bound to use its best efforts to sell the securities at the agreed-upon offering price.</w:t>
      </w:r>
    </w:p>
    <w:p w14:paraId="5864B2E0" w14:textId="77777777" w:rsidR="000C1DAF" w:rsidRDefault="000C1DAF" w:rsidP="006222B0">
      <w:pPr>
        <w:spacing w:after="0" w:line="240" w:lineRule="auto"/>
        <w:jc w:val="both"/>
        <w:rPr>
          <w:rFonts w:ascii="Bookman Old Style" w:hAnsi="Bookman Old Style"/>
        </w:rPr>
      </w:pPr>
    </w:p>
    <w:p w14:paraId="786F862E" w14:textId="77777777" w:rsidR="000C1DAF" w:rsidRDefault="000C1DAF" w:rsidP="006222B0">
      <w:pPr>
        <w:spacing w:after="0" w:line="240" w:lineRule="auto"/>
        <w:jc w:val="both"/>
        <w:rPr>
          <w:rFonts w:ascii="Bookman Old Style" w:hAnsi="Bookman Old Style"/>
        </w:rPr>
      </w:pPr>
      <w:r>
        <w:rPr>
          <w:rFonts w:ascii="Bookman Old Style" w:hAnsi="Bookman Old Style"/>
        </w:rPr>
        <w:t>Beyond this, the underwriter doesn’t guarantee any particular amount of money to the issuer. This kind of underwriting is more common with IPOs and with smaller, less well-known companies.</w:t>
      </w:r>
    </w:p>
    <w:p w14:paraId="43333E9A" w14:textId="77777777" w:rsidR="000C1DAF" w:rsidRDefault="000C1DAF" w:rsidP="006222B0">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0C1DAF" w14:paraId="1B0D666A" w14:textId="77777777" w:rsidTr="002E2FB6">
        <w:tc>
          <w:tcPr>
            <w:tcW w:w="9576" w:type="dxa"/>
          </w:tcPr>
          <w:p w14:paraId="6C1EAD1F" w14:textId="77777777" w:rsidR="000C1DAF" w:rsidRDefault="000C1DAF" w:rsidP="006222B0">
            <w:pPr>
              <w:jc w:val="both"/>
              <w:rPr>
                <w:rFonts w:ascii="Bookman Old Style" w:hAnsi="Bookman Old Style"/>
              </w:rPr>
            </w:pPr>
          </w:p>
          <w:p w14:paraId="6FE47C70" w14:textId="01906492" w:rsidR="000C1DAF" w:rsidRPr="000C1DAF" w:rsidRDefault="000C1DAF" w:rsidP="006222B0">
            <w:pPr>
              <w:jc w:val="both"/>
              <w:rPr>
                <w:rFonts w:ascii="Bookman Old Style" w:hAnsi="Bookman Old Style"/>
              </w:rPr>
            </w:pPr>
            <w:r>
              <w:rPr>
                <w:rFonts w:ascii="Bookman Old Style" w:hAnsi="Bookman Old Style"/>
                <w:b/>
              </w:rPr>
              <w:t>Best Efforts Underwriting</w:t>
            </w:r>
            <w:r>
              <w:rPr>
                <w:rFonts w:ascii="Bookman Old Style" w:hAnsi="Bookman Old Style"/>
              </w:rPr>
              <w:t xml:space="preserve"> </w:t>
            </w:r>
            <w:r w:rsidR="002E2FB6">
              <w:rPr>
                <w:rFonts w:ascii="Bookman Old Style" w:hAnsi="Bookman Old Style"/>
              </w:rPr>
              <w:t>–</w:t>
            </w:r>
            <w:r>
              <w:rPr>
                <w:rFonts w:ascii="Bookman Old Style" w:hAnsi="Bookman Old Style"/>
              </w:rPr>
              <w:t xml:space="preserve"> </w:t>
            </w:r>
            <w:r w:rsidR="002E2FB6">
              <w:rPr>
                <w:rFonts w:ascii="Bookman Old Style" w:hAnsi="Bookman Old Style"/>
              </w:rPr>
              <w:t>Underwriter sells as much of the issue as possible, but can return any unsold shares to the issuer without financial responsibility.</w:t>
            </w:r>
          </w:p>
          <w:p w14:paraId="170AF95F" w14:textId="77777777" w:rsidR="000C1DAF" w:rsidRDefault="000C1DAF" w:rsidP="006222B0">
            <w:pPr>
              <w:jc w:val="both"/>
              <w:rPr>
                <w:rFonts w:ascii="Bookman Old Style" w:hAnsi="Bookman Old Style"/>
              </w:rPr>
            </w:pPr>
          </w:p>
        </w:tc>
      </w:tr>
    </w:tbl>
    <w:p w14:paraId="5F0236B6" w14:textId="697B8892" w:rsidR="000C1DAF" w:rsidRDefault="000C1DAF" w:rsidP="006222B0">
      <w:pPr>
        <w:spacing w:after="0" w:line="240" w:lineRule="auto"/>
        <w:jc w:val="both"/>
        <w:rPr>
          <w:rFonts w:ascii="Bookman Old Style" w:hAnsi="Bookman Old Style"/>
        </w:rPr>
      </w:pPr>
      <w:r>
        <w:rPr>
          <w:rFonts w:ascii="Bookman Old Style" w:hAnsi="Bookman Old Style"/>
        </w:rPr>
        <w:t xml:space="preserve"> </w:t>
      </w:r>
    </w:p>
    <w:p w14:paraId="1B6EF255" w14:textId="77777777" w:rsidR="002E2FB6" w:rsidRDefault="002E2FB6" w:rsidP="006222B0">
      <w:pPr>
        <w:spacing w:after="0" w:line="240" w:lineRule="auto"/>
        <w:jc w:val="both"/>
        <w:rPr>
          <w:rFonts w:ascii="Bookman Old Style" w:hAnsi="Bookman Old Style"/>
        </w:rPr>
      </w:pPr>
    </w:p>
    <w:p w14:paraId="0A5370B0" w14:textId="5CE1433F" w:rsidR="002E2FB6" w:rsidRDefault="002E2FB6" w:rsidP="006222B0">
      <w:pPr>
        <w:spacing w:after="0" w:line="240" w:lineRule="auto"/>
        <w:jc w:val="both"/>
        <w:rPr>
          <w:rFonts w:ascii="Bookman Old Style" w:hAnsi="Bookman Old Style"/>
        </w:rPr>
      </w:pPr>
      <w:r w:rsidRPr="002E2FB6">
        <w:rPr>
          <w:rFonts w:ascii="Bookman Old Style" w:hAnsi="Bookman Old Style"/>
          <w:b/>
        </w:rPr>
        <w:t>BOUGHT DEAL</w:t>
      </w:r>
      <w:r>
        <w:rPr>
          <w:rFonts w:ascii="Bookman Old Style" w:hAnsi="Bookman Old Style"/>
          <w:b/>
        </w:rPr>
        <w:t xml:space="preserve"> –</w:t>
      </w:r>
      <w:r>
        <w:rPr>
          <w:rFonts w:ascii="Bookman Old Style" w:hAnsi="Bookman Old Style"/>
        </w:rPr>
        <w:t xml:space="preserve"> The issuer sells the entire issue to one investment dealer or to a group that tries to resell it.</w:t>
      </w:r>
    </w:p>
    <w:p w14:paraId="34452D22" w14:textId="77777777" w:rsidR="002E2FB6" w:rsidRDefault="002E2FB6" w:rsidP="006222B0">
      <w:pPr>
        <w:spacing w:after="0" w:line="240" w:lineRule="auto"/>
        <w:jc w:val="both"/>
        <w:rPr>
          <w:rFonts w:ascii="Bookman Old Style" w:hAnsi="Bookman Old Style"/>
        </w:rPr>
      </w:pPr>
    </w:p>
    <w:p w14:paraId="48DDB62E" w14:textId="62403DB9" w:rsidR="002E2FB6" w:rsidRDefault="002E2FB6" w:rsidP="006222B0">
      <w:pPr>
        <w:spacing w:after="0" w:line="240" w:lineRule="auto"/>
        <w:jc w:val="both"/>
        <w:rPr>
          <w:rFonts w:ascii="Bookman Old Style" w:hAnsi="Bookman Old Style"/>
        </w:rPr>
      </w:pPr>
      <w:r>
        <w:rPr>
          <w:rFonts w:ascii="Bookman Old Style" w:hAnsi="Bookman Old Style"/>
        </w:rPr>
        <w:t>Like in firm commitment underwriting, the investment dealer assumes all the price risk. The dealer usually markets the prospective issue to a few large, institutional investors.</w:t>
      </w:r>
    </w:p>
    <w:p w14:paraId="558CC230" w14:textId="4B5F2F24" w:rsidR="002E2FB6" w:rsidRDefault="002E2FB6" w:rsidP="006222B0">
      <w:pPr>
        <w:spacing w:after="0" w:line="240" w:lineRule="auto"/>
        <w:jc w:val="both"/>
        <w:rPr>
          <w:rFonts w:ascii="Bookman Old Style" w:hAnsi="Bookman Old Style"/>
        </w:rPr>
      </w:pPr>
      <w:r>
        <w:rPr>
          <w:rFonts w:ascii="Bookman Old Style" w:hAnsi="Bookman Old Style"/>
        </w:rPr>
        <w:lastRenderedPageBreak/>
        <w:t>Issuers in bought deals are usually large, well-known firms qualifying for the use of SPDF to speed up OSC filings. For these reasons, bought deals are usually executed quickly.</w:t>
      </w:r>
    </w:p>
    <w:p w14:paraId="2446CE25" w14:textId="77777777" w:rsidR="002E2FB6" w:rsidRDefault="002E2FB6" w:rsidP="006222B0">
      <w:pPr>
        <w:spacing w:after="0" w:line="240" w:lineRule="auto"/>
        <w:jc w:val="both"/>
        <w:rPr>
          <w:rFonts w:ascii="Bookman Old Style" w:hAnsi="Bookman Old Style"/>
        </w:rPr>
      </w:pPr>
    </w:p>
    <w:p w14:paraId="1DA05FC8" w14:textId="5EA3D263" w:rsidR="002E2FB6" w:rsidRDefault="002E2FB6" w:rsidP="006222B0">
      <w:pPr>
        <w:spacing w:after="0" w:line="240" w:lineRule="auto"/>
        <w:jc w:val="both"/>
        <w:rPr>
          <w:rFonts w:ascii="Bookman Old Style" w:hAnsi="Bookman Old Style"/>
        </w:rPr>
      </w:pPr>
      <w:r>
        <w:rPr>
          <w:rFonts w:ascii="Bookman Old Style" w:hAnsi="Bookman Old Style"/>
        </w:rPr>
        <w:t>Bought deals are the most popular form of underwriting in Canada today – they have smaller offer price discounts and smaller underwriting fees, implying superior pricing and therefore higher quality offerings.</w:t>
      </w:r>
    </w:p>
    <w:p w14:paraId="16087CAE" w14:textId="77777777" w:rsidR="002E2FB6" w:rsidRDefault="002E2FB6" w:rsidP="006222B0">
      <w:pPr>
        <w:spacing w:after="0" w:line="240" w:lineRule="auto"/>
        <w:jc w:val="both"/>
        <w:rPr>
          <w:rFonts w:ascii="Bookman Old Style" w:hAnsi="Bookman Old Style"/>
        </w:rPr>
      </w:pPr>
    </w:p>
    <w:p w14:paraId="4DCAFC20" w14:textId="77777777" w:rsidR="002E2FB6" w:rsidRDefault="002E2FB6" w:rsidP="006222B0">
      <w:pPr>
        <w:spacing w:after="0" w:line="240" w:lineRule="auto"/>
        <w:jc w:val="both"/>
        <w:rPr>
          <w:rFonts w:ascii="Bookman Old Style" w:hAnsi="Bookman Old Style"/>
        </w:rPr>
      </w:pPr>
    </w:p>
    <w:p w14:paraId="5A932DEB" w14:textId="5B5582B6" w:rsidR="001D0726" w:rsidRDefault="001D0726" w:rsidP="006222B0">
      <w:pPr>
        <w:spacing w:after="0" w:line="240" w:lineRule="auto"/>
        <w:jc w:val="both"/>
        <w:rPr>
          <w:rFonts w:ascii="Bookman Old Style" w:hAnsi="Bookman Old Style"/>
        </w:rPr>
      </w:pPr>
      <w:r>
        <w:rPr>
          <w:rFonts w:ascii="Bookman Old Style" w:hAnsi="Bookman Old Style"/>
          <w:b/>
          <w:u w:val="single"/>
        </w:rPr>
        <w:t>DUTCH AUCTION UNDERWRITING</w:t>
      </w:r>
    </w:p>
    <w:p w14:paraId="7A8460FF" w14:textId="5D00A285" w:rsidR="001D0726" w:rsidRDefault="001D0726" w:rsidP="006222B0">
      <w:pPr>
        <w:spacing w:after="0" w:line="240" w:lineRule="auto"/>
        <w:jc w:val="both"/>
        <w:rPr>
          <w:rFonts w:ascii="Bookman Old Style" w:hAnsi="Bookman Old Style"/>
        </w:rPr>
      </w:pPr>
      <w:r>
        <w:rPr>
          <w:rFonts w:ascii="Bookman Old Style" w:hAnsi="Bookman Old Style"/>
        </w:rPr>
        <w:t>With this type of underwriting, the underwriter doesn’t set a fixed price for the shares to be sold – instead, the underwriter conducts an auction where investors bid for shares. The offer price is determined based on the bids submitted.</w:t>
      </w:r>
    </w:p>
    <w:p w14:paraId="4B0E81E0" w14:textId="77777777" w:rsidR="001D0726" w:rsidRDefault="001D0726" w:rsidP="006222B0">
      <w:pPr>
        <w:spacing w:after="0" w:line="240" w:lineRule="auto"/>
        <w:jc w:val="both"/>
        <w:rPr>
          <w:rFonts w:ascii="Bookman Old Style" w:hAnsi="Bookman Old Style"/>
        </w:rPr>
      </w:pPr>
    </w:p>
    <w:p w14:paraId="06993DF4" w14:textId="6DD3230C" w:rsidR="001D0726" w:rsidRDefault="001D0726" w:rsidP="006222B0">
      <w:pPr>
        <w:spacing w:after="0" w:line="240" w:lineRule="auto"/>
        <w:jc w:val="both"/>
        <w:rPr>
          <w:rFonts w:ascii="Bookman Old Style" w:hAnsi="Bookman Old Style"/>
        </w:rPr>
      </w:pPr>
      <w:r>
        <w:rPr>
          <w:rFonts w:ascii="Bookman Old Style" w:hAnsi="Bookman Old Style"/>
        </w:rPr>
        <w:t>This approach to selling securities to the public was recently used by Google.</w:t>
      </w:r>
    </w:p>
    <w:p w14:paraId="780E708C" w14:textId="77777777" w:rsidR="001D0726" w:rsidRDefault="001D0726" w:rsidP="006222B0">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1D0726" w14:paraId="2E87289F" w14:textId="77777777" w:rsidTr="001D0726">
        <w:tc>
          <w:tcPr>
            <w:tcW w:w="9576" w:type="dxa"/>
          </w:tcPr>
          <w:p w14:paraId="122E359B" w14:textId="77777777" w:rsidR="001D0726" w:rsidRDefault="001D0726" w:rsidP="006222B0">
            <w:pPr>
              <w:jc w:val="both"/>
              <w:rPr>
                <w:rFonts w:ascii="Bookman Old Style" w:hAnsi="Bookman Old Style"/>
              </w:rPr>
            </w:pPr>
          </w:p>
          <w:p w14:paraId="11CB269F" w14:textId="21F83B7A" w:rsidR="001D0726" w:rsidRPr="001D0726" w:rsidRDefault="001D0726" w:rsidP="006222B0">
            <w:pPr>
              <w:jc w:val="both"/>
              <w:rPr>
                <w:rFonts w:ascii="Bookman Old Style" w:hAnsi="Bookman Old Style"/>
              </w:rPr>
            </w:pPr>
            <w:r>
              <w:rPr>
                <w:rFonts w:ascii="Bookman Old Style" w:hAnsi="Bookman Old Style"/>
                <w:b/>
              </w:rPr>
              <w:t>Dutch Auction Underwriting</w:t>
            </w:r>
            <w:r>
              <w:rPr>
                <w:rFonts w:ascii="Bookman Old Style" w:hAnsi="Bookman Old Style"/>
              </w:rPr>
              <w:t xml:space="preserve"> – The type of underwriting in which the offer price is set based on competitive bidding by investors. This is also known as a </w:t>
            </w:r>
            <w:r>
              <w:rPr>
                <w:rFonts w:ascii="Bookman Old Style" w:hAnsi="Bookman Old Style"/>
                <w:i/>
              </w:rPr>
              <w:t>uniform price auction</w:t>
            </w:r>
            <w:r>
              <w:rPr>
                <w:rFonts w:ascii="Bookman Old Style" w:hAnsi="Bookman Old Style"/>
              </w:rPr>
              <w:t>.</w:t>
            </w:r>
          </w:p>
          <w:p w14:paraId="48B3A329" w14:textId="77777777" w:rsidR="001D0726" w:rsidRDefault="001D0726" w:rsidP="006222B0">
            <w:pPr>
              <w:jc w:val="both"/>
              <w:rPr>
                <w:rFonts w:ascii="Bookman Old Style" w:hAnsi="Bookman Old Style"/>
              </w:rPr>
            </w:pPr>
          </w:p>
        </w:tc>
      </w:tr>
    </w:tbl>
    <w:p w14:paraId="103D5F81" w14:textId="77777777" w:rsidR="001D0726" w:rsidRDefault="001D0726" w:rsidP="006222B0">
      <w:pPr>
        <w:spacing w:after="0" w:line="240" w:lineRule="auto"/>
        <w:jc w:val="both"/>
        <w:rPr>
          <w:rFonts w:ascii="Bookman Old Style" w:hAnsi="Bookman Old Style"/>
        </w:rPr>
      </w:pPr>
    </w:p>
    <w:p w14:paraId="0B912CE5" w14:textId="7636FB55" w:rsidR="002E2FB6" w:rsidRDefault="001D0726" w:rsidP="006222B0">
      <w:pPr>
        <w:spacing w:after="0" w:line="240" w:lineRule="auto"/>
        <w:jc w:val="both"/>
        <w:rPr>
          <w:rFonts w:ascii="Bookman Old Style" w:hAnsi="Bookman Old Style"/>
        </w:rPr>
      </w:pPr>
      <w:r>
        <w:rPr>
          <w:rFonts w:ascii="Bookman Old Style" w:hAnsi="Bookman Old Style"/>
        </w:rPr>
        <w:t>Dutch auctioning is still fairly new in the IPO market and hasn’t been widely used there but it’s very common in the bond markets. It’s the sole procedure used by the US Treasury to sell enormous quantities of notes, bonds and bills to the public.</w:t>
      </w:r>
    </w:p>
    <w:p w14:paraId="0686A365" w14:textId="77777777" w:rsidR="001D0726" w:rsidRDefault="001D0726" w:rsidP="006222B0">
      <w:pPr>
        <w:spacing w:after="0" w:line="240" w:lineRule="auto"/>
        <w:jc w:val="both"/>
        <w:rPr>
          <w:rFonts w:ascii="Bookman Old Style" w:hAnsi="Bookman Old Style"/>
        </w:rPr>
      </w:pPr>
    </w:p>
    <w:p w14:paraId="3654DB13" w14:textId="706F8657" w:rsidR="001D0726" w:rsidRDefault="001D0726" w:rsidP="006222B0">
      <w:pPr>
        <w:spacing w:after="0" w:line="240" w:lineRule="auto"/>
        <w:jc w:val="both"/>
        <w:rPr>
          <w:rFonts w:ascii="Bookman Old Style" w:hAnsi="Bookman Old Style"/>
        </w:rPr>
      </w:pPr>
      <w:r>
        <w:rPr>
          <w:rFonts w:ascii="Bookman Old Style" w:hAnsi="Bookman Old Style"/>
        </w:rPr>
        <w:t xml:space="preserve">To understand a Dutch or uniform price auction, consider an example: the </w:t>
      </w:r>
      <w:proofErr w:type="spellStart"/>
      <w:r>
        <w:rPr>
          <w:rFonts w:ascii="Bookman Old Style" w:hAnsi="Bookman Old Style"/>
        </w:rPr>
        <w:t>Rial</w:t>
      </w:r>
      <w:proofErr w:type="spellEnd"/>
      <w:r>
        <w:rPr>
          <w:rFonts w:ascii="Bookman Old Style" w:hAnsi="Bookman Old Style"/>
        </w:rPr>
        <w:t xml:space="preserve"> Company wants to sell 400 shares to the public; they receive the following 5 bids:</w:t>
      </w:r>
    </w:p>
    <w:p w14:paraId="43008C42" w14:textId="77777777" w:rsidR="001D0726" w:rsidRDefault="001D0726" w:rsidP="006222B0">
      <w:pPr>
        <w:spacing w:after="0" w:line="240" w:lineRule="auto"/>
        <w:jc w:val="both"/>
        <w:rPr>
          <w:rFonts w:ascii="Bookman Old Style" w:hAnsi="Bookman Old Style"/>
        </w:rPr>
      </w:pPr>
    </w:p>
    <w:tbl>
      <w:tblPr>
        <w:tblStyle w:val="TableGrid"/>
        <w:tblW w:w="0" w:type="auto"/>
        <w:jc w:val="center"/>
        <w:tblLook w:val="04A0" w:firstRow="1" w:lastRow="0" w:firstColumn="1" w:lastColumn="0" w:noHBand="0" w:noVBand="1"/>
      </w:tblPr>
      <w:tblGrid>
        <w:gridCol w:w="929"/>
        <w:gridCol w:w="1519"/>
        <w:gridCol w:w="990"/>
      </w:tblGrid>
      <w:tr w:rsidR="001D0726" w:rsidRPr="001D0726" w14:paraId="6BC712F9" w14:textId="77777777" w:rsidTr="001D0726">
        <w:trPr>
          <w:jc w:val="center"/>
        </w:trPr>
        <w:tc>
          <w:tcPr>
            <w:tcW w:w="929" w:type="dxa"/>
            <w:tcBorders>
              <w:left w:val="nil"/>
              <w:bottom w:val="single" w:sz="4" w:space="0" w:color="auto"/>
              <w:right w:val="nil"/>
            </w:tcBorders>
          </w:tcPr>
          <w:p w14:paraId="044CF34B" w14:textId="1E158349" w:rsidR="001D0726" w:rsidRPr="001D0726" w:rsidRDefault="001D0726" w:rsidP="006222B0">
            <w:pPr>
              <w:jc w:val="center"/>
              <w:rPr>
                <w:rFonts w:ascii="Bookman Old Style" w:hAnsi="Bookman Old Style"/>
                <w:b/>
                <w:sz w:val="20"/>
              </w:rPr>
            </w:pPr>
            <w:r w:rsidRPr="001D0726">
              <w:rPr>
                <w:rFonts w:ascii="Bookman Old Style" w:hAnsi="Bookman Old Style"/>
                <w:b/>
                <w:sz w:val="20"/>
              </w:rPr>
              <w:t>Bidder</w:t>
            </w:r>
          </w:p>
        </w:tc>
        <w:tc>
          <w:tcPr>
            <w:tcW w:w="1519" w:type="dxa"/>
            <w:tcBorders>
              <w:left w:val="nil"/>
              <w:bottom w:val="single" w:sz="4" w:space="0" w:color="auto"/>
              <w:right w:val="nil"/>
            </w:tcBorders>
          </w:tcPr>
          <w:p w14:paraId="171E3F5E" w14:textId="3A5A3993" w:rsidR="001D0726" w:rsidRPr="001D0726" w:rsidRDefault="001D0726" w:rsidP="006222B0">
            <w:pPr>
              <w:jc w:val="center"/>
              <w:rPr>
                <w:rFonts w:ascii="Bookman Old Style" w:hAnsi="Bookman Old Style"/>
                <w:b/>
                <w:sz w:val="20"/>
              </w:rPr>
            </w:pPr>
            <w:r w:rsidRPr="001D0726">
              <w:rPr>
                <w:rFonts w:ascii="Bookman Old Style" w:hAnsi="Bookman Old Style"/>
                <w:b/>
                <w:sz w:val="20"/>
              </w:rPr>
              <w:t>Quantity</w:t>
            </w:r>
          </w:p>
        </w:tc>
        <w:tc>
          <w:tcPr>
            <w:tcW w:w="990" w:type="dxa"/>
            <w:tcBorders>
              <w:left w:val="nil"/>
              <w:bottom w:val="single" w:sz="4" w:space="0" w:color="auto"/>
              <w:right w:val="nil"/>
            </w:tcBorders>
          </w:tcPr>
          <w:p w14:paraId="7E71B8AF" w14:textId="325F7CC4" w:rsidR="001D0726" w:rsidRPr="001D0726" w:rsidRDefault="001D0726" w:rsidP="006222B0">
            <w:pPr>
              <w:jc w:val="center"/>
              <w:rPr>
                <w:rFonts w:ascii="Bookman Old Style" w:hAnsi="Bookman Old Style"/>
                <w:b/>
                <w:sz w:val="20"/>
              </w:rPr>
            </w:pPr>
            <w:r w:rsidRPr="001D0726">
              <w:rPr>
                <w:rFonts w:ascii="Bookman Old Style" w:hAnsi="Bookman Old Style"/>
                <w:b/>
                <w:sz w:val="20"/>
              </w:rPr>
              <w:t>Price</w:t>
            </w:r>
          </w:p>
        </w:tc>
      </w:tr>
      <w:tr w:rsidR="001D0726" w:rsidRPr="001D0726" w14:paraId="5601134F" w14:textId="77777777" w:rsidTr="001D0726">
        <w:trPr>
          <w:jc w:val="center"/>
        </w:trPr>
        <w:tc>
          <w:tcPr>
            <w:tcW w:w="929" w:type="dxa"/>
            <w:tcBorders>
              <w:left w:val="nil"/>
              <w:bottom w:val="nil"/>
              <w:right w:val="nil"/>
            </w:tcBorders>
          </w:tcPr>
          <w:p w14:paraId="4F2FCEF8" w14:textId="1442462B" w:rsidR="001D0726" w:rsidRPr="001D0726" w:rsidRDefault="001D0726" w:rsidP="006222B0">
            <w:pPr>
              <w:jc w:val="both"/>
              <w:rPr>
                <w:rFonts w:ascii="Bookman Old Style" w:hAnsi="Bookman Old Style"/>
                <w:sz w:val="20"/>
              </w:rPr>
            </w:pPr>
            <w:r w:rsidRPr="001D0726">
              <w:rPr>
                <w:rFonts w:ascii="Bookman Old Style" w:hAnsi="Bookman Old Style"/>
                <w:sz w:val="20"/>
              </w:rPr>
              <w:t>A</w:t>
            </w:r>
          </w:p>
        </w:tc>
        <w:tc>
          <w:tcPr>
            <w:tcW w:w="1519" w:type="dxa"/>
            <w:tcBorders>
              <w:left w:val="nil"/>
              <w:bottom w:val="nil"/>
              <w:right w:val="nil"/>
            </w:tcBorders>
          </w:tcPr>
          <w:p w14:paraId="7823EB50" w14:textId="4D8AA6BA" w:rsidR="001D0726" w:rsidRPr="001D0726" w:rsidRDefault="001D0726" w:rsidP="006222B0">
            <w:pPr>
              <w:jc w:val="both"/>
              <w:rPr>
                <w:rFonts w:ascii="Bookman Old Style" w:hAnsi="Bookman Old Style"/>
                <w:sz w:val="20"/>
              </w:rPr>
            </w:pPr>
            <w:r w:rsidRPr="001D0726">
              <w:rPr>
                <w:rFonts w:ascii="Bookman Old Style" w:hAnsi="Bookman Old Style"/>
                <w:sz w:val="20"/>
              </w:rPr>
              <w:t>100 shares</w:t>
            </w:r>
          </w:p>
        </w:tc>
        <w:tc>
          <w:tcPr>
            <w:tcW w:w="990" w:type="dxa"/>
            <w:tcBorders>
              <w:left w:val="nil"/>
              <w:bottom w:val="nil"/>
              <w:right w:val="nil"/>
            </w:tcBorders>
          </w:tcPr>
          <w:p w14:paraId="1507597F" w14:textId="5B2B15DF" w:rsidR="001D0726" w:rsidRPr="001D0726" w:rsidRDefault="001D0726" w:rsidP="006222B0">
            <w:pPr>
              <w:jc w:val="both"/>
              <w:rPr>
                <w:rFonts w:ascii="Bookman Old Style" w:hAnsi="Bookman Old Style"/>
                <w:sz w:val="20"/>
              </w:rPr>
            </w:pPr>
            <w:r w:rsidRPr="001D0726">
              <w:rPr>
                <w:rFonts w:ascii="Bookman Old Style" w:hAnsi="Bookman Old Style"/>
                <w:sz w:val="20"/>
              </w:rPr>
              <w:t>$16</w:t>
            </w:r>
          </w:p>
        </w:tc>
      </w:tr>
      <w:tr w:rsidR="001D0726" w:rsidRPr="001D0726" w14:paraId="4DA06A29" w14:textId="77777777" w:rsidTr="001D0726">
        <w:trPr>
          <w:jc w:val="center"/>
        </w:trPr>
        <w:tc>
          <w:tcPr>
            <w:tcW w:w="929" w:type="dxa"/>
            <w:tcBorders>
              <w:top w:val="nil"/>
              <w:left w:val="nil"/>
              <w:bottom w:val="nil"/>
              <w:right w:val="nil"/>
            </w:tcBorders>
          </w:tcPr>
          <w:p w14:paraId="024EA40E" w14:textId="1EF2DFDC" w:rsidR="001D0726" w:rsidRPr="001D0726" w:rsidRDefault="001D0726" w:rsidP="006222B0">
            <w:pPr>
              <w:jc w:val="both"/>
              <w:rPr>
                <w:rFonts w:ascii="Bookman Old Style" w:hAnsi="Bookman Old Style"/>
                <w:sz w:val="20"/>
              </w:rPr>
            </w:pPr>
            <w:r w:rsidRPr="001D0726">
              <w:rPr>
                <w:rFonts w:ascii="Bookman Old Style" w:hAnsi="Bookman Old Style"/>
                <w:sz w:val="20"/>
              </w:rPr>
              <w:t>B</w:t>
            </w:r>
          </w:p>
        </w:tc>
        <w:tc>
          <w:tcPr>
            <w:tcW w:w="1519" w:type="dxa"/>
            <w:tcBorders>
              <w:top w:val="nil"/>
              <w:left w:val="nil"/>
              <w:bottom w:val="nil"/>
              <w:right w:val="nil"/>
            </w:tcBorders>
          </w:tcPr>
          <w:p w14:paraId="1DF86536" w14:textId="6682B836" w:rsidR="001D0726" w:rsidRPr="001D0726" w:rsidRDefault="001D0726" w:rsidP="006222B0">
            <w:pPr>
              <w:jc w:val="both"/>
              <w:rPr>
                <w:rFonts w:ascii="Bookman Old Style" w:hAnsi="Bookman Old Style"/>
                <w:sz w:val="20"/>
              </w:rPr>
            </w:pPr>
            <w:r w:rsidRPr="001D0726">
              <w:rPr>
                <w:rFonts w:ascii="Bookman Old Style" w:hAnsi="Bookman Old Style"/>
                <w:sz w:val="20"/>
              </w:rPr>
              <w:t>100 shares</w:t>
            </w:r>
          </w:p>
        </w:tc>
        <w:tc>
          <w:tcPr>
            <w:tcW w:w="990" w:type="dxa"/>
            <w:tcBorders>
              <w:top w:val="nil"/>
              <w:left w:val="nil"/>
              <w:bottom w:val="nil"/>
              <w:right w:val="nil"/>
            </w:tcBorders>
          </w:tcPr>
          <w:p w14:paraId="5D4F7DF8" w14:textId="3FE1DFC9" w:rsidR="001D0726" w:rsidRPr="001D0726" w:rsidRDefault="001D0726" w:rsidP="006222B0">
            <w:pPr>
              <w:jc w:val="both"/>
              <w:rPr>
                <w:rFonts w:ascii="Bookman Old Style" w:hAnsi="Bookman Old Style"/>
                <w:sz w:val="20"/>
              </w:rPr>
            </w:pPr>
            <w:r w:rsidRPr="001D0726">
              <w:rPr>
                <w:rFonts w:ascii="Bookman Old Style" w:hAnsi="Bookman Old Style"/>
                <w:sz w:val="20"/>
              </w:rPr>
              <w:t>$14</w:t>
            </w:r>
          </w:p>
        </w:tc>
      </w:tr>
      <w:tr w:rsidR="001D0726" w:rsidRPr="001D0726" w14:paraId="1C601A17" w14:textId="77777777" w:rsidTr="001D0726">
        <w:trPr>
          <w:jc w:val="center"/>
        </w:trPr>
        <w:tc>
          <w:tcPr>
            <w:tcW w:w="929" w:type="dxa"/>
            <w:tcBorders>
              <w:top w:val="nil"/>
              <w:left w:val="nil"/>
              <w:bottom w:val="nil"/>
              <w:right w:val="nil"/>
            </w:tcBorders>
          </w:tcPr>
          <w:p w14:paraId="38128E2E" w14:textId="2DD5AEC3" w:rsidR="001D0726" w:rsidRPr="001D0726" w:rsidRDefault="001D0726" w:rsidP="006222B0">
            <w:pPr>
              <w:jc w:val="both"/>
              <w:rPr>
                <w:rFonts w:ascii="Bookman Old Style" w:hAnsi="Bookman Old Style"/>
                <w:sz w:val="20"/>
              </w:rPr>
            </w:pPr>
            <w:r w:rsidRPr="001D0726">
              <w:rPr>
                <w:rFonts w:ascii="Bookman Old Style" w:hAnsi="Bookman Old Style"/>
                <w:sz w:val="20"/>
              </w:rPr>
              <w:t>C</w:t>
            </w:r>
          </w:p>
        </w:tc>
        <w:tc>
          <w:tcPr>
            <w:tcW w:w="1519" w:type="dxa"/>
            <w:tcBorders>
              <w:top w:val="nil"/>
              <w:left w:val="nil"/>
              <w:bottom w:val="nil"/>
              <w:right w:val="nil"/>
            </w:tcBorders>
          </w:tcPr>
          <w:p w14:paraId="3AE54471" w14:textId="799E3079" w:rsidR="001D0726" w:rsidRPr="001D0726" w:rsidRDefault="001D0726" w:rsidP="006222B0">
            <w:pPr>
              <w:jc w:val="both"/>
              <w:rPr>
                <w:rFonts w:ascii="Bookman Old Style" w:hAnsi="Bookman Old Style"/>
                <w:sz w:val="20"/>
              </w:rPr>
            </w:pPr>
            <w:r w:rsidRPr="001D0726">
              <w:rPr>
                <w:rFonts w:ascii="Bookman Old Style" w:hAnsi="Bookman Old Style"/>
                <w:sz w:val="20"/>
              </w:rPr>
              <w:t>200 shares</w:t>
            </w:r>
          </w:p>
        </w:tc>
        <w:tc>
          <w:tcPr>
            <w:tcW w:w="990" w:type="dxa"/>
            <w:tcBorders>
              <w:top w:val="nil"/>
              <w:left w:val="nil"/>
              <w:bottom w:val="nil"/>
              <w:right w:val="nil"/>
            </w:tcBorders>
          </w:tcPr>
          <w:p w14:paraId="087F72B4" w14:textId="44B696A8" w:rsidR="001D0726" w:rsidRPr="001D0726" w:rsidRDefault="001D0726" w:rsidP="006222B0">
            <w:pPr>
              <w:jc w:val="both"/>
              <w:rPr>
                <w:rFonts w:ascii="Bookman Old Style" w:hAnsi="Bookman Old Style"/>
                <w:sz w:val="20"/>
              </w:rPr>
            </w:pPr>
            <w:r w:rsidRPr="001D0726">
              <w:rPr>
                <w:rFonts w:ascii="Bookman Old Style" w:hAnsi="Bookman Old Style"/>
                <w:sz w:val="20"/>
              </w:rPr>
              <w:t>$12</w:t>
            </w:r>
          </w:p>
        </w:tc>
      </w:tr>
      <w:tr w:rsidR="001D0726" w:rsidRPr="001D0726" w14:paraId="0C48F92F" w14:textId="77777777" w:rsidTr="001D0726">
        <w:trPr>
          <w:jc w:val="center"/>
        </w:trPr>
        <w:tc>
          <w:tcPr>
            <w:tcW w:w="929" w:type="dxa"/>
            <w:tcBorders>
              <w:top w:val="nil"/>
              <w:left w:val="nil"/>
              <w:bottom w:val="nil"/>
              <w:right w:val="nil"/>
            </w:tcBorders>
          </w:tcPr>
          <w:p w14:paraId="70CEEB83" w14:textId="668C3B0A" w:rsidR="001D0726" w:rsidRPr="001D0726" w:rsidRDefault="001D0726" w:rsidP="006222B0">
            <w:pPr>
              <w:jc w:val="both"/>
              <w:rPr>
                <w:rFonts w:ascii="Bookman Old Style" w:hAnsi="Bookman Old Style"/>
                <w:sz w:val="20"/>
              </w:rPr>
            </w:pPr>
            <w:r w:rsidRPr="001D0726">
              <w:rPr>
                <w:rFonts w:ascii="Bookman Old Style" w:hAnsi="Bookman Old Style"/>
                <w:sz w:val="20"/>
              </w:rPr>
              <w:t xml:space="preserve">D </w:t>
            </w:r>
          </w:p>
        </w:tc>
        <w:tc>
          <w:tcPr>
            <w:tcW w:w="1519" w:type="dxa"/>
            <w:tcBorders>
              <w:top w:val="nil"/>
              <w:left w:val="nil"/>
              <w:bottom w:val="nil"/>
              <w:right w:val="nil"/>
            </w:tcBorders>
          </w:tcPr>
          <w:p w14:paraId="4D2DE6B7" w14:textId="2CC1ECF7" w:rsidR="001D0726" w:rsidRPr="001D0726" w:rsidRDefault="001D0726" w:rsidP="006222B0">
            <w:pPr>
              <w:jc w:val="both"/>
              <w:rPr>
                <w:rFonts w:ascii="Bookman Old Style" w:hAnsi="Bookman Old Style"/>
                <w:sz w:val="20"/>
              </w:rPr>
            </w:pPr>
            <w:r w:rsidRPr="001D0726">
              <w:rPr>
                <w:rFonts w:ascii="Bookman Old Style" w:hAnsi="Bookman Old Style"/>
                <w:sz w:val="20"/>
              </w:rPr>
              <w:t>200 shares</w:t>
            </w:r>
          </w:p>
        </w:tc>
        <w:tc>
          <w:tcPr>
            <w:tcW w:w="990" w:type="dxa"/>
            <w:tcBorders>
              <w:top w:val="nil"/>
              <w:left w:val="nil"/>
              <w:bottom w:val="nil"/>
              <w:right w:val="nil"/>
            </w:tcBorders>
          </w:tcPr>
          <w:p w14:paraId="74F8EA7F" w14:textId="26AC7CA6" w:rsidR="001D0726" w:rsidRPr="001D0726" w:rsidRDefault="001D0726" w:rsidP="006222B0">
            <w:pPr>
              <w:jc w:val="both"/>
              <w:rPr>
                <w:rFonts w:ascii="Bookman Old Style" w:hAnsi="Bookman Old Style"/>
                <w:sz w:val="20"/>
              </w:rPr>
            </w:pPr>
            <w:r w:rsidRPr="001D0726">
              <w:rPr>
                <w:rFonts w:ascii="Bookman Old Style" w:hAnsi="Bookman Old Style"/>
                <w:sz w:val="20"/>
              </w:rPr>
              <w:t>$12</w:t>
            </w:r>
          </w:p>
        </w:tc>
      </w:tr>
      <w:tr w:rsidR="001D0726" w:rsidRPr="001D0726" w14:paraId="46DA1810" w14:textId="77777777" w:rsidTr="001D0726">
        <w:trPr>
          <w:jc w:val="center"/>
        </w:trPr>
        <w:tc>
          <w:tcPr>
            <w:tcW w:w="929" w:type="dxa"/>
            <w:tcBorders>
              <w:top w:val="nil"/>
              <w:left w:val="nil"/>
              <w:right w:val="nil"/>
            </w:tcBorders>
          </w:tcPr>
          <w:p w14:paraId="51C2B076" w14:textId="37DA0B49" w:rsidR="001D0726" w:rsidRPr="001D0726" w:rsidRDefault="001D0726" w:rsidP="006222B0">
            <w:pPr>
              <w:jc w:val="both"/>
              <w:rPr>
                <w:rFonts w:ascii="Bookman Old Style" w:hAnsi="Bookman Old Style"/>
                <w:sz w:val="20"/>
              </w:rPr>
            </w:pPr>
            <w:r w:rsidRPr="001D0726">
              <w:rPr>
                <w:rFonts w:ascii="Bookman Old Style" w:hAnsi="Bookman Old Style"/>
                <w:sz w:val="20"/>
              </w:rPr>
              <w:t>E</w:t>
            </w:r>
          </w:p>
        </w:tc>
        <w:tc>
          <w:tcPr>
            <w:tcW w:w="1519" w:type="dxa"/>
            <w:tcBorders>
              <w:top w:val="nil"/>
              <w:left w:val="nil"/>
              <w:right w:val="nil"/>
            </w:tcBorders>
          </w:tcPr>
          <w:p w14:paraId="34F87749" w14:textId="42EFB175" w:rsidR="001D0726" w:rsidRPr="001D0726" w:rsidRDefault="001D0726" w:rsidP="006222B0">
            <w:pPr>
              <w:jc w:val="both"/>
              <w:rPr>
                <w:rFonts w:ascii="Bookman Old Style" w:hAnsi="Bookman Old Style"/>
                <w:sz w:val="20"/>
              </w:rPr>
            </w:pPr>
            <w:r w:rsidRPr="001D0726">
              <w:rPr>
                <w:rFonts w:ascii="Bookman Old Style" w:hAnsi="Bookman Old Style"/>
                <w:sz w:val="20"/>
              </w:rPr>
              <w:t>200 shares</w:t>
            </w:r>
          </w:p>
        </w:tc>
        <w:tc>
          <w:tcPr>
            <w:tcW w:w="990" w:type="dxa"/>
            <w:tcBorders>
              <w:top w:val="nil"/>
              <w:left w:val="nil"/>
              <w:right w:val="nil"/>
            </w:tcBorders>
          </w:tcPr>
          <w:p w14:paraId="3B04EBE2" w14:textId="0077A95A" w:rsidR="001D0726" w:rsidRPr="001D0726" w:rsidRDefault="001D0726" w:rsidP="006222B0">
            <w:pPr>
              <w:jc w:val="both"/>
              <w:rPr>
                <w:rFonts w:ascii="Bookman Old Style" w:hAnsi="Bookman Old Style"/>
                <w:sz w:val="20"/>
              </w:rPr>
            </w:pPr>
            <w:r w:rsidRPr="001D0726">
              <w:rPr>
                <w:rFonts w:ascii="Bookman Old Style" w:hAnsi="Bookman Old Style"/>
                <w:sz w:val="20"/>
              </w:rPr>
              <w:t>$10</w:t>
            </w:r>
          </w:p>
        </w:tc>
      </w:tr>
    </w:tbl>
    <w:p w14:paraId="4B23E321" w14:textId="77777777" w:rsidR="001D0726" w:rsidRDefault="001D0726" w:rsidP="006222B0">
      <w:pPr>
        <w:spacing w:after="0" w:line="240" w:lineRule="auto"/>
        <w:jc w:val="both"/>
        <w:rPr>
          <w:rFonts w:ascii="Bookman Old Style" w:hAnsi="Bookman Old Style"/>
        </w:rPr>
      </w:pPr>
    </w:p>
    <w:p w14:paraId="09A89EFE" w14:textId="772F6399" w:rsidR="001D0726" w:rsidRDefault="001D0726" w:rsidP="006222B0">
      <w:pPr>
        <w:spacing w:after="0" w:line="240" w:lineRule="auto"/>
        <w:jc w:val="both"/>
        <w:rPr>
          <w:rFonts w:ascii="Bookman Old Style" w:hAnsi="Bookman Old Style"/>
        </w:rPr>
      </w:pPr>
      <w:r>
        <w:rPr>
          <w:rFonts w:ascii="Bookman Old Style" w:hAnsi="Bookman Old Style"/>
        </w:rPr>
        <w:t>The company examines the bids to determine the highest price that will result in 400 shares being sold.</w:t>
      </w:r>
    </w:p>
    <w:p w14:paraId="24E819B8" w14:textId="77777777" w:rsidR="001D0726" w:rsidRDefault="001D0726" w:rsidP="006222B0">
      <w:pPr>
        <w:spacing w:after="0" w:line="240" w:lineRule="auto"/>
        <w:jc w:val="both"/>
        <w:rPr>
          <w:rFonts w:ascii="Bookman Old Style" w:hAnsi="Bookman Old Style"/>
        </w:rPr>
      </w:pPr>
    </w:p>
    <w:p w14:paraId="700CCC2B" w14:textId="2C16D80C" w:rsidR="001D0726" w:rsidRDefault="001D0726" w:rsidP="006222B0">
      <w:pPr>
        <w:spacing w:after="0" w:line="240" w:lineRule="auto"/>
        <w:jc w:val="both"/>
        <w:rPr>
          <w:rFonts w:ascii="Bookman Old Style" w:hAnsi="Bookman Old Style"/>
        </w:rPr>
      </w:pPr>
      <w:r>
        <w:rPr>
          <w:rFonts w:ascii="Bookman Old Style" w:hAnsi="Bookman Old Style"/>
        </w:rPr>
        <w:t>So, for example, at $14, A &amp; B would only buy 200 shares – so that price is too high. All 400 shares won’t be sold until we hit a price of $12, so $12 will be the offer price in the IPO. Bidders A through D will receive shares; bidder E won’t.</w:t>
      </w:r>
    </w:p>
    <w:p w14:paraId="61BD0933" w14:textId="77777777" w:rsidR="001D0726" w:rsidRDefault="001D0726" w:rsidP="006222B0">
      <w:pPr>
        <w:spacing w:after="0" w:line="240" w:lineRule="auto"/>
        <w:jc w:val="both"/>
        <w:rPr>
          <w:rFonts w:ascii="Bookman Old Style" w:hAnsi="Bookman Old Style"/>
        </w:rPr>
      </w:pPr>
    </w:p>
    <w:p w14:paraId="036B1B21" w14:textId="7800F466" w:rsidR="001D0726" w:rsidRDefault="001D0726" w:rsidP="006222B0">
      <w:pPr>
        <w:spacing w:after="0" w:line="240" w:lineRule="auto"/>
        <w:jc w:val="both"/>
        <w:rPr>
          <w:rFonts w:ascii="Bookman Old Style" w:hAnsi="Bookman Old Style"/>
        </w:rPr>
      </w:pPr>
      <w:r>
        <w:rPr>
          <w:rFonts w:ascii="Bookman Old Style" w:hAnsi="Bookman Old Style"/>
        </w:rPr>
        <w:t>There are 2 important points to notice in the example:</w:t>
      </w:r>
    </w:p>
    <w:p w14:paraId="3EFC8180" w14:textId="77777777" w:rsidR="001D0726" w:rsidRDefault="001D0726" w:rsidP="006222B0">
      <w:pPr>
        <w:spacing w:after="0" w:line="240" w:lineRule="auto"/>
        <w:jc w:val="both"/>
        <w:rPr>
          <w:rFonts w:ascii="Bookman Old Style" w:hAnsi="Bookman Old Style"/>
        </w:rPr>
      </w:pPr>
    </w:p>
    <w:p w14:paraId="57ACD248" w14:textId="4D66860E" w:rsidR="001D0726" w:rsidRPr="001D0726" w:rsidRDefault="001D0726" w:rsidP="006222B0">
      <w:pPr>
        <w:pStyle w:val="ListParagraph"/>
        <w:numPr>
          <w:ilvl w:val="0"/>
          <w:numId w:val="20"/>
        </w:numPr>
        <w:spacing w:after="0" w:line="240" w:lineRule="auto"/>
        <w:jc w:val="both"/>
        <w:rPr>
          <w:rFonts w:ascii="Bookman Old Style" w:hAnsi="Bookman Old Style"/>
        </w:rPr>
      </w:pPr>
      <w:r w:rsidRPr="001D0726">
        <w:rPr>
          <w:rFonts w:ascii="Bookman Old Style" w:hAnsi="Bookman Old Style"/>
        </w:rPr>
        <w:t xml:space="preserve">All the winning bidders will pay $12, even bidders A &amp; B who actually bid higher. The fact that all successful bidders pay the same price is why it’s also known as the </w:t>
      </w:r>
      <w:r w:rsidRPr="001D0726">
        <w:rPr>
          <w:rFonts w:ascii="Bookman Old Style" w:hAnsi="Bookman Old Style"/>
          <w:i/>
        </w:rPr>
        <w:t>uniform price auction</w:t>
      </w:r>
      <w:r w:rsidRPr="001D0726">
        <w:rPr>
          <w:rFonts w:ascii="Bookman Old Style" w:hAnsi="Bookman Old Style"/>
        </w:rPr>
        <w:t xml:space="preserve"> – the idea is to encourage bidders to bid </w:t>
      </w:r>
      <w:r w:rsidRPr="001D0726">
        <w:rPr>
          <w:rFonts w:ascii="Bookman Old Style" w:hAnsi="Bookman Old Style"/>
        </w:rPr>
        <w:lastRenderedPageBreak/>
        <w:t>aggressively by providing some protection against bidding a price that’s too high.</w:t>
      </w:r>
    </w:p>
    <w:p w14:paraId="12F74DCC" w14:textId="77777777" w:rsidR="001D0726" w:rsidRDefault="001D0726" w:rsidP="006222B0">
      <w:pPr>
        <w:spacing w:after="0" w:line="240" w:lineRule="auto"/>
        <w:ind w:left="360"/>
        <w:jc w:val="both"/>
        <w:rPr>
          <w:rFonts w:ascii="Bookman Old Style" w:hAnsi="Bookman Old Style"/>
        </w:rPr>
      </w:pPr>
    </w:p>
    <w:p w14:paraId="4942C581" w14:textId="48151D75" w:rsidR="001D0726" w:rsidRDefault="001D0726" w:rsidP="006222B0">
      <w:pPr>
        <w:pStyle w:val="ListParagraph"/>
        <w:numPr>
          <w:ilvl w:val="0"/>
          <w:numId w:val="20"/>
        </w:numPr>
        <w:spacing w:after="0" w:line="240" w:lineRule="auto"/>
        <w:jc w:val="both"/>
        <w:rPr>
          <w:rFonts w:ascii="Bookman Old Style" w:hAnsi="Bookman Old Style"/>
        </w:rPr>
      </w:pPr>
      <w:r>
        <w:rPr>
          <w:rFonts w:ascii="Bookman Old Style" w:hAnsi="Bookman Old Style"/>
        </w:rPr>
        <w:t xml:space="preserve">Notice that at the $12 offer price, there are actually 600 shares which is more than the 400 shares </w:t>
      </w:r>
      <w:proofErr w:type="spellStart"/>
      <w:r>
        <w:rPr>
          <w:rFonts w:ascii="Bookman Old Style" w:hAnsi="Bookman Old Style"/>
        </w:rPr>
        <w:t>Rial</w:t>
      </w:r>
      <w:proofErr w:type="spellEnd"/>
      <w:r>
        <w:rPr>
          <w:rFonts w:ascii="Bookman Old Style" w:hAnsi="Bookman Old Style"/>
        </w:rPr>
        <w:t xml:space="preserve"> wants to sell; so there has to be some sort of allocation.</w:t>
      </w:r>
    </w:p>
    <w:p w14:paraId="6D17E0ED" w14:textId="77777777" w:rsidR="001D0726" w:rsidRPr="001D0726" w:rsidRDefault="001D0726" w:rsidP="006222B0">
      <w:pPr>
        <w:pStyle w:val="ListParagraph"/>
        <w:spacing w:after="0" w:line="240" w:lineRule="auto"/>
        <w:rPr>
          <w:rFonts w:ascii="Bookman Old Style" w:hAnsi="Bookman Old Style"/>
        </w:rPr>
      </w:pPr>
    </w:p>
    <w:p w14:paraId="443BE035" w14:textId="15E6565B" w:rsidR="001D0726" w:rsidRDefault="001D0726" w:rsidP="006222B0">
      <w:pPr>
        <w:pStyle w:val="ListParagraph"/>
        <w:spacing w:after="0" w:line="240" w:lineRule="auto"/>
        <w:jc w:val="both"/>
        <w:rPr>
          <w:rFonts w:ascii="Bookman Old Style" w:hAnsi="Bookman Old Style"/>
        </w:rPr>
      </w:pPr>
      <w:r>
        <w:rPr>
          <w:rFonts w:ascii="Bookman Old Style" w:hAnsi="Bookman Old Style"/>
        </w:rPr>
        <w:t>How this is done varies a bit, but in the IPO market, the approach has been just to compute the ratio of shares offered to shares bid at the offer price or better, which, in our example, is 400/600 = 0.67, and allocate bidders that percentage of their bids.</w:t>
      </w:r>
    </w:p>
    <w:p w14:paraId="408B9EE0" w14:textId="77777777" w:rsidR="001D0726" w:rsidRDefault="001D0726" w:rsidP="006222B0">
      <w:pPr>
        <w:pStyle w:val="ListParagraph"/>
        <w:spacing w:after="0" w:line="240" w:lineRule="auto"/>
        <w:jc w:val="both"/>
        <w:rPr>
          <w:rFonts w:ascii="Bookman Old Style" w:hAnsi="Bookman Old Style"/>
        </w:rPr>
      </w:pPr>
    </w:p>
    <w:p w14:paraId="475ACB98" w14:textId="4C42244E" w:rsidR="001D0726" w:rsidRDefault="001D0726" w:rsidP="006222B0">
      <w:pPr>
        <w:pStyle w:val="ListParagraph"/>
        <w:spacing w:after="0" w:line="240" w:lineRule="auto"/>
        <w:jc w:val="both"/>
        <w:rPr>
          <w:rFonts w:ascii="Bookman Old Style" w:hAnsi="Bookman Old Style"/>
        </w:rPr>
      </w:pPr>
      <w:r>
        <w:rPr>
          <w:rFonts w:ascii="Bookman Old Style" w:hAnsi="Bookman Old Style"/>
        </w:rPr>
        <w:t>In other words, bidders A through D would each receive 67% of the shares they bid at a price of $12 per share.</w:t>
      </w:r>
    </w:p>
    <w:p w14:paraId="26B724A3" w14:textId="77777777" w:rsidR="001D0726" w:rsidRDefault="001D0726" w:rsidP="006222B0">
      <w:pPr>
        <w:spacing w:after="0" w:line="240" w:lineRule="auto"/>
        <w:jc w:val="both"/>
        <w:rPr>
          <w:rFonts w:ascii="Bookman Old Style" w:hAnsi="Bookman Old Style"/>
        </w:rPr>
      </w:pPr>
    </w:p>
    <w:p w14:paraId="73B18991" w14:textId="77777777" w:rsidR="001D0726" w:rsidRDefault="001D0726" w:rsidP="006222B0">
      <w:pPr>
        <w:spacing w:after="0" w:line="240" w:lineRule="auto"/>
        <w:jc w:val="both"/>
        <w:rPr>
          <w:rFonts w:ascii="Bookman Old Style" w:hAnsi="Bookman Old Style"/>
        </w:rPr>
      </w:pPr>
    </w:p>
    <w:p w14:paraId="7CF767F9" w14:textId="11B21E7E" w:rsidR="001D0726" w:rsidRDefault="001D0726" w:rsidP="006222B0">
      <w:pPr>
        <w:spacing w:after="0" w:line="240" w:lineRule="auto"/>
        <w:jc w:val="both"/>
        <w:rPr>
          <w:rFonts w:ascii="Bookman Old Style" w:hAnsi="Bookman Old Style"/>
          <w:b/>
          <w:u w:val="single"/>
        </w:rPr>
      </w:pPr>
      <w:r>
        <w:rPr>
          <w:rFonts w:ascii="Bookman Old Style" w:hAnsi="Bookman Old Style"/>
          <w:b/>
          <w:u w:val="single"/>
        </w:rPr>
        <w:t>THE SELLING PERIOD</w:t>
      </w:r>
    </w:p>
    <w:p w14:paraId="3A5CB5AA" w14:textId="3570AD33" w:rsidR="001D0726" w:rsidRDefault="00335B91" w:rsidP="006222B0">
      <w:pPr>
        <w:spacing w:after="0" w:line="240" w:lineRule="auto"/>
        <w:jc w:val="both"/>
        <w:rPr>
          <w:rFonts w:ascii="Bookman Old Style" w:hAnsi="Bookman Old Style"/>
        </w:rPr>
      </w:pPr>
      <w:r>
        <w:rPr>
          <w:rFonts w:ascii="Bookman Old Style" w:hAnsi="Bookman Old Style"/>
        </w:rPr>
        <w:t>While the issue is being sold to the public, the underwriting group agrees not to sell securities for less than the offering price until the syndicate dissolves.</w:t>
      </w:r>
    </w:p>
    <w:p w14:paraId="3EB14A7B" w14:textId="77777777" w:rsidR="00335B91" w:rsidRDefault="00335B91" w:rsidP="006222B0">
      <w:pPr>
        <w:spacing w:after="0" w:line="240" w:lineRule="auto"/>
        <w:jc w:val="both"/>
        <w:rPr>
          <w:rFonts w:ascii="Bookman Old Style" w:hAnsi="Bookman Old Style"/>
        </w:rPr>
      </w:pPr>
    </w:p>
    <w:p w14:paraId="32831911" w14:textId="274DC4F8" w:rsidR="00335B91" w:rsidRDefault="00335B91" w:rsidP="006222B0">
      <w:pPr>
        <w:spacing w:after="0" w:line="240" w:lineRule="auto"/>
        <w:jc w:val="both"/>
        <w:rPr>
          <w:rFonts w:ascii="Bookman Old Style" w:hAnsi="Bookman Old Style"/>
        </w:rPr>
      </w:pPr>
      <w:r>
        <w:rPr>
          <w:rFonts w:ascii="Bookman Old Style" w:hAnsi="Bookman Old Style"/>
        </w:rPr>
        <w:t>The principal underwriter is allowed to buy shares if the market price falls below the offering price. The reason would be to support the market and stabilize the price from temporary downward pressure. If the issue remains unsold after some time (for example, 30 days), members can leave the group and sell their shares at whatever price the market allows.</w:t>
      </w:r>
    </w:p>
    <w:p w14:paraId="464384E3" w14:textId="77777777" w:rsidR="00335B91" w:rsidRDefault="00335B91" w:rsidP="006222B0">
      <w:pPr>
        <w:spacing w:after="0" w:line="240" w:lineRule="auto"/>
        <w:jc w:val="both"/>
        <w:rPr>
          <w:rFonts w:ascii="Bookman Old Style" w:hAnsi="Bookman Old Style"/>
        </w:rPr>
      </w:pPr>
    </w:p>
    <w:p w14:paraId="6D8A2306" w14:textId="77777777" w:rsidR="00335B91" w:rsidRDefault="00335B91" w:rsidP="006222B0">
      <w:pPr>
        <w:spacing w:after="0" w:line="240" w:lineRule="auto"/>
        <w:jc w:val="both"/>
        <w:rPr>
          <w:rFonts w:ascii="Bookman Old Style" w:hAnsi="Bookman Old Style"/>
        </w:rPr>
      </w:pPr>
    </w:p>
    <w:p w14:paraId="676EA193" w14:textId="1A39831C" w:rsidR="00335B91" w:rsidRDefault="00335B91" w:rsidP="006222B0">
      <w:pPr>
        <w:spacing w:after="0" w:line="240" w:lineRule="auto"/>
        <w:jc w:val="both"/>
        <w:rPr>
          <w:rFonts w:ascii="Bookman Old Style" w:hAnsi="Bookman Old Style"/>
        </w:rPr>
      </w:pPr>
      <w:r>
        <w:rPr>
          <w:rFonts w:ascii="Bookman Old Style" w:hAnsi="Bookman Old Style"/>
          <w:b/>
          <w:u w:val="single"/>
        </w:rPr>
        <w:t>THE OVERALLOTMENT OPTION</w:t>
      </w:r>
    </w:p>
    <w:p w14:paraId="2B678292" w14:textId="03DA60AA" w:rsidR="00335B91" w:rsidRDefault="00335B91" w:rsidP="006222B0">
      <w:pPr>
        <w:spacing w:after="0" w:line="240" w:lineRule="auto"/>
        <w:jc w:val="both"/>
        <w:rPr>
          <w:rFonts w:ascii="Bookman Old Style" w:hAnsi="Bookman Old Style"/>
        </w:rPr>
      </w:pPr>
      <w:r>
        <w:rPr>
          <w:rFonts w:ascii="Bookman Old Style" w:hAnsi="Bookman Old Style"/>
        </w:rPr>
        <w:t xml:space="preserve">Many underwriting contracts contain an </w:t>
      </w:r>
      <w:r>
        <w:rPr>
          <w:rFonts w:ascii="Bookman Old Style" w:hAnsi="Bookman Old Style"/>
          <w:b/>
        </w:rPr>
        <w:t>overallotment option</w:t>
      </w:r>
      <w:r>
        <w:rPr>
          <w:rFonts w:ascii="Bookman Old Style" w:hAnsi="Bookman Old Style"/>
        </w:rPr>
        <w:t xml:space="preserve"> or </w:t>
      </w:r>
      <w:r>
        <w:rPr>
          <w:rFonts w:ascii="Bookman Old Style" w:hAnsi="Bookman Old Style"/>
          <w:i/>
        </w:rPr>
        <w:t>Green Shoe provision</w:t>
      </w:r>
      <w:r>
        <w:rPr>
          <w:rFonts w:ascii="Bookman Old Style" w:hAnsi="Bookman Old Style"/>
        </w:rPr>
        <w:t xml:space="preserve"> that gives members of the underwriting group the option to buy additional shares at the offering price less fees and commissions.</w:t>
      </w:r>
    </w:p>
    <w:p w14:paraId="4216E84B" w14:textId="77777777" w:rsidR="00335B91" w:rsidRDefault="00335B91" w:rsidP="006222B0">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335B91" w14:paraId="6A4D5832" w14:textId="77777777" w:rsidTr="00335B91">
        <w:tc>
          <w:tcPr>
            <w:tcW w:w="9576" w:type="dxa"/>
          </w:tcPr>
          <w:p w14:paraId="343D5B9E" w14:textId="77777777" w:rsidR="00335B91" w:rsidRDefault="00335B91" w:rsidP="006222B0">
            <w:pPr>
              <w:jc w:val="both"/>
              <w:rPr>
                <w:rFonts w:ascii="Bookman Old Style" w:hAnsi="Bookman Old Style"/>
              </w:rPr>
            </w:pPr>
          </w:p>
          <w:p w14:paraId="30F093FE" w14:textId="78E60048" w:rsidR="00335B91" w:rsidRPr="00335B91" w:rsidRDefault="00335B91" w:rsidP="006222B0">
            <w:pPr>
              <w:jc w:val="both"/>
              <w:rPr>
                <w:rFonts w:ascii="Bookman Old Style" w:hAnsi="Bookman Old Style"/>
              </w:rPr>
            </w:pPr>
            <w:r>
              <w:rPr>
                <w:rFonts w:ascii="Bookman Old Style" w:hAnsi="Bookman Old Style"/>
                <w:b/>
              </w:rPr>
              <w:t>Overallotment Option</w:t>
            </w:r>
            <w:r>
              <w:rPr>
                <w:rFonts w:ascii="Bookman Old Style" w:hAnsi="Bookman Old Style"/>
              </w:rPr>
              <w:t xml:space="preserve"> – An underwriting provision that permits syndicate members to buy additional shares at the original offering price.</w:t>
            </w:r>
          </w:p>
          <w:p w14:paraId="5808F289" w14:textId="77777777" w:rsidR="00335B91" w:rsidRDefault="00335B91" w:rsidP="006222B0">
            <w:pPr>
              <w:jc w:val="both"/>
              <w:rPr>
                <w:rFonts w:ascii="Bookman Old Style" w:hAnsi="Bookman Old Style"/>
              </w:rPr>
            </w:pPr>
          </w:p>
        </w:tc>
      </w:tr>
    </w:tbl>
    <w:p w14:paraId="6BBAFDF2" w14:textId="77777777" w:rsidR="00335B91" w:rsidRPr="00335B91" w:rsidRDefault="00335B91" w:rsidP="006222B0">
      <w:pPr>
        <w:spacing w:after="0" w:line="240" w:lineRule="auto"/>
        <w:jc w:val="both"/>
        <w:rPr>
          <w:rFonts w:ascii="Bookman Old Style" w:hAnsi="Bookman Old Style"/>
        </w:rPr>
      </w:pPr>
    </w:p>
    <w:p w14:paraId="625BE40D" w14:textId="4D19F0E3" w:rsidR="001D0726" w:rsidRDefault="00335B91" w:rsidP="006222B0">
      <w:pPr>
        <w:spacing w:after="0" w:line="240" w:lineRule="auto"/>
        <w:jc w:val="both"/>
        <w:rPr>
          <w:rFonts w:ascii="Bookman Old Style" w:hAnsi="Bookman Old Style"/>
        </w:rPr>
      </w:pPr>
      <w:r>
        <w:rPr>
          <w:rFonts w:ascii="Bookman Old Style" w:hAnsi="Bookman Old Style"/>
        </w:rPr>
        <w:t>The reason for this option is to cover excess demand and oversubscriptions. The option has a short maturity, around 30 days, and it’s limited to about 15% of the original number of shares issued.</w:t>
      </w:r>
    </w:p>
    <w:p w14:paraId="086CB2F4" w14:textId="77777777" w:rsidR="00335B91" w:rsidRDefault="00335B91" w:rsidP="006222B0">
      <w:pPr>
        <w:spacing w:after="0" w:line="240" w:lineRule="auto"/>
        <w:jc w:val="both"/>
        <w:rPr>
          <w:rFonts w:ascii="Bookman Old Style" w:hAnsi="Bookman Old Style"/>
        </w:rPr>
      </w:pPr>
    </w:p>
    <w:p w14:paraId="773B21C8" w14:textId="33020F4C" w:rsidR="00335B91" w:rsidRDefault="00335B91" w:rsidP="006222B0">
      <w:pPr>
        <w:spacing w:after="0" w:line="240" w:lineRule="auto"/>
        <w:jc w:val="both"/>
        <w:rPr>
          <w:rFonts w:ascii="Bookman Old Style" w:hAnsi="Bookman Old Style"/>
        </w:rPr>
      </w:pPr>
      <w:r>
        <w:rPr>
          <w:rFonts w:ascii="Bookman Old Style" w:hAnsi="Bookman Old Style"/>
        </w:rPr>
        <w:t>The overallotment option is a benefit to the underwriting syndicate and a cost to the issuer. If the market price of the new issue rises immediately, the overallotment option allows the underwriter to buy additional shares from the issuer right away and resell them to public.</w:t>
      </w:r>
    </w:p>
    <w:p w14:paraId="12F3EE1A" w14:textId="77777777" w:rsidR="00335B91" w:rsidRDefault="00335B91" w:rsidP="006222B0">
      <w:pPr>
        <w:spacing w:after="0" w:line="240" w:lineRule="auto"/>
        <w:jc w:val="both"/>
        <w:rPr>
          <w:rFonts w:ascii="Bookman Old Style" w:hAnsi="Bookman Old Style"/>
        </w:rPr>
      </w:pPr>
    </w:p>
    <w:p w14:paraId="463C3DEB" w14:textId="77777777" w:rsidR="00335B91" w:rsidRDefault="00335B91" w:rsidP="006222B0">
      <w:pPr>
        <w:spacing w:after="0" w:line="240" w:lineRule="auto"/>
        <w:jc w:val="both"/>
        <w:rPr>
          <w:rFonts w:ascii="Bookman Old Style" w:hAnsi="Bookman Old Style"/>
        </w:rPr>
      </w:pPr>
    </w:p>
    <w:p w14:paraId="10203FE8" w14:textId="77777777" w:rsidR="00335B91" w:rsidRDefault="00335B91" w:rsidP="006222B0">
      <w:pPr>
        <w:spacing w:after="0" w:line="240" w:lineRule="auto"/>
        <w:jc w:val="both"/>
        <w:rPr>
          <w:rFonts w:ascii="Bookman Old Style" w:hAnsi="Bookman Old Style"/>
        </w:rPr>
      </w:pPr>
    </w:p>
    <w:p w14:paraId="40407176" w14:textId="77777777" w:rsidR="00335B91" w:rsidRDefault="00335B91" w:rsidP="006222B0">
      <w:pPr>
        <w:spacing w:after="0" w:line="240" w:lineRule="auto"/>
        <w:jc w:val="both"/>
        <w:rPr>
          <w:rFonts w:ascii="Bookman Old Style" w:hAnsi="Bookman Old Style"/>
        </w:rPr>
      </w:pPr>
    </w:p>
    <w:p w14:paraId="034D8EF7" w14:textId="51725E10" w:rsidR="00335B91" w:rsidRDefault="00335B91" w:rsidP="006222B0">
      <w:pPr>
        <w:spacing w:after="0" w:line="240" w:lineRule="auto"/>
        <w:jc w:val="both"/>
        <w:rPr>
          <w:rFonts w:ascii="Bookman Old Style" w:hAnsi="Bookman Old Style"/>
        </w:rPr>
      </w:pPr>
      <w:r>
        <w:rPr>
          <w:rFonts w:ascii="Bookman Old Style" w:hAnsi="Bookman Old Style"/>
          <w:b/>
          <w:u w:val="single"/>
        </w:rPr>
        <w:lastRenderedPageBreak/>
        <w:t>LOCKUP AGREEMENTS</w:t>
      </w:r>
    </w:p>
    <w:p w14:paraId="2B8F7ED5" w14:textId="68080A52" w:rsidR="00335B91" w:rsidRDefault="00335B91" w:rsidP="006222B0">
      <w:pPr>
        <w:spacing w:after="0" w:line="240" w:lineRule="auto"/>
        <w:jc w:val="both"/>
        <w:rPr>
          <w:rFonts w:ascii="Bookman Old Style" w:hAnsi="Bookman Old Style"/>
        </w:rPr>
      </w:pPr>
      <w:r>
        <w:rPr>
          <w:rFonts w:ascii="Bookman Old Style" w:hAnsi="Bookman Old Style"/>
        </w:rPr>
        <w:t xml:space="preserve">Almost all underwriting contracts contain so-called </w:t>
      </w:r>
      <w:r>
        <w:rPr>
          <w:rFonts w:ascii="Bookman Old Style" w:hAnsi="Bookman Old Style"/>
          <w:b/>
        </w:rPr>
        <w:t>lockup agreements</w:t>
      </w:r>
      <w:r>
        <w:rPr>
          <w:rFonts w:ascii="Bookman Old Style" w:hAnsi="Bookman Old Style"/>
        </w:rPr>
        <w:t>, even though it’s not required by law. These agreements specify how long insiders have to wait after an IPO before they can sell some or all of their stock.</w:t>
      </w:r>
    </w:p>
    <w:p w14:paraId="42CDB0E5" w14:textId="77777777" w:rsidR="00335B91" w:rsidRDefault="00335B91" w:rsidP="006222B0">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335B91" w14:paraId="56D41748" w14:textId="77777777" w:rsidTr="00335B91">
        <w:tc>
          <w:tcPr>
            <w:tcW w:w="9576" w:type="dxa"/>
          </w:tcPr>
          <w:p w14:paraId="218DFD59" w14:textId="77777777" w:rsidR="00335B91" w:rsidRDefault="00335B91" w:rsidP="006222B0">
            <w:pPr>
              <w:jc w:val="both"/>
              <w:rPr>
                <w:rFonts w:ascii="Bookman Old Style" w:hAnsi="Bookman Old Style"/>
              </w:rPr>
            </w:pPr>
          </w:p>
          <w:p w14:paraId="5F3D1127" w14:textId="3FD8EC80" w:rsidR="00335B91" w:rsidRPr="00335B91" w:rsidRDefault="00335B91" w:rsidP="006222B0">
            <w:pPr>
              <w:jc w:val="both"/>
              <w:rPr>
                <w:rFonts w:ascii="Bookman Old Style" w:hAnsi="Bookman Old Style"/>
              </w:rPr>
            </w:pPr>
            <w:r>
              <w:rPr>
                <w:rFonts w:ascii="Bookman Old Style" w:hAnsi="Bookman Old Style"/>
                <w:b/>
              </w:rPr>
              <w:t>Lockup Agreements</w:t>
            </w:r>
            <w:r>
              <w:rPr>
                <w:rFonts w:ascii="Bookman Old Style" w:hAnsi="Bookman Old Style"/>
              </w:rPr>
              <w:t xml:space="preserve"> – The part of the underwriting contract that specifies how long insiders have to wait after an IPO before they can sell stock</w:t>
            </w:r>
          </w:p>
          <w:p w14:paraId="4C4A3B5C" w14:textId="77777777" w:rsidR="00335B91" w:rsidRDefault="00335B91" w:rsidP="006222B0">
            <w:pPr>
              <w:jc w:val="both"/>
              <w:rPr>
                <w:rFonts w:ascii="Bookman Old Style" w:hAnsi="Bookman Old Style"/>
              </w:rPr>
            </w:pPr>
          </w:p>
        </w:tc>
      </w:tr>
    </w:tbl>
    <w:p w14:paraId="1780D06C" w14:textId="77777777" w:rsidR="00335B91" w:rsidRDefault="00335B91" w:rsidP="006222B0">
      <w:pPr>
        <w:spacing w:after="0" w:line="240" w:lineRule="auto"/>
        <w:jc w:val="both"/>
        <w:rPr>
          <w:rFonts w:ascii="Bookman Old Style" w:hAnsi="Bookman Old Style"/>
        </w:rPr>
      </w:pPr>
    </w:p>
    <w:p w14:paraId="7FF5C7A2" w14:textId="156A0D90" w:rsidR="00335B91" w:rsidRDefault="00335B91" w:rsidP="006222B0">
      <w:pPr>
        <w:spacing w:after="0" w:line="240" w:lineRule="auto"/>
        <w:jc w:val="both"/>
        <w:rPr>
          <w:rFonts w:ascii="Bookman Old Style" w:hAnsi="Bookman Old Style"/>
        </w:rPr>
      </w:pPr>
      <w:r>
        <w:rPr>
          <w:rFonts w:ascii="Bookman Old Style" w:hAnsi="Bookman Old Style"/>
        </w:rPr>
        <w:t>Lockup periods of 180 days have become pretty standard in recent years. So following an IPO, insiders can’t cash out until 6 months have gone by which ensures that they maintain a significant economic interest in the company going public.</w:t>
      </w:r>
    </w:p>
    <w:p w14:paraId="21E626C5" w14:textId="77777777" w:rsidR="00335B91" w:rsidRDefault="00335B91" w:rsidP="006222B0">
      <w:pPr>
        <w:spacing w:after="0" w:line="240" w:lineRule="auto"/>
        <w:jc w:val="both"/>
        <w:rPr>
          <w:rFonts w:ascii="Bookman Old Style" w:hAnsi="Bookman Old Style"/>
        </w:rPr>
      </w:pPr>
    </w:p>
    <w:p w14:paraId="2097176B" w14:textId="753B9E72" w:rsidR="00335B91" w:rsidRDefault="00335B91" w:rsidP="006222B0">
      <w:pPr>
        <w:spacing w:after="0" w:line="240" w:lineRule="auto"/>
        <w:jc w:val="both"/>
        <w:rPr>
          <w:rFonts w:ascii="Bookman Old Style" w:hAnsi="Bookman Old Style"/>
        </w:rPr>
      </w:pPr>
      <w:r>
        <w:rPr>
          <w:rFonts w:ascii="Bookman Old Style" w:hAnsi="Bookman Old Style"/>
        </w:rPr>
        <w:t>Lockup periods are also important because it’s not unusual for the number of locked-up shares to exceed the number of shares held by the public – sometimes by a substantial margin.</w:t>
      </w:r>
    </w:p>
    <w:p w14:paraId="2E6BB641" w14:textId="77777777" w:rsidR="00335B91" w:rsidRDefault="00335B91" w:rsidP="006222B0">
      <w:pPr>
        <w:spacing w:after="0" w:line="240" w:lineRule="auto"/>
        <w:jc w:val="both"/>
        <w:rPr>
          <w:rFonts w:ascii="Bookman Old Style" w:hAnsi="Bookman Old Style"/>
        </w:rPr>
      </w:pPr>
    </w:p>
    <w:p w14:paraId="0B3A7C85" w14:textId="1EBA1C95" w:rsidR="00335B91" w:rsidRDefault="00335B91" w:rsidP="006222B0">
      <w:pPr>
        <w:spacing w:after="0" w:line="240" w:lineRule="auto"/>
        <w:jc w:val="both"/>
        <w:rPr>
          <w:rFonts w:ascii="Bookman Old Style" w:hAnsi="Bookman Old Style"/>
        </w:rPr>
      </w:pPr>
      <w:r>
        <w:rPr>
          <w:rFonts w:ascii="Bookman Old Style" w:hAnsi="Bookman Old Style"/>
        </w:rPr>
        <w:t>On the day that lockup period expires, there’s a possibility that a large number of shares</w:t>
      </w:r>
      <w:r w:rsidR="00665999">
        <w:rPr>
          <w:rFonts w:ascii="Bookman Old Style" w:hAnsi="Bookman Old Style"/>
        </w:rPr>
        <w:t xml:space="preserve"> will hit the market on the same say and thereby depress the value. Evidence suggests that on average, companies backed by venture capital are particularly likely to experience a loss in value on the lockup expiration date.</w:t>
      </w:r>
    </w:p>
    <w:p w14:paraId="12A6A950" w14:textId="77777777" w:rsidR="00665999" w:rsidRDefault="00665999" w:rsidP="006222B0">
      <w:pPr>
        <w:spacing w:after="0" w:line="240" w:lineRule="auto"/>
        <w:jc w:val="both"/>
        <w:rPr>
          <w:rFonts w:ascii="Bookman Old Style" w:hAnsi="Bookman Old Style"/>
        </w:rPr>
      </w:pPr>
    </w:p>
    <w:p w14:paraId="64E754A5" w14:textId="77777777" w:rsidR="00665999" w:rsidRDefault="00665999" w:rsidP="006222B0">
      <w:pPr>
        <w:spacing w:after="0" w:line="240" w:lineRule="auto"/>
        <w:jc w:val="both"/>
        <w:rPr>
          <w:rFonts w:ascii="Bookman Old Style" w:hAnsi="Bookman Old Style"/>
        </w:rPr>
      </w:pPr>
    </w:p>
    <w:p w14:paraId="19A739F3" w14:textId="3F66EA5B" w:rsidR="00665999" w:rsidRDefault="00665999" w:rsidP="006222B0">
      <w:pPr>
        <w:spacing w:after="0" w:line="240" w:lineRule="auto"/>
        <w:jc w:val="both"/>
        <w:rPr>
          <w:rFonts w:ascii="Bookman Old Style" w:hAnsi="Bookman Old Style"/>
          <w:b/>
          <w:u w:val="single"/>
        </w:rPr>
      </w:pPr>
      <w:r w:rsidRPr="00665999">
        <w:rPr>
          <w:rFonts w:ascii="Bookman Old Style" w:hAnsi="Bookman Old Style"/>
          <w:b/>
          <w:u w:val="single"/>
        </w:rPr>
        <w:t>THE QUIET PERIOD</w:t>
      </w:r>
    </w:p>
    <w:p w14:paraId="3ACBCEF8" w14:textId="6A601700" w:rsidR="00665999" w:rsidRDefault="00665999" w:rsidP="006222B0">
      <w:pPr>
        <w:spacing w:after="0" w:line="240" w:lineRule="auto"/>
        <w:jc w:val="both"/>
        <w:rPr>
          <w:rFonts w:ascii="Bookman Old Style" w:hAnsi="Bookman Old Style"/>
        </w:rPr>
      </w:pPr>
      <w:r>
        <w:rPr>
          <w:rFonts w:ascii="Bookman Old Style" w:hAnsi="Bookman Old Style"/>
        </w:rPr>
        <w:t>For 40 calendar days following an IPO, both the OSC and the SEC require that a firm and its managing underwriters observe a “quiet period” – this means all communications with public have to be limited to ordinary announcements and other purely factual matters.</w:t>
      </w:r>
    </w:p>
    <w:p w14:paraId="035F48B3" w14:textId="77777777" w:rsidR="00665999" w:rsidRDefault="00665999" w:rsidP="006222B0">
      <w:pPr>
        <w:spacing w:after="0" w:line="240" w:lineRule="auto"/>
        <w:jc w:val="both"/>
        <w:rPr>
          <w:rFonts w:ascii="Bookman Old Style" w:hAnsi="Bookman Old Style"/>
        </w:rPr>
      </w:pPr>
    </w:p>
    <w:p w14:paraId="0248EE2C" w14:textId="77777777" w:rsidR="00665999" w:rsidRDefault="00665999" w:rsidP="006222B0">
      <w:pPr>
        <w:spacing w:after="0" w:line="240" w:lineRule="auto"/>
        <w:jc w:val="both"/>
        <w:rPr>
          <w:rFonts w:ascii="Bookman Old Style" w:hAnsi="Bookman Old Style"/>
        </w:rPr>
      </w:pPr>
      <w:r>
        <w:rPr>
          <w:rFonts w:ascii="Bookman Old Style" w:hAnsi="Bookman Old Style"/>
        </w:rPr>
        <w:t xml:space="preserve">The OSC’s logic is that all relevant information should be in the prospectus – an important result of this is that underwriter’s analysts are prohibited from making recommendations to investors. </w:t>
      </w:r>
    </w:p>
    <w:p w14:paraId="044F9121" w14:textId="77777777" w:rsidR="00665999" w:rsidRDefault="00665999" w:rsidP="006222B0">
      <w:pPr>
        <w:spacing w:after="0" w:line="240" w:lineRule="auto"/>
        <w:jc w:val="both"/>
        <w:rPr>
          <w:rFonts w:ascii="Bookman Old Style" w:hAnsi="Bookman Old Style"/>
        </w:rPr>
      </w:pPr>
    </w:p>
    <w:p w14:paraId="7974AB81" w14:textId="617C0542" w:rsidR="00665999" w:rsidRDefault="00665999" w:rsidP="006222B0">
      <w:pPr>
        <w:spacing w:after="0" w:line="240" w:lineRule="auto"/>
        <w:jc w:val="both"/>
        <w:rPr>
          <w:rFonts w:ascii="Bookman Old Style" w:hAnsi="Bookman Old Style"/>
        </w:rPr>
      </w:pPr>
      <w:r>
        <w:rPr>
          <w:rFonts w:ascii="Bookman Old Style" w:hAnsi="Bookman Old Style"/>
        </w:rPr>
        <w:t>But as soon as the quiet period ends, the managing underwriters typically publish research reports, usually accompanied by a favorable “buy” recommendation.</w:t>
      </w:r>
    </w:p>
    <w:p w14:paraId="166FFE50" w14:textId="77777777" w:rsidR="00665999" w:rsidRDefault="00665999" w:rsidP="006222B0">
      <w:pPr>
        <w:spacing w:after="0" w:line="240" w:lineRule="auto"/>
        <w:jc w:val="both"/>
        <w:rPr>
          <w:rFonts w:ascii="Bookman Old Style" w:hAnsi="Bookman Old Style"/>
        </w:rPr>
      </w:pPr>
    </w:p>
    <w:p w14:paraId="6DE29D63" w14:textId="77777777" w:rsidR="00665999" w:rsidRDefault="00665999" w:rsidP="006222B0">
      <w:pPr>
        <w:spacing w:after="0" w:line="240" w:lineRule="auto"/>
        <w:jc w:val="both"/>
        <w:rPr>
          <w:rFonts w:ascii="Bookman Old Style" w:hAnsi="Bookman Old Style"/>
        </w:rPr>
      </w:pPr>
    </w:p>
    <w:p w14:paraId="29BCD068" w14:textId="4B93FFEB" w:rsidR="00665999" w:rsidRDefault="00665999" w:rsidP="006222B0">
      <w:pPr>
        <w:spacing w:after="0" w:line="240" w:lineRule="auto"/>
        <w:jc w:val="both"/>
        <w:rPr>
          <w:rFonts w:ascii="Bookman Old Style" w:hAnsi="Bookman Old Style"/>
        </w:rPr>
      </w:pPr>
      <w:r>
        <w:rPr>
          <w:rFonts w:ascii="Bookman Old Style" w:hAnsi="Bookman Old Style"/>
          <w:b/>
          <w:u w:val="single"/>
        </w:rPr>
        <w:t>THE INVESTMENT DEALERS</w:t>
      </w:r>
    </w:p>
    <w:p w14:paraId="07CDC7EC" w14:textId="11385BD8" w:rsidR="00665999" w:rsidRDefault="00665999" w:rsidP="006222B0">
      <w:pPr>
        <w:spacing w:after="0" w:line="240" w:lineRule="auto"/>
        <w:jc w:val="both"/>
        <w:rPr>
          <w:rFonts w:ascii="Bookman Old Style" w:hAnsi="Bookman Old Style"/>
        </w:rPr>
      </w:pPr>
      <w:r>
        <w:rPr>
          <w:rFonts w:ascii="Bookman Old Style" w:hAnsi="Bookman Old Style"/>
        </w:rPr>
        <w:t>Investment dealers are at the heart of new security issues – they give advice, market the securities (after investigating the market’s receptiveness to the issue) and provide a guarantee of the amount an issue will raise (with a bought deal).</w:t>
      </w:r>
    </w:p>
    <w:p w14:paraId="0C075AF0" w14:textId="77777777" w:rsidR="00665999" w:rsidRDefault="00665999" w:rsidP="006222B0">
      <w:pPr>
        <w:spacing w:after="0" w:line="240" w:lineRule="auto"/>
        <w:jc w:val="both"/>
        <w:rPr>
          <w:rFonts w:ascii="Bookman Old Style" w:hAnsi="Bookman Old Style"/>
        </w:rPr>
      </w:pPr>
    </w:p>
    <w:p w14:paraId="3A2818DA" w14:textId="0A4AAD6C" w:rsidR="00665999" w:rsidRDefault="00665999" w:rsidP="006222B0">
      <w:pPr>
        <w:spacing w:after="0" w:line="240" w:lineRule="auto"/>
        <w:jc w:val="both"/>
        <w:rPr>
          <w:rFonts w:ascii="Bookman Old Style" w:hAnsi="Bookman Old Style"/>
        </w:rPr>
      </w:pPr>
      <w:r>
        <w:rPr>
          <w:rFonts w:ascii="Bookman Old Style" w:hAnsi="Bookman Old Style"/>
        </w:rPr>
        <w:t>To determine the offering price, the underwriter will meet with potential buyers, usually large institutional buyers such as mutual funds. Usually the underwriter and company management will do presentations in several cities, pitching the stock on what’s known as a “road show”.</w:t>
      </w:r>
    </w:p>
    <w:p w14:paraId="55FDF271" w14:textId="77777777" w:rsidR="00665999" w:rsidRDefault="00665999" w:rsidP="006222B0">
      <w:pPr>
        <w:spacing w:after="0" w:line="240" w:lineRule="auto"/>
        <w:jc w:val="both"/>
        <w:rPr>
          <w:rFonts w:ascii="Bookman Old Style" w:hAnsi="Bookman Old Style"/>
        </w:rPr>
      </w:pPr>
    </w:p>
    <w:p w14:paraId="6DEBCFF0" w14:textId="020DB59F" w:rsidR="00665999" w:rsidRDefault="00665999" w:rsidP="006222B0">
      <w:pPr>
        <w:spacing w:after="0" w:line="240" w:lineRule="auto"/>
        <w:jc w:val="both"/>
        <w:rPr>
          <w:rFonts w:ascii="Bookman Old Style" w:hAnsi="Bookman Old Style"/>
        </w:rPr>
      </w:pPr>
      <w:r>
        <w:rPr>
          <w:rFonts w:ascii="Bookman Old Style" w:hAnsi="Bookman Old Style"/>
        </w:rPr>
        <w:lastRenderedPageBreak/>
        <w:t>Potential buyers provide information on the price they’d be willing to pay and the number of shares they’d buy a specific price.</w:t>
      </w:r>
    </w:p>
    <w:p w14:paraId="08C4D435" w14:textId="77777777" w:rsidR="00665999" w:rsidRDefault="00665999" w:rsidP="006222B0">
      <w:pPr>
        <w:spacing w:after="0" w:line="240" w:lineRule="auto"/>
        <w:jc w:val="both"/>
        <w:rPr>
          <w:rFonts w:ascii="Bookman Old Style" w:hAnsi="Bookman Old Style"/>
        </w:rPr>
      </w:pPr>
    </w:p>
    <w:p w14:paraId="62FD495C" w14:textId="3F8F06B6" w:rsidR="00665999" w:rsidRDefault="00665999" w:rsidP="006222B0">
      <w:pPr>
        <w:spacing w:after="0" w:line="240" w:lineRule="auto"/>
        <w:jc w:val="both"/>
        <w:rPr>
          <w:rFonts w:ascii="Bookman Old Style" w:hAnsi="Bookman Old Style"/>
        </w:rPr>
      </w:pPr>
      <w:r>
        <w:rPr>
          <w:rFonts w:ascii="Bookman Old Style" w:hAnsi="Bookman Old Style"/>
        </w:rPr>
        <w:t xml:space="preserve">This process of soliciting information about buyers and the price &amp; quantities they’d demand is known as </w:t>
      </w:r>
      <w:proofErr w:type="spellStart"/>
      <w:r>
        <w:rPr>
          <w:rFonts w:ascii="Bookman Old Style" w:hAnsi="Bookman Old Style"/>
          <w:b/>
          <w:i/>
        </w:rPr>
        <w:t>bookbuilding</w:t>
      </w:r>
      <w:proofErr w:type="spellEnd"/>
      <w:r>
        <w:rPr>
          <w:rFonts w:ascii="Bookman Old Style" w:hAnsi="Bookman Old Style"/>
        </w:rPr>
        <w:t xml:space="preserve">. But despite the </w:t>
      </w:r>
      <w:proofErr w:type="spellStart"/>
      <w:r>
        <w:rPr>
          <w:rFonts w:ascii="Bookman Old Style" w:hAnsi="Bookman Old Style"/>
        </w:rPr>
        <w:t>bookbuilding</w:t>
      </w:r>
      <w:proofErr w:type="spellEnd"/>
      <w:r>
        <w:rPr>
          <w:rFonts w:ascii="Bookman Old Style" w:hAnsi="Bookman Old Style"/>
        </w:rPr>
        <w:t xml:space="preserve"> process, underwriters often get the price wrong.</w:t>
      </w:r>
    </w:p>
    <w:p w14:paraId="3B8384EB" w14:textId="77777777" w:rsidR="00665999" w:rsidRDefault="00665999" w:rsidP="006222B0">
      <w:pPr>
        <w:spacing w:after="0" w:line="240" w:lineRule="auto"/>
        <w:jc w:val="both"/>
        <w:rPr>
          <w:rFonts w:ascii="Bookman Old Style" w:hAnsi="Bookman Old Style"/>
        </w:rPr>
      </w:pPr>
    </w:p>
    <w:p w14:paraId="6D0137B3" w14:textId="77777777" w:rsidR="00665999" w:rsidRDefault="00665999" w:rsidP="006222B0">
      <w:pPr>
        <w:spacing w:after="0" w:line="240" w:lineRule="auto"/>
        <w:jc w:val="both"/>
        <w:rPr>
          <w:rFonts w:ascii="Bookman Old Style" w:hAnsi="Bookman Old Style"/>
        </w:rPr>
      </w:pPr>
    </w:p>
    <w:p w14:paraId="62C2C815" w14:textId="6582C9C8" w:rsidR="00665999" w:rsidRDefault="00665999" w:rsidP="006222B0">
      <w:pPr>
        <w:spacing w:after="0" w:line="240" w:lineRule="auto"/>
        <w:jc w:val="center"/>
        <w:rPr>
          <w:rFonts w:ascii="Bookman Old Style" w:hAnsi="Bookman Old Style"/>
          <w:b/>
          <w:u w:val="single"/>
        </w:rPr>
      </w:pPr>
      <w:r>
        <w:rPr>
          <w:rFonts w:ascii="Bookman Old Style" w:hAnsi="Bookman Old Style"/>
          <w:b/>
          <w:u w:val="single"/>
        </w:rPr>
        <w:t>IPOS &amp; UNDERPRICING</w:t>
      </w:r>
    </w:p>
    <w:p w14:paraId="6583FD08" w14:textId="77777777" w:rsidR="00665999" w:rsidRDefault="00665999" w:rsidP="006222B0">
      <w:pPr>
        <w:spacing w:after="0" w:line="240" w:lineRule="auto"/>
        <w:jc w:val="center"/>
        <w:rPr>
          <w:rFonts w:ascii="Bookman Old Style" w:hAnsi="Bookman Old Style"/>
          <w:b/>
          <w:u w:val="single"/>
        </w:rPr>
      </w:pPr>
    </w:p>
    <w:p w14:paraId="138F1405" w14:textId="6874619D" w:rsidR="00665999" w:rsidRDefault="00A75CBA" w:rsidP="006222B0">
      <w:pPr>
        <w:spacing w:after="0" w:line="240" w:lineRule="auto"/>
        <w:jc w:val="both"/>
        <w:rPr>
          <w:rFonts w:ascii="Bookman Old Style" w:hAnsi="Bookman Old Style"/>
        </w:rPr>
      </w:pPr>
      <w:r>
        <w:rPr>
          <w:rFonts w:ascii="Bookman Old Style" w:hAnsi="Bookman Old Style"/>
        </w:rPr>
        <w:t>For an IPO, determining the right offer price is the hardest job for an underwriter. This issuing firm faces a potential cost if the offer price is set too high or too low.</w:t>
      </w:r>
    </w:p>
    <w:p w14:paraId="24E46145" w14:textId="77777777" w:rsidR="00A75CBA" w:rsidRDefault="00A75CBA" w:rsidP="006222B0">
      <w:pPr>
        <w:spacing w:after="0" w:line="240" w:lineRule="auto"/>
        <w:jc w:val="both"/>
        <w:rPr>
          <w:rFonts w:ascii="Bookman Old Style" w:hAnsi="Bookman Old Style"/>
        </w:rPr>
      </w:pPr>
    </w:p>
    <w:p w14:paraId="53D1C429" w14:textId="739DA403" w:rsidR="00A75CBA" w:rsidRDefault="00A75CBA" w:rsidP="006222B0">
      <w:pPr>
        <w:spacing w:after="0" w:line="240" w:lineRule="auto"/>
        <w:jc w:val="both"/>
        <w:rPr>
          <w:rFonts w:ascii="Bookman Old Style" w:hAnsi="Bookman Old Style"/>
        </w:rPr>
      </w:pPr>
      <w:r>
        <w:rPr>
          <w:rFonts w:ascii="Bookman Old Style" w:hAnsi="Bookman Old Style"/>
        </w:rPr>
        <w:t xml:space="preserve">If too </w:t>
      </w:r>
      <w:r w:rsidRPr="00A75CBA">
        <w:rPr>
          <w:rFonts w:ascii="Bookman Old Style" w:hAnsi="Bookman Old Style"/>
          <w:i/>
        </w:rPr>
        <w:t>high</w:t>
      </w:r>
      <w:r>
        <w:rPr>
          <w:rFonts w:ascii="Bookman Old Style" w:hAnsi="Bookman Old Style"/>
        </w:rPr>
        <w:t xml:space="preserve"> - it may be unsuccessful and have to be withdrawn</w:t>
      </w:r>
    </w:p>
    <w:p w14:paraId="3579A6D8" w14:textId="77777777" w:rsidR="00A75CBA" w:rsidRDefault="00A75CBA" w:rsidP="006222B0">
      <w:pPr>
        <w:spacing w:after="0" w:line="240" w:lineRule="auto"/>
        <w:jc w:val="both"/>
        <w:rPr>
          <w:rFonts w:ascii="Bookman Old Style" w:hAnsi="Bookman Old Style"/>
        </w:rPr>
      </w:pPr>
    </w:p>
    <w:p w14:paraId="42D440B9" w14:textId="4798773A" w:rsidR="00A75CBA" w:rsidRDefault="00A75CBA" w:rsidP="006222B0">
      <w:pPr>
        <w:spacing w:after="0" w:line="240" w:lineRule="auto"/>
        <w:jc w:val="both"/>
        <w:rPr>
          <w:rFonts w:ascii="Bookman Old Style" w:hAnsi="Bookman Old Style"/>
        </w:rPr>
      </w:pPr>
      <w:r>
        <w:rPr>
          <w:rFonts w:ascii="Bookman Old Style" w:hAnsi="Bookman Old Style"/>
        </w:rPr>
        <w:t xml:space="preserve">If too </w:t>
      </w:r>
      <w:r w:rsidRPr="00A75CBA">
        <w:rPr>
          <w:rFonts w:ascii="Bookman Old Style" w:hAnsi="Bookman Old Style"/>
          <w:i/>
        </w:rPr>
        <w:t>low</w:t>
      </w:r>
      <w:r>
        <w:rPr>
          <w:rFonts w:ascii="Bookman Old Style" w:hAnsi="Bookman Old Style"/>
        </w:rPr>
        <w:t xml:space="preserve"> - if it’s below true market value, the issuer’s existing shareholders will experience an opportunity loss when they sell their shares for less than they’re worth</w:t>
      </w:r>
    </w:p>
    <w:p w14:paraId="13912F64" w14:textId="77777777" w:rsidR="00A75CBA" w:rsidRDefault="00A75CBA" w:rsidP="006222B0">
      <w:pPr>
        <w:spacing w:after="0" w:line="240" w:lineRule="auto"/>
        <w:jc w:val="both"/>
        <w:rPr>
          <w:rFonts w:ascii="Bookman Old Style" w:hAnsi="Bookman Old Style"/>
        </w:rPr>
      </w:pPr>
    </w:p>
    <w:p w14:paraId="17028D21" w14:textId="42D72D47" w:rsidR="00A75CBA" w:rsidRDefault="00A75CBA" w:rsidP="006222B0">
      <w:pPr>
        <w:spacing w:after="0" w:line="240" w:lineRule="auto"/>
        <w:jc w:val="both"/>
        <w:rPr>
          <w:rFonts w:ascii="Bookman Old Style" w:hAnsi="Bookman Old Style"/>
        </w:rPr>
      </w:pPr>
      <w:r>
        <w:rPr>
          <w:rFonts w:ascii="Bookman Old Style" w:hAnsi="Bookman Old Style"/>
        </w:rPr>
        <w:t>Underpricing is fairly common – it obviously helps new shareholders earn a higher return on the shares they buy. To them, it’s an indirect cost of issuing new securities.</w:t>
      </w:r>
    </w:p>
    <w:p w14:paraId="53F0D415" w14:textId="77777777" w:rsidR="00A75CBA" w:rsidRDefault="00A75CBA" w:rsidP="006222B0">
      <w:pPr>
        <w:spacing w:after="0" w:line="240" w:lineRule="auto"/>
        <w:jc w:val="both"/>
        <w:rPr>
          <w:rFonts w:ascii="Bookman Old Style" w:hAnsi="Bookman Old Style"/>
        </w:rPr>
      </w:pPr>
    </w:p>
    <w:p w14:paraId="59051AEB" w14:textId="33E69BCA" w:rsidR="00A75CBA" w:rsidRDefault="00A75CBA" w:rsidP="006222B0">
      <w:pPr>
        <w:spacing w:after="0" w:line="240" w:lineRule="auto"/>
        <w:jc w:val="both"/>
        <w:rPr>
          <w:rFonts w:ascii="Bookman Old Style" w:hAnsi="Bookman Old Style"/>
        </w:rPr>
      </w:pPr>
      <w:r>
        <w:rPr>
          <w:rFonts w:ascii="Bookman Old Style" w:hAnsi="Bookman Old Style"/>
          <w:i/>
          <w:u w:val="single"/>
        </w:rPr>
        <w:t>Ex.:</w:t>
      </w:r>
    </w:p>
    <w:p w14:paraId="4E2418D1" w14:textId="717E0E2A" w:rsidR="00A75CBA" w:rsidRDefault="00A75CBA" w:rsidP="006222B0">
      <w:pPr>
        <w:spacing w:after="0" w:line="240" w:lineRule="auto"/>
        <w:jc w:val="both"/>
        <w:rPr>
          <w:rFonts w:ascii="Bookman Old Style" w:hAnsi="Bookman Old Style"/>
        </w:rPr>
      </w:pPr>
      <w:proofErr w:type="spellStart"/>
      <w:r>
        <w:rPr>
          <w:rFonts w:ascii="Bookman Old Style" w:hAnsi="Bookman Old Style"/>
        </w:rPr>
        <w:t>ZipCar</w:t>
      </w:r>
      <w:proofErr w:type="spellEnd"/>
      <w:r>
        <w:rPr>
          <w:rFonts w:ascii="Bookman Old Style" w:hAnsi="Bookman Old Style"/>
        </w:rPr>
        <w:t xml:space="preserve"> Inc. went public selling 38.6 million shares at $18 per share, raising $694.8 million. At the end of the first day of trading, the stock sold for $28 per share, up around 55% for the day.</w:t>
      </w:r>
    </w:p>
    <w:p w14:paraId="0BF25BD8" w14:textId="77777777" w:rsidR="00A75CBA" w:rsidRDefault="00A75CBA" w:rsidP="006222B0">
      <w:pPr>
        <w:spacing w:after="0" w:line="240" w:lineRule="auto"/>
        <w:jc w:val="both"/>
        <w:rPr>
          <w:rFonts w:ascii="Bookman Old Style" w:hAnsi="Bookman Old Style"/>
        </w:rPr>
      </w:pPr>
    </w:p>
    <w:p w14:paraId="6BBA273C" w14:textId="6780C1AA" w:rsidR="00A75CBA" w:rsidRDefault="00A75CBA" w:rsidP="006222B0">
      <w:pPr>
        <w:spacing w:after="0" w:line="240" w:lineRule="auto"/>
        <w:jc w:val="both"/>
        <w:rPr>
          <w:rFonts w:ascii="Bookman Old Style" w:hAnsi="Bookman Old Style"/>
        </w:rPr>
      </w:pPr>
      <w:r>
        <w:rPr>
          <w:rFonts w:ascii="Bookman Old Style" w:hAnsi="Bookman Old Style"/>
        </w:rPr>
        <w:t xml:space="preserve">Based on these prices, </w:t>
      </w:r>
      <w:proofErr w:type="spellStart"/>
      <w:r>
        <w:rPr>
          <w:rFonts w:ascii="Bookman Old Style" w:hAnsi="Bookman Old Style"/>
        </w:rPr>
        <w:t>ZipCar’s</w:t>
      </w:r>
      <w:proofErr w:type="spellEnd"/>
      <w:r>
        <w:rPr>
          <w:rFonts w:ascii="Bookman Old Style" w:hAnsi="Bookman Old Style"/>
        </w:rPr>
        <w:t xml:space="preserve"> shares were apparently underpriced by $10 each, meaning the company missed out on an additional $386 million.</w:t>
      </w:r>
    </w:p>
    <w:p w14:paraId="471E110C" w14:textId="77777777" w:rsidR="00A75CBA" w:rsidRDefault="00A75CBA" w:rsidP="006222B0">
      <w:pPr>
        <w:spacing w:after="0" w:line="240" w:lineRule="auto"/>
        <w:jc w:val="both"/>
        <w:rPr>
          <w:rFonts w:ascii="Bookman Old Style" w:hAnsi="Bookman Old Style"/>
        </w:rPr>
      </w:pPr>
    </w:p>
    <w:p w14:paraId="73F8E425" w14:textId="77777777" w:rsidR="00A75CBA" w:rsidRDefault="00A75CBA" w:rsidP="006222B0">
      <w:pPr>
        <w:spacing w:after="0" w:line="240" w:lineRule="auto"/>
        <w:jc w:val="both"/>
        <w:rPr>
          <w:rFonts w:ascii="Bookman Old Style" w:hAnsi="Bookman Old Style"/>
          <w:b/>
          <w:u w:val="single"/>
        </w:rPr>
      </w:pPr>
    </w:p>
    <w:p w14:paraId="51927B76" w14:textId="134FD291" w:rsidR="00A75CBA" w:rsidRDefault="00A75CBA" w:rsidP="006222B0">
      <w:pPr>
        <w:spacing w:after="0" w:line="240" w:lineRule="auto"/>
        <w:jc w:val="both"/>
        <w:rPr>
          <w:rFonts w:ascii="Bookman Old Style" w:hAnsi="Bookman Old Style"/>
        </w:rPr>
      </w:pPr>
      <w:r>
        <w:rPr>
          <w:rFonts w:ascii="Bookman Old Style" w:hAnsi="Bookman Old Style"/>
          <w:b/>
          <w:u w:val="single"/>
        </w:rPr>
        <w:t>EVIDENCE ON UNDERPRICING</w:t>
      </w:r>
    </w:p>
    <w:p w14:paraId="56A1ABFC" w14:textId="34692E9F" w:rsidR="00A75CBA" w:rsidRDefault="00A75CBA" w:rsidP="006222B0">
      <w:pPr>
        <w:spacing w:after="0" w:line="240" w:lineRule="auto"/>
        <w:jc w:val="both"/>
        <w:rPr>
          <w:rFonts w:ascii="Bookman Old Style" w:hAnsi="Bookman Old Style"/>
        </w:rPr>
      </w:pPr>
      <w:r>
        <w:rPr>
          <w:rFonts w:ascii="Bookman Old Style" w:hAnsi="Bookman Old Style"/>
        </w:rPr>
        <w:t>The figure below gives a general picture of the underpricing phenomenon. It shows a year by year history of underpricing for SEC-registered IPOs from 1960 through 2011.</w:t>
      </w:r>
    </w:p>
    <w:p w14:paraId="0FA44F25" w14:textId="77777777" w:rsidR="00A75CBA" w:rsidRDefault="00A75CBA" w:rsidP="006222B0">
      <w:pPr>
        <w:spacing w:after="0" w:line="240" w:lineRule="auto"/>
        <w:jc w:val="both"/>
        <w:rPr>
          <w:rFonts w:ascii="Bookman Old Style" w:hAnsi="Bookman Old Style"/>
        </w:rPr>
      </w:pPr>
    </w:p>
    <w:p w14:paraId="16AF1480" w14:textId="76158AF4" w:rsidR="00124B3D" w:rsidRDefault="00124B3D" w:rsidP="006222B0">
      <w:pPr>
        <w:spacing w:after="0" w:line="240" w:lineRule="auto"/>
        <w:jc w:val="center"/>
        <w:rPr>
          <w:rFonts w:ascii="Bookman Old Style" w:hAnsi="Bookman Old Style"/>
        </w:rPr>
      </w:pPr>
      <w:r>
        <w:rPr>
          <w:rFonts w:ascii="Bookman Old Style" w:hAnsi="Bookman Old Style"/>
          <w:noProof/>
        </w:rPr>
        <w:drawing>
          <wp:inline distT="0" distB="0" distL="0" distR="0" wp14:anchorId="3380A1C3" wp14:editId="3A5F0145">
            <wp:extent cx="5943600" cy="1680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G"/>
                    <pic:cNvPicPr/>
                  </pic:nvPicPr>
                  <pic:blipFill>
                    <a:blip r:embed="rId7">
                      <a:extLst>
                        <a:ext uri="{28A0092B-C50C-407E-A947-70E740481C1C}">
                          <a14:useLocalDpi xmlns:a14="http://schemas.microsoft.com/office/drawing/2010/main" val="0"/>
                        </a:ext>
                      </a:extLst>
                    </a:blip>
                    <a:stretch>
                      <a:fillRect/>
                    </a:stretch>
                  </pic:blipFill>
                  <pic:spPr>
                    <a:xfrm>
                      <a:off x="0" y="0"/>
                      <a:ext cx="5943600" cy="1680210"/>
                    </a:xfrm>
                    <a:prstGeom prst="rect">
                      <a:avLst/>
                    </a:prstGeom>
                  </pic:spPr>
                </pic:pic>
              </a:graphicData>
            </a:graphic>
          </wp:inline>
        </w:drawing>
      </w:r>
    </w:p>
    <w:p w14:paraId="55B21D35" w14:textId="77777777" w:rsidR="00124B3D" w:rsidRDefault="00124B3D" w:rsidP="006222B0">
      <w:pPr>
        <w:spacing w:after="0" w:line="240" w:lineRule="auto"/>
        <w:jc w:val="both"/>
        <w:rPr>
          <w:rFonts w:ascii="Bookman Old Style" w:hAnsi="Bookman Old Style"/>
        </w:rPr>
      </w:pPr>
    </w:p>
    <w:p w14:paraId="306772DE" w14:textId="55A63DCF" w:rsidR="00A75CBA" w:rsidRDefault="00A75CBA" w:rsidP="006222B0">
      <w:pPr>
        <w:spacing w:after="0" w:line="240" w:lineRule="auto"/>
        <w:jc w:val="both"/>
        <w:rPr>
          <w:rFonts w:ascii="Bookman Old Style" w:hAnsi="Bookman Old Style"/>
        </w:rPr>
      </w:pPr>
      <w:r>
        <w:rPr>
          <w:rFonts w:ascii="Bookman Old Style" w:hAnsi="Bookman Old Style"/>
        </w:rPr>
        <w:t>The figure shows that underpricing can be quite dramatic, exceeding 60% in some years. In some cases, the IPOs doubled in value, sometimes in a matter of hours.</w:t>
      </w:r>
    </w:p>
    <w:p w14:paraId="68245A39" w14:textId="77777777" w:rsidR="00A75CBA" w:rsidRDefault="00A75CBA" w:rsidP="006222B0">
      <w:pPr>
        <w:spacing w:after="0" w:line="240" w:lineRule="auto"/>
        <w:jc w:val="both"/>
        <w:rPr>
          <w:rFonts w:ascii="Bookman Old Style" w:hAnsi="Bookman Old Style"/>
        </w:rPr>
      </w:pPr>
    </w:p>
    <w:p w14:paraId="659E06C3" w14:textId="416F787B" w:rsidR="00A75CBA" w:rsidRDefault="00A75CBA" w:rsidP="006222B0">
      <w:pPr>
        <w:spacing w:after="0" w:line="240" w:lineRule="auto"/>
        <w:jc w:val="both"/>
        <w:rPr>
          <w:rFonts w:ascii="Bookman Old Style" w:hAnsi="Bookman Old Style"/>
        </w:rPr>
      </w:pPr>
      <w:r>
        <w:rPr>
          <w:rFonts w:ascii="Bookman Old Style" w:hAnsi="Bookman Old Style"/>
        </w:rPr>
        <w:lastRenderedPageBreak/>
        <w:t>The degree of underpricing varies through time – periods of severe underpricing (“hot issue” markets) are followed by periods of little underpricing (“cold issue” markets). For example, in the 1960s, the average US IPO was underpriced by 21.2%, in the 70s, the average underpricing was much smaller (7.1%) and the amount of underpricing was actually very small or even negative for much of that time.</w:t>
      </w:r>
    </w:p>
    <w:p w14:paraId="4806A186" w14:textId="77777777" w:rsidR="00A75CBA" w:rsidRDefault="00A75CBA" w:rsidP="006222B0">
      <w:pPr>
        <w:spacing w:after="0" w:line="240" w:lineRule="auto"/>
        <w:jc w:val="both"/>
        <w:rPr>
          <w:rFonts w:ascii="Bookman Old Style" w:hAnsi="Bookman Old Style"/>
        </w:rPr>
      </w:pPr>
    </w:p>
    <w:p w14:paraId="6C6DE89D" w14:textId="77777777" w:rsidR="00A75CBA" w:rsidRDefault="00A75CBA" w:rsidP="006222B0">
      <w:pPr>
        <w:spacing w:after="0" w:line="240" w:lineRule="auto"/>
        <w:jc w:val="both"/>
        <w:rPr>
          <w:rFonts w:ascii="Bookman Old Style" w:hAnsi="Bookman Old Style"/>
        </w:rPr>
      </w:pPr>
    </w:p>
    <w:p w14:paraId="22C8135D" w14:textId="7435E309" w:rsidR="00646785" w:rsidRDefault="00646785" w:rsidP="006222B0">
      <w:pPr>
        <w:spacing w:after="0" w:line="240" w:lineRule="auto"/>
        <w:jc w:val="both"/>
        <w:rPr>
          <w:rFonts w:ascii="Bookman Old Style" w:hAnsi="Bookman Old Style"/>
          <w:b/>
          <w:u w:val="single"/>
        </w:rPr>
      </w:pPr>
      <w:r>
        <w:rPr>
          <w:rFonts w:ascii="Bookman Old Style" w:hAnsi="Bookman Old Style"/>
          <w:b/>
          <w:u w:val="single"/>
        </w:rPr>
        <w:t>WHY DOES UNDERPRICING EXIST?</w:t>
      </w:r>
    </w:p>
    <w:p w14:paraId="6FDF8F8D" w14:textId="77777777" w:rsidR="00D54F77" w:rsidRDefault="00D54F77" w:rsidP="006222B0">
      <w:pPr>
        <w:spacing w:after="0" w:line="240" w:lineRule="auto"/>
        <w:jc w:val="both"/>
        <w:rPr>
          <w:rFonts w:ascii="Bookman Old Style" w:hAnsi="Bookman Old Style"/>
        </w:rPr>
      </w:pPr>
    </w:p>
    <w:p w14:paraId="5A867B52" w14:textId="74CC835C" w:rsidR="00646785" w:rsidRDefault="00D54F77" w:rsidP="006222B0">
      <w:pPr>
        <w:spacing w:after="0" w:line="240" w:lineRule="auto"/>
        <w:jc w:val="both"/>
        <w:rPr>
          <w:rFonts w:ascii="Bookman Old Style" w:hAnsi="Bookman Old Style"/>
        </w:rPr>
      </w:pPr>
      <w:r>
        <w:rPr>
          <w:rFonts w:ascii="Bookman Old Style" w:hAnsi="Bookman Old Style"/>
        </w:rPr>
        <w:t>#1 - T</w:t>
      </w:r>
      <w:r w:rsidR="00124B3D">
        <w:rPr>
          <w:rFonts w:ascii="Bookman Old Style" w:hAnsi="Bookman Old Style"/>
        </w:rPr>
        <w:t>he average figures we’ve looked at tend to obscure the fact that much of the apparent underpricing is attributable to the smaller, more highly speculative issues.</w:t>
      </w:r>
    </w:p>
    <w:p w14:paraId="3D35316E" w14:textId="77777777" w:rsidR="00124B3D" w:rsidRDefault="00124B3D" w:rsidP="006222B0">
      <w:pPr>
        <w:spacing w:after="0" w:line="240" w:lineRule="auto"/>
        <w:jc w:val="both"/>
        <w:rPr>
          <w:rFonts w:ascii="Bookman Old Style" w:hAnsi="Bookman Old Style"/>
        </w:rPr>
      </w:pPr>
    </w:p>
    <w:p w14:paraId="3125B25F" w14:textId="07AFD4D8" w:rsidR="00124B3D" w:rsidRDefault="00124B3D" w:rsidP="006222B0">
      <w:pPr>
        <w:spacing w:after="0" w:line="240" w:lineRule="auto"/>
        <w:jc w:val="both"/>
        <w:rPr>
          <w:rFonts w:ascii="Bookman Old Style" w:hAnsi="Bookman Old Style"/>
        </w:rPr>
      </w:pPr>
      <w:r>
        <w:rPr>
          <w:rFonts w:ascii="Bookman Old Style" w:hAnsi="Bookman Old Style"/>
        </w:rPr>
        <w:t>Underpricing tends to be higher for firms with little to no sales in the previous year. These firms are usually young and can be very risky investments. Arguably, they must be significantly underpriced, on average, just to attract investors – this is one explanation for the underpricing phenomenon.</w:t>
      </w:r>
    </w:p>
    <w:p w14:paraId="1E10DB0A" w14:textId="77777777" w:rsidR="00124B3D" w:rsidRDefault="00124B3D" w:rsidP="006222B0">
      <w:pPr>
        <w:spacing w:after="0" w:line="240" w:lineRule="auto"/>
        <w:jc w:val="both"/>
        <w:rPr>
          <w:rFonts w:ascii="Bookman Old Style" w:hAnsi="Bookman Old Style"/>
        </w:rPr>
      </w:pPr>
    </w:p>
    <w:p w14:paraId="7B73F7ED" w14:textId="77777777" w:rsidR="00D54F77" w:rsidRDefault="00D54F77" w:rsidP="006222B0">
      <w:pPr>
        <w:spacing w:after="0" w:line="240" w:lineRule="auto"/>
        <w:jc w:val="both"/>
        <w:rPr>
          <w:rFonts w:ascii="Bookman Old Style" w:hAnsi="Bookman Old Style"/>
        </w:rPr>
      </w:pPr>
    </w:p>
    <w:p w14:paraId="17CFB3CD" w14:textId="6320C6B5" w:rsidR="00124B3D" w:rsidRDefault="00D54F77" w:rsidP="006222B0">
      <w:pPr>
        <w:spacing w:after="0" w:line="240" w:lineRule="auto"/>
        <w:jc w:val="both"/>
        <w:rPr>
          <w:rFonts w:ascii="Bookman Old Style" w:hAnsi="Bookman Old Style"/>
        </w:rPr>
      </w:pPr>
      <w:r>
        <w:rPr>
          <w:rFonts w:ascii="Bookman Old Style" w:hAnsi="Bookman Old Style"/>
        </w:rPr>
        <w:t>#2 -</w:t>
      </w:r>
      <w:r w:rsidR="00124B3D">
        <w:rPr>
          <w:rFonts w:ascii="Bookman Old Style" w:hAnsi="Bookman Old Style"/>
        </w:rPr>
        <w:t xml:space="preserve"> </w:t>
      </w:r>
      <w:r>
        <w:rPr>
          <w:rFonts w:ascii="Bookman Old Style" w:hAnsi="Bookman Old Style"/>
        </w:rPr>
        <w:t>F</w:t>
      </w:r>
      <w:r w:rsidR="00124B3D">
        <w:rPr>
          <w:rFonts w:ascii="Bookman Old Style" w:hAnsi="Bookman Old Style"/>
        </w:rPr>
        <w:t>ew IPO buyers will actually get the initial high average returns observed in IPOS and many will actually lose money.</w:t>
      </w:r>
      <w:r>
        <w:rPr>
          <w:rFonts w:ascii="Bookman Old Style" w:hAnsi="Bookman Old Style"/>
        </w:rPr>
        <w:t xml:space="preserve"> </w:t>
      </w:r>
      <w:r w:rsidR="00124B3D">
        <w:rPr>
          <w:rFonts w:ascii="Bookman Old Style" w:hAnsi="Bookman Old Style"/>
        </w:rPr>
        <w:t>IPOs tend to have positive initial returns</w:t>
      </w:r>
      <w:r>
        <w:rPr>
          <w:rFonts w:ascii="Bookman Old Style" w:hAnsi="Bookman Old Style"/>
        </w:rPr>
        <w:t xml:space="preserve"> but </w:t>
      </w:r>
      <w:r w:rsidR="00124B3D">
        <w:rPr>
          <w:rFonts w:ascii="Bookman Old Style" w:hAnsi="Bookman Old Style"/>
        </w:rPr>
        <w:t>a significant fraction of them have price drops.</w:t>
      </w:r>
    </w:p>
    <w:p w14:paraId="721F2B5A" w14:textId="77777777" w:rsidR="00124B3D" w:rsidRDefault="00124B3D" w:rsidP="006222B0">
      <w:pPr>
        <w:spacing w:after="0" w:line="240" w:lineRule="auto"/>
        <w:jc w:val="both"/>
        <w:rPr>
          <w:rFonts w:ascii="Bookman Old Style" w:hAnsi="Bookman Old Style"/>
        </w:rPr>
      </w:pPr>
    </w:p>
    <w:p w14:paraId="2AFB27B3" w14:textId="77777777" w:rsidR="00D54F77" w:rsidRDefault="00D54F77" w:rsidP="006222B0">
      <w:pPr>
        <w:spacing w:after="0" w:line="240" w:lineRule="auto"/>
        <w:jc w:val="both"/>
        <w:rPr>
          <w:rFonts w:ascii="Bookman Old Style" w:hAnsi="Bookman Old Style"/>
        </w:rPr>
      </w:pPr>
    </w:p>
    <w:p w14:paraId="135D1B98" w14:textId="34D4BA46" w:rsidR="00124B3D" w:rsidRDefault="00D54F77" w:rsidP="006222B0">
      <w:pPr>
        <w:spacing w:after="0" w:line="240" w:lineRule="auto"/>
        <w:jc w:val="both"/>
        <w:rPr>
          <w:rFonts w:ascii="Bookman Old Style" w:hAnsi="Bookman Old Style"/>
        </w:rPr>
      </w:pPr>
      <w:r>
        <w:rPr>
          <w:rFonts w:ascii="Bookman Old Style" w:hAnsi="Bookman Old Style"/>
        </w:rPr>
        <w:t>#3 - W</w:t>
      </w:r>
      <w:r w:rsidR="00124B3D">
        <w:rPr>
          <w:rFonts w:ascii="Bookman Old Style" w:hAnsi="Bookman Old Style"/>
        </w:rPr>
        <w:t>hen the price is too low, the issue if often “oversubscribed”, meaning investors won’t be able to buy all the shares they want and underwriters will allocate the shares among investors.</w:t>
      </w:r>
    </w:p>
    <w:p w14:paraId="5BD21AF2" w14:textId="77777777" w:rsidR="00124B3D" w:rsidRDefault="00124B3D" w:rsidP="006222B0">
      <w:pPr>
        <w:spacing w:after="0" w:line="240" w:lineRule="auto"/>
        <w:jc w:val="both"/>
        <w:rPr>
          <w:rFonts w:ascii="Bookman Old Style" w:hAnsi="Bookman Old Style"/>
        </w:rPr>
      </w:pPr>
    </w:p>
    <w:p w14:paraId="665458C9" w14:textId="3DDFE125" w:rsidR="00124B3D" w:rsidRDefault="006B0B3E" w:rsidP="006222B0">
      <w:pPr>
        <w:spacing w:after="0" w:line="240" w:lineRule="auto"/>
        <w:jc w:val="both"/>
        <w:rPr>
          <w:rFonts w:ascii="Bookman Old Style" w:hAnsi="Bookman Old Style"/>
        </w:rPr>
      </w:pPr>
      <w:r>
        <w:rPr>
          <w:rFonts w:ascii="Bookman Old Style" w:hAnsi="Bookman Old Style"/>
        </w:rPr>
        <w:t>The average investor will find it difficult to get shares in a “successful” offering (one where the price increases) because there won’t be enough shares to go around. On the other hand, an investor blindly submitting orders for IPOs tends to get more shares in issues that go down in price.</w:t>
      </w:r>
    </w:p>
    <w:p w14:paraId="1BC0FCA6" w14:textId="77777777" w:rsidR="006222B0" w:rsidRDefault="006222B0" w:rsidP="006222B0">
      <w:pPr>
        <w:spacing w:after="0" w:line="240" w:lineRule="auto"/>
        <w:jc w:val="both"/>
        <w:rPr>
          <w:rFonts w:ascii="Bookman Old Style" w:hAnsi="Bookman Old Style"/>
        </w:rPr>
      </w:pPr>
    </w:p>
    <w:tbl>
      <w:tblPr>
        <w:tblStyle w:val="TableGrid"/>
        <w:tblW w:w="0" w:type="auto"/>
        <w:tblBorders>
          <w:top w:val="wave" w:sz="6" w:space="0" w:color="auto"/>
          <w:left w:val="wave" w:sz="6" w:space="0" w:color="auto"/>
          <w:bottom w:val="wave" w:sz="6" w:space="0" w:color="auto"/>
          <w:right w:val="wave" w:sz="6" w:space="0" w:color="auto"/>
          <w:insideH w:val="none" w:sz="0" w:space="0" w:color="auto"/>
          <w:insideV w:val="none" w:sz="0" w:space="0" w:color="auto"/>
        </w:tblBorders>
        <w:tblLook w:val="04A0" w:firstRow="1" w:lastRow="0" w:firstColumn="1" w:lastColumn="0" w:noHBand="0" w:noVBand="1"/>
      </w:tblPr>
      <w:tblGrid>
        <w:gridCol w:w="9576"/>
      </w:tblGrid>
      <w:tr w:rsidR="006222B0" w14:paraId="1CC22599" w14:textId="77777777" w:rsidTr="006222B0">
        <w:tc>
          <w:tcPr>
            <w:tcW w:w="9576" w:type="dxa"/>
          </w:tcPr>
          <w:p w14:paraId="49471159" w14:textId="77777777" w:rsidR="006222B0" w:rsidRDefault="006222B0" w:rsidP="006222B0">
            <w:pPr>
              <w:jc w:val="both"/>
              <w:rPr>
                <w:rFonts w:ascii="Bookman Old Style" w:hAnsi="Bookman Old Style"/>
              </w:rPr>
            </w:pPr>
            <w:r>
              <w:rPr>
                <w:rFonts w:ascii="Bookman Old Style" w:hAnsi="Bookman Old Style"/>
                <w:i/>
                <w:u w:val="single"/>
              </w:rPr>
              <w:t>Ex.:</w:t>
            </w:r>
          </w:p>
          <w:p w14:paraId="46716856" w14:textId="77777777" w:rsidR="006222B0" w:rsidRDefault="006222B0" w:rsidP="006222B0">
            <w:pPr>
              <w:jc w:val="both"/>
              <w:rPr>
                <w:rFonts w:ascii="Bookman Old Style" w:hAnsi="Bookman Old Style"/>
              </w:rPr>
            </w:pPr>
            <w:r>
              <w:rPr>
                <w:rFonts w:ascii="Bookman Old Style" w:hAnsi="Bookman Old Style"/>
              </w:rPr>
              <w:t>Smith knows very well what the Bonanza Corporation is worth when its shares are offered. She’s confident that their shares are underpriced.</w:t>
            </w:r>
          </w:p>
          <w:p w14:paraId="07BC7F64" w14:textId="77777777" w:rsidR="006222B0" w:rsidRDefault="006222B0" w:rsidP="006222B0">
            <w:pPr>
              <w:jc w:val="both"/>
              <w:rPr>
                <w:rFonts w:ascii="Bookman Old Style" w:hAnsi="Bookman Old Style"/>
              </w:rPr>
            </w:pPr>
          </w:p>
          <w:p w14:paraId="656FD221" w14:textId="77777777" w:rsidR="006222B0" w:rsidRDefault="006222B0" w:rsidP="006222B0">
            <w:pPr>
              <w:jc w:val="both"/>
              <w:rPr>
                <w:rFonts w:ascii="Bookman Old Style" w:hAnsi="Bookman Old Style"/>
              </w:rPr>
            </w:pPr>
            <w:r>
              <w:rPr>
                <w:rFonts w:ascii="Bookman Old Style" w:hAnsi="Bookman Old Style"/>
              </w:rPr>
              <w:t xml:space="preserve">Jones knows only that prices usually rise a month after an IPO. With this information, Jones decides to buy 1000 shares of every IPO. Does he earn an abnormally high return on the initial offering? NO. At least one </w:t>
            </w:r>
            <w:proofErr w:type="gramStart"/>
            <w:r>
              <w:rPr>
                <w:rFonts w:ascii="Bookman Old Style" w:hAnsi="Bookman Old Style"/>
              </w:rPr>
              <w:t>answer</w:t>
            </w:r>
            <w:proofErr w:type="gramEnd"/>
            <w:r>
              <w:rPr>
                <w:rFonts w:ascii="Bookman Old Style" w:hAnsi="Bookman Old Style"/>
              </w:rPr>
              <w:t xml:space="preserve"> as to why is Smith.</w:t>
            </w:r>
          </w:p>
          <w:p w14:paraId="0DDD1BAD" w14:textId="77777777" w:rsidR="006222B0" w:rsidRDefault="006222B0" w:rsidP="006222B0">
            <w:pPr>
              <w:jc w:val="both"/>
              <w:rPr>
                <w:rFonts w:ascii="Bookman Old Style" w:hAnsi="Bookman Old Style"/>
              </w:rPr>
            </w:pPr>
          </w:p>
          <w:p w14:paraId="767B6D99" w14:textId="77777777" w:rsidR="006222B0" w:rsidRDefault="006222B0" w:rsidP="006222B0">
            <w:pPr>
              <w:jc w:val="both"/>
              <w:rPr>
                <w:rFonts w:ascii="Bookman Old Style" w:hAnsi="Bookman Old Style"/>
              </w:rPr>
            </w:pPr>
            <w:r>
              <w:rPr>
                <w:rFonts w:ascii="Bookman Old Style" w:hAnsi="Bookman Old Style"/>
              </w:rPr>
              <w:t>Knowing about the Bonanza Corporation, Smith invests all her money in its IPO. When the issue is oversubscribed, the underwriters have to somehow allocate the shares between Smith &amp; Jones.</w:t>
            </w:r>
          </w:p>
          <w:p w14:paraId="782877CC" w14:textId="77777777" w:rsidR="006222B0" w:rsidRDefault="006222B0" w:rsidP="006222B0">
            <w:pPr>
              <w:jc w:val="both"/>
              <w:rPr>
                <w:rFonts w:ascii="Bookman Old Style" w:hAnsi="Bookman Old Style"/>
              </w:rPr>
            </w:pPr>
          </w:p>
          <w:p w14:paraId="4388B8A2" w14:textId="77777777" w:rsidR="006222B0" w:rsidRDefault="006222B0" w:rsidP="006222B0">
            <w:pPr>
              <w:jc w:val="both"/>
              <w:rPr>
                <w:rFonts w:ascii="Bookman Old Style" w:hAnsi="Bookman Old Style"/>
              </w:rPr>
            </w:pPr>
            <w:r>
              <w:rPr>
                <w:rFonts w:ascii="Bookman Old Style" w:hAnsi="Bookman Old Style"/>
              </w:rPr>
              <w:t>The net result is that when an issue is underpriced, Jones doesn’t get to buy as much of it as he wanted.</w:t>
            </w:r>
          </w:p>
          <w:p w14:paraId="6F1FEB80" w14:textId="77777777" w:rsidR="006222B0" w:rsidRDefault="006222B0" w:rsidP="006222B0">
            <w:pPr>
              <w:jc w:val="both"/>
              <w:rPr>
                <w:rFonts w:ascii="Bookman Old Style" w:hAnsi="Bookman Old Style"/>
              </w:rPr>
            </w:pPr>
          </w:p>
          <w:p w14:paraId="234EAFFC" w14:textId="612FB03D" w:rsidR="006222B0" w:rsidRDefault="006222B0" w:rsidP="006222B0">
            <w:pPr>
              <w:jc w:val="both"/>
              <w:rPr>
                <w:rFonts w:ascii="Bookman Old Style" w:hAnsi="Bookman Old Style"/>
              </w:rPr>
            </w:pPr>
            <w:r>
              <w:rPr>
                <w:rFonts w:ascii="Bookman Old Style" w:hAnsi="Bookman Old Style"/>
              </w:rPr>
              <w:t>Smith also knows that the Blue Sky Corporation IPO is overpriced so she avoids it altogether and Jones ends up with a full 1000 shares.</w:t>
            </w:r>
          </w:p>
        </w:tc>
      </w:tr>
    </w:tbl>
    <w:p w14:paraId="4E167987" w14:textId="2EF794F5" w:rsidR="006222B0" w:rsidRDefault="006222B0" w:rsidP="006222B0">
      <w:pPr>
        <w:spacing w:after="0" w:line="240" w:lineRule="auto"/>
        <w:jc w:val="both"/>
        <w:rPr>
          <w:rFonts w:ascii="Bookman Old Style" w:hAnsi="Bookman Old Style"/>
        </w:rPr>
      </w:pPr>
      <w:r>
        <w:rPr>
          <w:rFonts w:ascii="Bookman Old Style" w:hAnsi="Bookman Old Style"/>
        </w:rPr>
        <w:lastRenderedPageBreak/>
        <w:t>So, Jones gets fewer shares when more knowledgeable investors swarm to buy an underpriced issue and gets all he wants when the smart money avoids the issue.</w:t>
      </w:r>
    </w:p>
    <w:p w14:paraId="4C3EC1F0" w14:textId="77777777" w:rsidR="006222B0" w:rsidRDefault="006222B0" w:rsidP="006222B0">
      <w:pPr>
        <w:spacing w:after="0" w:line="240" w:lineRule="auto"/>
        <w:jc w:val="both"/>
        <w:rPr>
          <w:rFonts w:ascii="Bookman Old Style" w:hAnsi="Bookman Old Style"/>
        </w:rPr>
      </w:pPr>
    </w:p>
    <w:p w14:paraId="69B249CF" w14:textId="79CBAF98" w:rsidR="006222B0" w:rsidRDefault="006222B0" w:rsidP="006222B0">
      <w:pPr>
        <w:spacing w:after="0" w:line="240" w:lineRule="auto"/>
        <w:jc w:val="both"/>
        <w:rPr>
          <w:rFonts w:ascii="Bookman Old Style" w:hAnsi="Bookman Old Style"/>
        </w:rPr>
      </w:pPr>
      <w:r>
        <w:rPr>
          <w:rFonts w:ascii="Bookman Old Style" w:hAnsi="Bookman Old Style"/>
        </w:rPr>
        <w:t>This is an example of “winner’s curse” and it’s another reason why IPOs have a large average return.</w:t>
      </w:r>
      <w:r w:rsidR="00D54F77">
        <w:rPr>
          <w:rFonts w:ascii="Bookman Old Style" w:hAnsi="Bookman Old Style"/>
        </w:rPr>
        <w:t xml:space="preserve"> When an investor “wins” and gets the entire allocation, it could be because those who knew better avoided the issue.</w:t>
      </w:r>
    </w:p>
    <w:p w14:paraId="5531FD35" w14:textId="77777777" w:rsidR="00D54F77" w:rsidRDefault="00D54F77" w:rsidP="006222B0">
      <w:pPr>
        <w:spacing w:after="0" w:line="240" w:lineRule="auto"/>
        <w:jc w:val="both"/>
        <w:rPr>
          <w:rFonts w:ascii="Bookman Old Style" w:hAnsi="Bookman Old Style"/>
        </w:rPr>
      </w:pPr>
    </w:p>
    <w:p w14:paraId="161C5627" w14:textId="6F2CB174" w:rsidR="00D54F77" w:rsidRDefault="00D54F77" w:rsidP="006222B0">
      <w:pPr>
        <w:spacing w:after="0" w:line="240" w:lineRule="auto"/>
        <w:jc w:val="both"/>
        <w:rPr>
          <w:rFonts w:ascii="Bookman Old Style" w:hAnsi="Bookman Old Style"/>
        </w:rPr>
      </w:pPr>
      <w:r>
        <w:rPr>
          <w:rFonts w:ascii="Bookman Old Style" w:hAnsi="Bookman Old Style"/>
        </w:rPr>
        <w:t>The only way underwriters can counteract the winner’s curse and attract average investors is to underprice new issues (on average) so that the average investor can still make a profit.</w:t>
      </w:r>
    </w:p>
    <w:p w14:paraId="2BD6EC1C" w14:textId="77777777" w:rsidR="00D54F77" w:rsidRDefault="00D54F77" w:rsidP="006222B0">
      <w:pPr>
        <w:spacing w:after="0" w:line="240" w:lineRule="auto"/>
        <w:jc w:val="both"/>
        <w:rPr>
          <w:rFonts w:ascii="Bookman Old Style" w:hAnsi="Bookman Old Style"/>
        </w:rPr>
      </w:pPr>
    </w:p>
    <w:p w14:paraId="649C41BE" w14:textId="77777777" w:rsidR="00D54F77" w:rsidRDefault="00D54F77" w:rsidP="006222B0">
      <w:pPr>
        <w:spacing w:after="0" w:line="240" w:lineRule="auto"/>
        <w:jc w:val="both"/>
        <w:rPr>
          <w:rFonts w:ascii="Bookman Old Style" w:hAnsi="Bookman Old Style"/>
        </w:rPr>
      </w:pPr>
    </w:p>
    <w:p w14:paraId="20A0B3B1" w14:textId="5FFAF0C1" w:rsidR="00D54F77" w:rsidRDefault="00D54F77" w:rsidP="006222B0">
      <w:pPr>
        <w:spacing w:after="0" w:line="240" w:lineRule="auto"/>
        <w:jc w:val="both"/>
        <w:rPr>
          <w:rFonts w:ascii="Bookman Old Style" w:hAnsi="Bookman Old Style"/>
        </w:rPr>
      </w:pPr>
      <w:r>
        <w:rPr>
          <w:rFonts w:ascii="Bookman Old Style" w:hAnsi="Bookman Old Style"/>
        </w:rPr>
        <w:t xml:space="preserve">#4 - Another reason for underpricing is that it acts as a kind of insurance for the investment banks. Angry customers could sue an investment bank if it consistently overpriced securities. </w:t>
      </w:r>
      <w:proofErr w:type="gramStart"/>
      <w:r>
        <w:rPr>
          <w:rFonts w:ascii="Bookman Old Style" w:hAnsi="Bookman Old Style"/>
        </w:rPr>
        <w:t>Underpricing guarantees that at least on average, customers will come out ahead.</w:t>
      </w:r>
      <w:proofErr w:type="gramEnd"/>
    </w:p>
    <w:p w14:paraId="3987A884" w14:textId="77777777" w:rsidR="00D54F77" w:rsidRDefault="00D54F77" w:rsidP="006222B0">
      <w:pPr>
        <w:spacing w:after="0" w:line="240" w:lineRule="auto"/>
        <w:jc w:val="both"/>
        <w:rPr>
          <w:rFonts w:ascii="Bookman Old Style" w:hAnsi="Bookman Old Style"/>
        </w:rPr>
      </w:pPr>
    </w:p>
    <w:p w14:paraId="60C7D847" w14:textId="77777777" w:rsidR="00D54F77" w:rsidRDefault="00D54F77" w:rsidP="006222B0">
      <w:pPr>
        <w:spacing w:after="0" w:line="240" w:lineRule="auto"/>
        <w:jc w:val="both"/>
        <w:rPr>
          <w:rFonts w:ascii="Bookman Old Style" w:hAnsi="Bookman Old Style"/>
        </w:rPr>
      </w:pPr>
    </w:p>
    <w:p w14:paraId="774BAFDD" w14:textId="5F3CAD35" w:rsidR="00D54F77" w:rsidRDefault="00D54F77" w:rsidP="006222B0">
      <w:pPr>
        <w:spacing w:after="0" w:line="240" w:lineRule="auto"/>
        <w:jc w:val="both"/>
        <w:rPr>
          <w:rFonts w:ascii="Bookman Old Style" w:hAnsi="Bookman Old Style"/>
        </w:rPr>
      </w:pPr>
      <w:r>
        <w:rPr>
          <w:rFonts w:ascii="Bookman Old Style" w:hAnsi="Bookman Old Style"/>
        </w:rPr>
        <w:t>#5 - A final reason for underpricing is that before the offer price is established, investment banks talk to big institutional investors to gauge the level of interest in the stock and to gather opinions about a reasonable price. Underpricing is a way for the bank to rewards these investors for being truthful about what they think the stock is worth and the number of shared they’d like to buy.</w:t>
      </w:r>
    </w:p>
    <w:p w14:paraId="6ADA996C" w14:textId="77777777" w:rsidR="00D54F77" w:rsidRDefault="00D54F77" w:rsidP="006222B0">
      <w:pPr>
        <w:spacing w:after="0" w:line="240" w:lineRule="auto"/>
        <w:jc w:val="both"/>
        <w:rPr>
          <w:rFonts w:ascii="Bookman Old Style" w:hAnsi="Bookman Old Style"/>
        </w:rPr>
      </w:pPr>
    </w:p>
    <w:p w14:paraId="35CDB687" w14:textId="77777777" w:rsidR="00D54F77" w:rsidRDefault="00D54F77" w:rsidP="006222B0">
      <w:pPr>
        <w:spacing w:after="0" w:line="240" w:lineRule="auto"/>
        <w:jc w:val="both"/>
        <w:rPr>
          <w:rFonts w:ascii="Bookman Old Style" w:hAnsi="Bookman Old Style"/>
        </w:rPr>
      </w:pPr>
    </w:p>
    <w:p w14:paraId="2FE01E94" w14:textId="4401DCD2" w:rsidR="00D54F77" w:rsidRDefault="00D54F77" w:rsidP="00D54F77">
      <w:pPr>
        <w:spacing w:after="0" w:line="240" w:lineRule="auto"/>
        <w:jc w:val="center"/>
        <w:rPr>
          <w:rFonts w:ascii="Bookman Old Style" w:hAnsi="Bookman Old Style"/>
          <w:b/>
          <w:u w:val="single"/>
        </w:rPr>
      </w:pPr>
      <w:r>
        <w:rPr>
          <w:rFonts w:ascii="Bookman Old Style" w:hAnsi="Bookman Old Style"/>
          <w:b/>
          <w:u w:val="single"/>
        </w:rPr>
        <w:t>NEW EQUITY SALES &amp; THE VALUE OF THE FIRM</w:t>
      </w:r>
    </w:p>
    <w:p w14:paraId="168141F4" w14:textId="77777777" w:rsidR="00D54F77" w:rsidRDefault="00D54F77" w:rsidP="00D54F77">
      <w:pPr>
        <w:spacing w:after="0" w:line="240" w:lineRule="auto"/>
        <w:jc w:val="center"/>
        <w:rPr>
          <w:rFonts w:ascii="Bookman Old Style" w:hAnsi="Bookman Old Style"/>
          <w:b/>
          <w:u w:val="single"/>
        </w:rPr>
      </w:pPr>
    </w:p>
    <w:p w14:paraId="77CBE310" w14:textId="2C05F278" w:rsidR="00D54F77" w:rsidRDefault="00D54F77" w:rsidP="00D54F77">
      <w:pPr>
        <w:spacing w:after="0" w:line="240" w:lineRule="auto"/>
        <w:jc w:val="both"/>
        <w:rPr>
          <w:rFonts w:ascii="Bookman Old Style" w:hAnsi="Bookman Old Style"/>
        </w:rPr>
      </w:pPr>
      <w:r>
        <w:rPr>
          <w:rFonts w:ascii="Bookman Old Style" w:hAnsi="Bookman Old Style"/>
        </w:rPr>
        <w:t>It’s reasonable to think that firms arrange new long-term financing after positive NPV projects are put together. As a result, when the announcement of external financing is made, the firm’s market value should go up. But this isn’t what happens.</w:t>
      </w:r>
    </w:p>
    <w:p w14:paraId="336B075B" w14:textId="77777777" w:rsidR="00D54F77" w:rsidRDefault="00D54F77" w:rsidP="00D54F77">
      <w:pPr>
        <w:spacing w:after="0" w:line="240" w:lineRule="auto"/>
        <w:jc w:val="both"/>
        <w:rPr>
          <w:rFonts w:ascii="Bookman Old Style" w:hAnsi="Bookman Old Style"/>
        </w:rPr>
      </w:pPr>
    </w:p>
    <w:p w14:paraId="7B33B936" w14:textId="46FC74A2" w:rsidR="00D54F77" w:rsidRDefault="00D54F77" w:rsidP="00D54F77">
      <w:pPr>
        <w:spacing w:after="0" w:line="240" w:lineRule="auto"/>
        <w:jc w:val="both"/>
        <w:rPr>
          <w:rFonts w:ascii="Bookman Old Style" w:hAnsi="Bookman Old Style"/>
        </w:rPr>
      </w:pPr>
      <w:r>
        <w:rPr>
          <w:rFonts w:ascii="Bookman Old Style" w:hAnsi="Bookman Old Style"/>
        </w:rPr>
        <w:t xml:space="preserve">Stock prices usually decline after the announcement of a new equity issue and they tend to rise following a debt announcement. </w:t>
      </w:r>
    </w:p>
    <w:p w14:paraId="437051BC" w14:textId="77777777" w:rsidR="00D54F77" w:rsidRDefault="00D54F77" w:rsidP="00D54F77">
      <w:pPr>
        <w:spacing w:after="0" w:line="240" w:lineRule="auto"/>
        <w:jc w:val="both"/>
        <w:rPr>
          <w:rFonts w:ascii="Bookman Old Style" w:hAnsi="Bookman Old Style"/>
        </w:rPr>
      </w:pPr>
    </w:p>
    <w:p w14:paraId="5E1354CC" w14:textId="3EDE1757" w:rsidR="00D54F77" w:rsidRDefault="00D54F77" w:rsidP="00D54F77">
      <w:pPr>
        <w:spacing w:after="0" w:line="240" w:lineRule="auto"/>
        <w:jc w:val="both"/>
        <w:rPr>
          <w:rFonts w:ascii="Bookman Old Style" w:hAnsi="Bookman Old Style"/>
        </w:rPr>
      </w:pPr>
      <w:r>
        <w:rPr>
          <w:rFonts w:ascii="Bookman Old Style" w:hAnsi="Bookman Old Style"/>
        </w:rPr>
        <w:t>A number of researchers have studied this issue and some reasons for this strange result include:</w:t>
      </w:r>
    </w:p>
    <w:p w14:paraId="26A9102B" w14:textId="77777777" w:rsidR="00D54F77" w:rsidRDefault="00D54F77" w:rsidP="00D54F77">
      <w:pPr>
        <w:spacing w:after="0" w:line="240" w:lineRule="auto"/>
        <w:jc w:val="both"/>
        <w:rPr>
          <w:rFonts w:ascii="Bookman Old Style" w:hAnsi="Bookman Old Style"/>
        </w:rPr>
      </w:pPr>
    </w:p>
    <w:p w14:paraId="693236A6" w14:textId="1938DF26" w:rsidR="00D54F77" w:rsidRPr="00D54F77" w:rsidRDefault="00D54F77" w:rsidP="00D54F77">
      <w:pPr>
        <w:pStyle w:val="ListParagraph"/>
        <w:numPr>
          <w:ilvl w:val="0"/>
          <w:numId w:val="21"/>
        </w:numPr>
        <w:spacing w:after="0" w:line="240" w:lineRule="auto"/>
        <w:jc w:val="both"/>
        <w:rPr>
          <w:rFonts w:ascii="Bookman Old Style" w:hAnsi="Bookman Old Style"/>
        </w:rPr>
      </w:pPr>
      <w:r w:rsidRPr="00D54F77">
        <w:rPr>
          <w:rFonts w:ascii="Bookman Old Style" w:hAnsi="Bookman Old Style"/>
          <w:b/>
          <w:i/>
        </w:rPr>
        <w:t>Managerial Information</w:t>
      </w:r>
      <w:r w:rsidRPr="00D54F77">
        <w:rPr>
          <w:rFonts w:ascii="Bookman Old Style" w:hAnsi="Bookman Old Style"/>
        </w:rPr>
        <w:t xml:space="preserve"> – If management has better information about the market value of the firm, it might know when the firm is overvalued. If it does, it tries to issue new shares of stock when the market value exceeds the correct value.</w:t>
      </w:r>
    </w:p>
    <w:p w14:paraId="0D43B151" w14:textId="77777777" w:rsidR="00D54F77" w:rsidRDefault="00D54F77" w:rsidP="00D54F77">
      <w:pPr>
        <w:pStyle w:val="ListParagraph"/>
        <w:spacing w:after="0" w:line="240" w:lineRule="auto"/>
        <w:jc w:val="both"/>
        <w:rPr>
          <w:rFonts w:ascii="Bookman Old Style" w:hAnsi="Bookman Old Style"/>
          <w:b/>
          <w:i/>
        </w:rPr>
      </w:pPr>
    </w:p>
    <w:p w14:paraId="5232FE25" w14:textId="5F16BDA7" w:rsidR="00D54F77" w:rsidRDefault="00D54F77" w:rsidP="00D54F77">
      <w:pPr>
        <w:pStyle w:val="ListParagraph"/>
        <w:spacing w:after="0" w:line="240" w:lineRule="auto"/>
        <w:jc w:val="both"/>
        <w:rPr>
          <w:rFonts w:ascii="Bookman Old Style" w:hAnsi="Bookman Old Style"/>
        </w:rPr>
      </w:pPr>
      <w:r>
        <w:rPr>
          <w:rFonts w:ascii="Bookman Old Style" w:hAnsi="Bookman Old Style"/>
        </w:rPr>
        <w:t>This benefits existing shareholders – but, potential new shareholders aren’t stupid and they anticipate this superior information and discount it in lower market prices at the new issue date.</w:t>
      </w:r>
    </w:p>
    <w:p w14:paraId="1290FBC0" w14:textId="77777777" w:rsidR="00D54F77" w:rsidRDefault="00D54F77" w:rsidP="00D54F77">
      <w:pPr>
        <w:spacing w:after="0" w:line="240" w:lineRule="auto"/>
        <w:jc w:val="both"/>
        <w:rPr>
          <w:rFonts w:ascii="Bookman Old Style" w:hAnsi="Bookman Old Style"/>
        </w:rPr>
      </w:pPr>
    </w:p>
    <w:p w14:paraId="7D0C21F4" w14:textId="21FF2258" w:rsidR="00D54F77" w:rsidRPr="00D54F77" w:rsidRDefault="00D54F77" w:rsidP="00D54F77">
      <w:pPr>
        <w:pStyle w:val="ListParagraph"/>
        <w:numPr>
          <w:ilvl w:val="0"/>
          <w:numId w:val="21"/>
        </w:numPr>
        <w:spacing w:after="0" w:line="240" w:lineRule="auto"/>
        <w:jc w:val="both"/>
        <w:rPr>
          <w:rFonts w:ascii="Bookman Old Style" w:hAnsi="Bookman Old Style"/>
        </w:rPr>
      </w:pPr>
      <w:r w:rsidRPr="00D54F77">
        <w:rPr>
          <w:rFonts w:ascii="Bookman Old Style" w:hAnsi="Bookman Old Style"/>
          <w:b/>
          <w:i/>
        </w:rPr>
        <w:t>Debt Usage</w:t>
      </w:r>
      <w:r w:rsidRPr="00D54F77">
        <w:rPr>
          <w:rFonts w:ascii="Bookman Old Style" w:hAnsi="Bookman Old Style"/>
        </w:rPr>
        <w:t xml:space="preserve"> - Issuing new equity might reveal that the company has too much debt or too little liquidity. One version of this argument is that the equity issue is a bad signal to the market. </w:t>
      </w:r>
    </w:p>
    <w:p w14:paraId="546334C8" w14:textId="77777777" w:rsidR="00D54F77" w:rsidRDefault="00D54F77" w:rsidP="00D54F77">
      <w:pPr>
        <w:pStyle w:val="ListParagraph"/>
        <w:spacing w:after="0" w:line="240" w:lineRule="auto"/>
        <w:jc w:val="both"/>
        <w:rPr>
          <w:rFonts w:ascii="Bookman Old Style" w:hAnsi="Bookman Old Style"/>
          <w:b/>
          <w:i/>
        </w:rPr>
      </w:pPr>
    </w:p>
    <w:p w14:paraId="622B64F4" w14:textId="25B15371" w:rsidR="00D54F77" w:rsidRDefault="00D54F77" w:rsidP="00D54F77">
      <w:pPr>
        <w:pStyle w:val="ListParagraph"/>
        <w:spacing w:after="0" w:line="240" w:lineRule="auto"/>
        <w:jc w:val="both"/>
        <w:rPr>
          <w:rFonts w:ascii="Bookman Old Style" w:hAnsi="Bookman Old Style"/>
        </w:rPr>
      </w:pPr>
      <w:r>
        <w:rPr>
          <w:rFonts w:ascii="Bookman Old Style" w:hAnsi="Bookman Old Style"/>
        </w:rPr>
        <w:lastRenderedPageBreak/>
        <w:t>After all, if the new projects were favorable, why would the firm let new shareholders in on them?</w:t>
      </w:r>
    </w:p>
    <w:p w14:paraId="35CCDE1A" w14:textId="77777777" w:rsidR="00D54F77" w:rsidRDefault="00D54F77" w:rsidP="00D54F77">
      <w:pPr>
        <w:pStyle w:val="ListParagraph"/>
        <w:spacing w:after="0" w:line="240" w:lineRule="auto"/>
        <w:jc w:val="both"/>
        <w:rPr>
          <w:rFonts w:ascii="Bookman Old Style" w:hAnsi="Bookman Old Style"/>
        </w:rPr>
      </w:pPr>
    </w:p>
    <w:p w14:paraId="090E7850" w14:textId="2773F6B9" w:rsidR="00D54F77" w:rsidRDefault="00D54F77" w:rsidP="00D54F77">
      <w:pPr>
        <w:pStyle w:val="ListParagraph"/>
        <w:spacing w:after="0" w:line="240" w:lineRule="auto"/>
        <w:jc w:val="both"/>
        <w:rPr>
          <w:rFonts w:ascii="Bookman Old Style" w:hAnsi="Bookman Old Style"/>
        </w:rPr>
      </w:pPr>
      <w:r>
        <w:rPr>
          <w:rFonts w:ascii="Bookman Old Style" w:hAnsi="Bookman Old Style"/>
        </w:rPr>
        <w:t>In IPOs it’s regarded as a positive signal when the original owners keep larger amounts of stock for themselves. Taking this argument to its limit – the firm could just issue debt and let the existing shareholders have all the gain.</w:t>
      </w:r>
    </w:p>
    <w:p w14:paraId="26CCE2E3" w14:textId="77777777" w:rsidR="00D54F77" w:rsidRDefault="00D54F77" w:rsidP="00D54F77">
      <w:pPr>
        <w:spacing w:after="0" w:line="240" w:lineRule="auto"/>
        <w:jc w:val="both"/>
        <w:rPr>
          <w:rFonts w:ascii="Bookman Old Style" w:hAnsi="Bookman Old Style"/>
        </w:rPr>
      </w:pPr>
    </w:p>
    <w:p w14:paraId="669A8C3A" w14:textId="181689D6" w:rsidR="00D54F77" w:rsidRPr="00D54F77" w:rsidRDefault="00D54F77" w:rsidP="00D54F77">
      <w:pPr>
        <w:pStyle w:val="ListParagraph"/>
        <w:numPr>
          <w:ilvl w:val="0"/>
          <w:numId w:val="21"/>
        </w:numPr>
        <w:spacing w:after="0" w:line="240" w:lineRule="auto"/>
        <w:jc w:val="both"/>
        <w:rPr>
          <w:rFonts w:ascii="Bookman Old Style" w:hAnsi="Bookman Old Style"/>
        </w:rPr>
      </w:pPr>
      <w:r w:rsidRPr="00D54F77">
        <w:rPr>
          <w:rFonts w:ascii="Bookman Old Style" w:hAnsi="Bookman Old Style"/>
          <w:b/>
          <w:i/>
        </w:rPr>
        <w:t>Issue Costs</w:t>
      </w:r>
      <w:r w:rsidRPr="00D54F77">
        <w:rPr>
          <w:rFonts w:ascii="Bookman Old Style" w:hAnsi="Bookman Old Style"/>
        </w:rPr>
        <w:t xml:space="preserve"> – There are substantial costs associated with selling securities.</w:t>
      </w:r>
    </w:p>
    <w:p w14:paraId="2CD241D8" w14:textId="77777777" w:rsidR="00D54F77" w:rsidRDefault="00D54F77" w:rsidP="00D54F77">
      <w:pPr>
        <w:spacing w:after="0" w:line="240" w:lineRule="auto"/>
        <w:jc w:val="both"/>
        <w:rPr>
          <w:rFonts w:ascii="Bookman Old Style" w:hAnsi="Bookman Old Style"/>
        </w:rPr>
      </w:pPr>
    </w:p>
    <w:p w14:paraId="2C61CA8D" w14:textId="77777777" w:rsidR="00D54F77" w:rsidRDefault="00D54F77" w:rsidP="00D54F77">
      <w:pPr>
        <w:spacing w:after="0" w:line="240" w:lineRule="auto"/>
        <w:jc w:val="both"/>
        <w:rPr>
          <w:rFonts w:ascii="Bookman Old Style" w:hAnsi="Bookman Old Style"/>
        </w:rPr>
      </w:pPr>
    </w:p>
    <w:p w14:paraId="3EA45F9C" w14:textId="42F4BC16" w:rsidR="00D54F77" w:rsidRDefault="00D54F77" w:rsidP="00D54F77">
      <w:pPr>
        <w:spacing w:after="0" w:line="240" w:lineRule="auto"/>
        <w:jc w:val="both"/>
        <w:rPr>
          <w:rFonts w:ascii="Bookman Old Style" w:hAnsi="Bookman Old Style"/>
        </w:rPr>
      </w:pPr>
      <w:r>
        <w:rPr>
          <w:rFonts w:ascii="Bookman Old Style" w:hAnsi="Bookman Old Style"/>
          <w:b/>
          <w:u w:val="single"/>
        </w:rPr>
        <w:t>THE COST OF ISSUING SECURITIES</w:t>
      </w:r>
    </w:p>
    <w:p w14:paraId="41E07EB8" w14:textId="6B819AD1" w:rsidR="00D54F77" w:rsidRDefault="00697151" w:rsidP="00D54F77">
      <w:pPr>
        <w:spacing w:after="0" w:line="240" w:lineRule="auto"/>
        <w:jc w:val="both"/>
        <w:rPr>
          <w:rFonts w:ascii="Bookman Old Style" w:hAnsi="Bookman Old Style"/>
        </w:rPr>
      </w:pPr>
      <w:r>
        <w:rPr>
          <w:rFonts w:ascii="Bookman Old Style" w:hAnsi="Bookman Old Style"/>
        </w:rPr>
        <w:t>Issuing securities to the public isn’t free and the costs of different methods are important determinants of which method is used.</w:t>
      </w:r>
    </w:p>
    <w:p w14:paraId="7C01C8CF" w14:textId="77777777" w:rsidR="00697151" w:rsidRDefault="00697151" w:rsidP="00D54F77">
      <w:pPr>
        <w:spacing w:after="0" w:line="240" w:lineRule="auto"/>
        <w:jc w:val="both"/>
        <w:rPr>
          <w:rFonts w:ascii="Bookman Old Style" w:hAnsi="Bookman Old Style"/>
        </w:rPr>
      </w:pPr>
    </w:p>
    <w:p w14:paraId="661D3A3C" w14:textId="651187B4" w:rsidR="00697151" w:rsidRDefault="00697151" w:rsidP="00D54F77">
      <w:pPr>
        <w:spacing w:after="0" w:line="240" w:lineRule="auto"/>
        <w:jc w:val="both"/>
        <w:rPr>
          <w:rFonts w:ascii="Bookman Old Style" w:hAnsi="Bookman Old Style"/>
        </w:rPr>
      </w:pPr>
      <w:r>
        <w:rPr>
          <w:rFonts w:ascii="Bookman Old Style" w:hAnsi="Bookman Old Style"/>
        </w:rPr>
        <w:t xml:space="preserve">Costs associated with </w:t>
      </w:r>
      <w:r>
        <w:rPr>
          <w:rFonts w:ascii="Bookman Old Style" w:hAnsi="Bookman Old Style"/>
          <w:i/>
        </w:rPr>
        <w:t>floating</w:t>
      </w:r>
      <w:r>
        <w:rPr>
          <w:rFonts w:ascii="Bookman Old Style" w:hAnsi="Bookman Old Style"/>
        </w:rPr>
        <w:t xml:space="preserve"> a new issue are generically called </w:t>
      </w:r>
      <w:r>
        <w:rPr>
          <w:rFonts w:ascii="Bookman Old Style" w:hAnsi="Bookman Old Style"/>
          <w:b/>
          <w:i/>
        </w:rPr>
        <w:t>flotation costs</w:t>
      </w:r>
      <w:r>
        <w:rPr>
          <w:rFonts w:ascii="Bookman Old Style" w:hAnsi="Bookman Old Style"/>
        </w:rPr>
        <w:t xml:space="preserve"> – we take a closer look at flotation costs.</w:t>
      </w:r>
    </w:p>
    <w:p w14:paraId="4190A4DD" w14:textId="77777777" w:rsidR="00697151" w:rsidRDefault="00697151" w:rsidP="00D54F77">
      <w:pPr>
        <w:spacing w:after="0" w:line="240" w:lineRule="auto"/>
        <w:jc w:val="both"/>
        <w:rPr>
          <w:rFonts w:ascii="Bookman Old Style" w:hAnsi="Bookman Old Style"/>
        </w:rPr>
      </w:pPr>
    </w:p>
    <w:p w14:paraId="6C8FE0ED" w14:textId="40C77C69" w:rsidR="00697151" w:rsidRDefault="00697151" w:rsidP="00D54F77">
      <w:pPr>
        <w:spacing w:after="0" w:line="240" w:lineRule="auto"/>
        <w:jc w:val="both"/>
        <w:rPr>
          <w:rFonts w:ascii="Bookman Old Style" w:hAnsi="Bookman Old Style"/>
        </w:rPr>
      </w:pPr>
      <w:r>
        <w:rPr>
          <w:rFonts w:ascii="Bookman Old Style" w:hAnsi="Bookman Old Style"/>
        </w:rPr>
        <w:t xml:space="preserve">The </w:t>
      </w:r>
      <w:proofErr w:type="gramStart"/>
      <w:r>
        <w:rPr>
          <w:rFonts w:ascii="Bookman Old Style" w:hAnsi="Bookman Old Style"/>
        </w:rPr>
        <w:t>costs of selling stock falls</w:t>
      </w:r>
      <w:proofErr w:type="gramEnd"/>
      <w:r>
        <w:rPr>
          <w:rFonts w:ascii="Bookman Old Style" w:hAnsi="Bookman Old Style"/>
        </w:rPr>
        <w:t xml:space="preserve"> into 6 categories:</w:t>
      </w:r>
    </w:p>
    <w:p w14:paraId="66B4CA73" w14:textId="77777777" w:rsidR="00697151" w:rsidRDefault="00697151" w:rsidP="00D54F77">
      <w:pPr>
        <w:spacing w:after="0" w:line="240" w:lineRule="auto"/>
        <w:jc w:val="both"/>
        <w:rPr>
          <w:rFonts w:ascii="Bookman Old Style" w:hAnsi="Bookman Old Style"/>
        </w:rPr>
      </w:pPr>
    </w:p>
    <w:tbl>
      <w:tblPr>
        <w:tblStyle w:val="TableGrid"/>
        <w:tblW w:w="0" w:type="auto"/>
        <w:tblLook w:val="04A0" w:firstRow="1" w:lastRow="0" w:firstColumn="1" w:lastColumn="0" w:noHBand="0" w:noVBand="1"/>
      </w:tblPr>
      <w:tblGrid>
        <w:gridCol w:w="3936"/>
        <w:gridCol w:w="5640"/>
      </w:tblGrid>
      <w:tr w:rsidR="00697151" w14:paraId="62C420B5" w14:textId="77777777" w:rsidTr="00697151">
        <w:tc>
          <w:tcPr>
            <w:tcW w:w="3936" w:type="dxa"/>
            <w:tcBorders>
              <w:left w:val="nil"/>
              <w:bottom w:val="single" w:sz="4" w:space="0" w:color="auto"/>
              <w:right w:val="nil"/>
            </w:tcBorders>
          </w:tcPr>
          <w:p w14:paraId="7F43604D" w14:textId="77777777" w:rsidR="00697151" w:rsidRDefault="00697151" w:rsidP="00D54F77">
            <w:pPr>
              <w:jc w:val="both"/>
              <w:rPr>
                <w:rFonts w:ascii="Bookman Old Style" w:hAnsi="Bookman Old Style"/>
              </w:rPr>
            </w:pPr>
          </w:p>
        </w:tc>
        <w:tc>
          <w:tcPr>
            <w:tcW w:w="5640" w:type="dxa"/>
            <w:tcBorders>
              <w:left w:val="nil"/>
              <w:bottom w:val="single" w:sz="4" w:space="0" w:color="auto"/>
              <w:right w:val="nil"/>
            </w:tcBorders>
          </w:tcPr>
          <w:p w14:paraId="56D2744A" w14:textId="79C1C5C2" w:rsidR="00697151" w:rsidRPr="00697151" w:rsidRDefault="00697151" w:rsidP="00697151">
            <w:pPr>
              <w:jc w:val="center"/>
              <w:rPr>
                <w:rFonts w:ascii="Bookman Old Style" w:hAnsi="Bookman Old Style"/>
                <w:b/>
              </w:rPr>
            </w:pPr>
            <w:r w:rsidRPr="00697151">
              <w:rPr>
                <w:rFonts w:ascii="Bookman Old Style" w:hAnsi="Bookman Old Style"/>
                <w:b/>
              </w:rPr>
              <w:t>The Costs of Issuing Securities</w:t>
            </w:r>
          </w:p>
        </w:tc>
      </w:tr>
      <w:tr w:rsidR="00697151" w14:paraId="445F4BA8" w14:textId="77777777" w:rsidTr="00697151">
        <w:tc>
          <w:tcPr>
            <w:tcW w:w="3936" w:type="dxa"/>
            <w:tcBorders>
              <w:left w:val="nil"/>
              <w:bottom w:val="nil"/>
              <w:right w:val="nil"/>
            </w:tcBorders>
          </w:tcPr>
          <w:p w14:paraId="1927BA30" w14:textId="19CC9931" w:rsidR="00697151" w:rsidRPr="00697151" w:rsidRDefault="00697151" w:rsidP="00D54F77">
            <w:pPr>
              <w:jc w:val="both"/>
              <w:rPr>
                <w:rFonts w:ascii="Bookman Old Style" w:hAnsi="Bookman Old Style"/>
                <w:sz w:val="20"/>
              </w:rPr>
            </w:pPr>
            <w:r w:rsidRPr="00697151">
              <w:rPr>
                <w:rFonts w:ascii="Bookman Old Style" w:hAnsi="Bookman Old Style"/>
                <w:sz w:val="20"/>
              </w:rPr>
              <w:t>1. Spread</w:t>
            </w:r>
          </w:p>
        </w:tc>
        <w:tc>
          <w:tcPr>
            <w:tcW w:w="5640" w:type="dxa"/>
            <w:tcBorders>
              <w:left w:val="nil"/>
              <w:bottom w:val="nil"/>
              <w:right w:val="nil"/>
            </w:tcBorders>
          </w:tcPr>
          <w:p w14:paraId="69E5C24F" w14:textId="77777777" w:rsidR="00697151" w:rsidRDefault="00697151" w:rsidP="00697151">
            <w:pPr>
              <w:jc w:val="both"/>
              <w:rPr>
                <w:rFonts w:ascii="Bookman Old Style" w:hAnsi="Bookman Old Style"/>
                <w:sz w:val="20"/>
              </w:rPr>
            </w:pPr>
            <w:r w:rsidRPr="00697151">
              <w:rPr>
                <w:rFonts w:ascii="Bookman Old Style" w:hAnsi="Bookman Old Style"/>
                <w:sz w:val="20"/>
              </w:rPr>
              <w:t>The spread consists of direct fees paid by the issue to the underwriting syndicate – the difference between the price the issuer receives and the offer price.</w:t>
            </w:r>
          </w:p>
          <w:p w14:paraId="241E95A3" w14:textId="43988615" w:rsidR="00697151" w:rsidRPr="00697151" w:rsidRDefault="00697151" w:rsidP="00697151">
            <w:pPr>
              <w:jc w:val="both"/>
              <w:rPr>
                <w:rFonts w:ascii="Bookman Old Style" w:hAnsi="Bookman Old Style"/>
                <w:sz w:val="20"/>
              </w:rPr>
            </w:pPr>
          </w:p>
        </w:tc>
      </w:tr>
      <w:tr w:rsidR="00697151" w14:paraId="3EE47707" w14:textId="77777777" w:rsidTr="00697151">
        <w:tc>
          <w:tcPr>
            <w:tcW w:w="3936" w:type="dxa"/>
            <w:tcBorders>
              <w:top w:val="nil"/>
              <w:left w:val="nil"/>
              <w:bottom w:val="nil"/>
              <w:right w:val="nil"/>
            </w:tcBorders>
          </w:tcPr>
          <w:p w14:paraId="16E643C6" w14:textId="4D5CA3E0" w:rsidR="00697151" w:rsidRPr="00697151" w:rsidRDefault="00697151" w:rsidP="00D54F77">
            <w:pPr>
              <w:jc w:val="both"/>
              <w:rPr>
                <w:rFonts w:ascii="Bookman Old Style" w:hAnsi="Bookman Old Style"/>
                <w:sz w:val="20"/>
              </w:rPr>
            </w:pPr>
            <w:r w:rsidRPr="00697151">
              <w:rPr>
                <w:rFonts w:ascii="Bookman Old Style" w:hAnsi="Bookman Old Style"/>
                <w:sz w:val="20"/>
              </w:rPr>
              <w:t>2. Other Direct Expenses</w:t>
            </w:r>
          </w:p>
        </w:tc>
        <w:tc>
          <w:tcPr>
            <w:tcW w:w="5640" w:type="dxa"/>
            <w:tcBorders>
              <w:top w:val="nil"/>
              <w:left w:val="nil"/>
              <w:bottom w:val="nil"/>
              <w:right w:val="nil"/>
            </w:tcBorders>
          </w:tcPr>
          <w:p w14:paraId="2E5C3747" w14:textId="77777777" w:rsidR="00697151" w:rsidRDefault="00697151" w:rsidP="00D54F77">
            <w:pPr>
              <w:jc w:val="both"/>
              <w:rPr>
                <w:rFonts w:ascii="Bookman Old Style" w:hAnsi="Bookman Old Style"/>
                <w:sz w:val="20"/>
              </w:rPr>
            </w:pPr>
            <w:r w:rsidRPr="00697151">
              <w:rPr>
                <w:rFonts w:ascii="Bookman Old Style" w:hAnsi="Bookman Old Style"/>
                <w:sz w:val="20"/>
              </w:rPr>
              <w:t>These are direct costs incurred by the issuer that aren’t part of the compensation to underwriters. They include filing fees, legal fees, and taxes – all reported on the prospectus.</w:t>
            </w:r>
          </w:p>
          <w:p w14:paraId="1AC2D14F" w14:textId="3EDFB155" w:rsidR="00697151" w:rsidRPr="00697151" w:rsidRDefault="00697151" w:rsidP="00D54F77">
            <w:pPr>
              <w:jc w:val="both"/>
              <w:rPr>
                <w:rFonts w:ascii="Bookman Old Style" w:hAnsi="Bookman Old Style"/>
                <w:sz w:val="20"/>
              </w:rPr>
            </w:pPr>
          </w:p>
        </w:tc>
      </w:tr>
      <w:tr w:rsidR="00697151" w14:paraId="5D3D1712" w14:textId="77777777" w:rsidTr="00697151">
        <w:tc>
          <w:tcPr>
            <w:tcW w:w="3936" w:type="dxa"/>
            <w:tcBorders>
              <w:top w:val="nil"/>
              <w:left w:val="nil"/>
              <w:bottom w:val="nil"/>
              <w:right w:val="nil"/>
            </w:tcBorders>
          </w:tcPr>
          <w:p w14:paraId="5DB70B47" w14:textId="26A2E392" w:rsidR="00697151" w:rsidRPr="00697151" w:rsidRDefault="00697151" w:rsidP="00D54F77">
            <w:pPr>
              <w:jc w:val="both"/>
              <w:rPr>
                <w:rFonts w:ascii="Bookman Old Style" w:hAnsi="Bookman Old Style"/>
                <w:sz w:val="20"/>
              </w:rPr>
            </w:pPr>
            <w:r w:rsidRPr="00697151">
              <w:rPr>
                <w:rFonts w:ascii="Bookman Old Style" w:hAnsi="Bookman Old Style"/>
                <w:sz w:val="20"/>
              </w:rPr>
              <w:t>3. Indirect Expenses</w:t>
            </w:r>
          </w:p>
        </w:tc>
        <w:tc>
          <w:tcPr>
            <w:tcW w:w="5640" w:type="dxa"/>
            <w:tcBorders>
              <w:top w:val="nil"/>
              <w:left w:val="nil"/>
              <w:bottom w:val="nil"/>
              <w:right w:val="nil"/>
            </w:tcBorders>
          </w:tcPr>
          <w:p w14:paraId="22C16BD2" w14:textId="77777777" w:rsidR="00697151" w:rsidRDefault="00697151" w:rsidP="00D54F77">
            <w:pPr>
              <w:jc w:val="both"/>
              <w:rPr>
                <w:rFonts w:ascii="Bookman Old Style" w:hAnsi="Bookman Old Style"/>
                <w:sz w:val="20"/>
              </w:rPr>
            </w:pPr>
            <w:r w:rsidRPr="00697151">
              <w:rPr>
                <w:rFonts w:ascii="Bookman Old Style" w:hAnsi="Bookman Old Style"/>
                <w:sz w:val="20"/>
              </w:rPr>
              <w:t>These costs aren’t reported on the prospectus and include the costs of management time spent working on the new issue.</w:t>
            </w:r>
          </w:p>
          <w:p w14:paraId="5238846C" w14:textId="3AAD912E" w:rsidR="00697151" w:rsidRPr="00697151" w:rsidRDefault="00697151" w:rsidP="00D54F77">
            <w:pPr>
              <w:jc w:val="both"/>
              <w:rPr>
                <w:rFonts w:ascii="Bookman Old Style" w:hAnsi="Bookman Old Style"/>
                <w:sz w:val="20"/>
              </w:rPr>
            </w:pPr>
          </w:p>
        </w:tc>
      </w:tr>
      <w:tr w:rsidR="00697151" w14:paraId="412EBB55" w14:textId="77777777" w:rsidTr="00697151">
        <w:tc>
          <w:tcPr>
            <w:tcW w:w="3936" w:type="dxa"/>
            <w:tcBorders>
              <w:top w:val="nil"/>
              <w:left w:val="nil"/>
              <w:bottom w:val="nil"/>
              <w:right w:val="nil"/>
            </w:tcBorders>
          </w:tcPr>
          <w:p w14:paraId="0BAB06B4" w14:textId="2FA76089" w:rsidR="00697151" w:rsidRPr="00697151" w:rsidRDefault="00697151" w:rsidP="00D54F77">
            <w:pPr>
              <w:jc w:val="both"/>
              <w:rPr>
                <w:rFonts w:ascii="Bookman Old Style" w:hAnsi="Bookman Old Style"/>
                <w:sz w:val="20"/>
              </w:rPr>
            </w:pPr>
            <w:r w:rsidRPr="00697151">
              <w:rPr>
                <w:rFonts w:ascii="Bookman Old Style" w:hAnsi="Bookman Old Style"/>
                <w:sz w:val="20"/>
              </w:rPr>
              <w:t>4. Abnormal Returns</w:t>
            </w:r>
          </w:p>
        </w:tc>
        <w:tc>
          <w:tcPr>
            <w:tcW w:w="5640" w:type="dxa"/>
            <w:tcBorders>
              <w:top w:val="nil"/>
              <w:left w:val="nil"/>
              <w:bottom w:val="nil"/>
              <w:right w:val="nil"/>
            </w:tcBorders>
          </w:tcPr>
          <w:p w14:paraId="77A122C3" w14:textId="77777777" w:rsidR="00697151" w:rsidRDefault="00697151" w:rsidP="00D54F77">
            <w:pPr>
              <w:jc w:val="both"/>
              <w:rPr>
                <w:rFonts w:ascii="Bookman Old Style" w:hAnsi="Bookman Old Style"/>
                <w:sz w:val="20"/>
              </w:rPr>
            </w:pPr>
            <w:r w:rsidRPr="00697151">
              <w:rPr>
                <w:rFonts w:ascii="Bookman Old Style" w:hAnsi="Bookman Old Style"/>
                <w:sz w:val="20"/>
              </w:rPr>
              <w:t>In a seasoned issue of stock, the price drop</w:t>
            </w:r>
            <w:r>
              <w:rPr>
                <w:rFonts w:ascii="Bookman Old Style" w:hAnsi="Bookman Old Style"/>
                <w:sz w:val="20"/>
              </w:rPr>
              <w:t>s</w:t>
            </w:r>
            <w:r w:rsidRPr="00697151">
              <w:rPr>
                <w:rFonts w:ascii="Bookman Old Style" w:hAnsi="Bookman Old Style"/>
                <w:sz w:val="20"/>
              </w:rPr>
              <w:t xml:space="preserve"> on average by 3% on the announcement of the issue.</w:t>
            </w:r>
          </w:p>
          <w:p w14:paraId="3B2CCFDA" w14:textId="715226A3" w:rsidR="00697151" w:rsidRPr="00697151" w:rsidRDefault="00697151" w:rsidP="00D54F77">
            <w:pPr>
              <w:jc w:val="both"/>
              <w:rPr>
                <w:rFonts w:ascii="Bookman Old Style" w:hAnsi="Bookman Old Style"/>
                <w:sz w:val="20"/>
              </w:rPr>
            </w:pPr>
          </w:p>
        </w:tc>
      </w:tr>
      <w:tr w:rsidR="00697151" w14:paraId="4866A4B3" w14:textId="77777777" w:rsidTr="00697151">
        <w:tc>
          <w:tcPr>
            <w:tcW w:w="3936" w:type="dxa"/>
            <w:tcBorders>
              <w:top w:val="nil"/>
              <w:left w:val="nil"/>
              <w:bottom w:val="nil"/>
              <w:right w:val="nil"/>
            </w:tcBorders>
          </w:tcPr>
          <w:p w14:paraId="38D57D40" w14:textId="077349A8" w:rsidR="00697151" w:rsidRPr="00697151" w:rsidRDefault="00697151" w:rsidP="00D54F77">
            <w:pPr>
              <w:jc w:val="both"/>
              <w:rPr>
                <w:rFonts w:ascii="Bookman Old Style" w:hAnsi="Bookman Old Style"/>
                <w:sz w:val="20"/>
              </w:rPr>
            </w:pPr>
            <w:r w:rsidRPr="00697151">
              <w:rPr>
                <w:rFonts w:ascii="Bookman Old Style" w:hAnsi="Bookman Old Style"/>
                <w:sz w:val="20"/>
              </w:rPr>
              <w:t>5. Underpricing</w:t>
            </w:r>
          </w:p>
        </w:tc>
        <w:tc>
          <w:tcPr>
            <w:tcW w:w="5640" w:type="dxa"/>
            <w:tcBorders>
              <w:top w:val="nil"/>
              <w:left w:val="nil"/>
              <w:bottom w:val="nil"/>
              <w:right w:val="nil"/>
            </w:tcBorders>
          </w:tcPr>
          <w:p w14:paraId="7BBF943D" w14:textId="77777777" w:rsidR="00697151" w:rsidRDefault="00697151" w:rsidP="00D54F77">
            <w:pPr>
              <w:jc w:val="both"/>
              <w:rPr>
                <w:rFonts w:ascii="Bookman Old Style" w:hAnsi="Bookman Old Style"/>
                <w:sz w:val="20"/>
              </w:rPr>
            </w:pPr>
            <w:r w:rsidRPr="00697151">
              <w:rPr>
                <w:rFonts w:ascii="Bookman Old Style" w:hAnsi="Bookman Old Style"/>
                <w:sz w:val="20"/>
              </w:rPr>
              <w:t>For IPOs, losses come from selling the stock below the correct value.</w:t>
            </w:r>
          </w:p>
          <w:p w14:paraId="7132E420" w14:textId="6CDD6F8C" w:rsidR="00697151" w:rsidRPr="00697151" w:rsidRDefault="00697151" w:rsidP="00D54F77">
            <w:pPr>
              <w:jc w:val="both"/>
              <w:rPr>
                <w:rFonts w:ascii="Bookman Old Style" w:hAnsi="Bookman Old Style"/>
                <w:sz w:val="20"/>
              </w:rPr>
            </w:pPr>
          </w:p>
        </w:tc>
      </w:tr>
      <w:tr w:rsidR="00697151" w14:paraId="6F2857EB" w14:textId="77777777" w:rsidTr="00697151">
        <w:tc>
          <w:tcPr>
            <w:tcW w:w="3936" w:type="dxa"/>
            <w:tcBorders>
              <w:top w:val="nil"/>
              <w:left w:val="nil"/>
              <w:right w:val="nil"/>
            </w:tcBorders>
          </w:tcPr>
          <w:p w14:paraId="24C93149" w14:textId="060D2C93" w:rsidR="00697151" w:rsidRPr="00697151" w:rsidRDefault="00697151" w:rsidP="00D54F77">
            <w:pPr>
              <w:jc w:val="both"/>
              <w:rPr>
                <w:rFonts w:ascii="Bookman Old Style" w:hAnsi="Bookman Old Style"/>
                <w:sz w:val="20"/>
              </w:rPr>
            </w:pPr>
            <w:r w:rsidRPr="00697151">
              <w:rPr>
                <w:rFonts w:ascii="Bookman Old Style" w:hAnsi="Bookman Old Style"/>
                <w:sz w:val="20"/>
              </w:rPr>
              <w:t>6. Overallotment (Green Shoe option)</w:t>
            </w:r>
          </w:p>
        </w:tc>
        <w:tc>
          <w:tcPr>
            <w:tcW w:w="5640" w:type="dxa"/>
            <w:tcBorders>
              <w:top w:val="nil"/>
              <w:left w:val="nil"/>
              <w:right w:val="nil"/>
            </w:tcBorders>
          </w:tcPr>
          <w:p w14:paraId="55747138" w14:textId="4273A74B" w:rsidR="00697151" w:rsidRPr="00697151" w:rsidRDefault="00697151" w:rsidP="00D54F77">
            <w:pPr>
              <w:jc w:val="both"/>
              <w:rPr>
                <w:rFonts w:ascii="Bookman Old Style" w:hAnsi="Bookman Old Style"/>
                <w:sz w:val="20"/>
              </w:rPr>
            </w:pPr>
            <w:r w:rsidRPr="00697151">
              <w:rPr>
                <w:rFonts w:ascii="Bookman Old Style" w:hAnsi="Bookman Old Style"/>
                <w:sz w:val="20"/>
              </w:rPr>
              <w:t>The Green Shoe option gives the underwriters the right to buy additional shares at the offer price to cover allotments.</w:t>
            </w:r>
          </w:p>
        </w:tc>
      </w:tr>
    </w:tbl>
    <w:p w14:paraId="3FFCB1CB" w14:textId="77777777" w:rsidR="00697151" w:rsidRPr="00697151" w:rsidRDefault="00697151" w:rsidP="00D54F77">
      <w:pPr>
        <w:spacing w:after="0" w:line="240" w:lineRule="auto"/>
        <w:jc w:val="both"/>
        <w:rPr>
          <w:rFonts w:ascii="Bookman Old Style" w:hAnsi="Bookman Old Style"/>
        </w:rPr>
      </w:pPr>
    </w:p>
    <w:p w14:paraId="629E4B82" w14:textId="77777777" w:rsidR="00697151" w:rsidRDefault="00697151" w:rsidP="006222B0">
      <w:pPr>
        <w:spacing w:after="0" w:line="240" w:lineRule="auto"/>
        <w:jc w:val="both"/>
        <w:rPr>
          <w:rFonts w:ascii="Bookman Old Style" w:hAnsi="Bookman Old Style"/>
        </w:rPr>
      </w:pPr>
      <w:r>
        <w:rPr>
          <w:rFonts w:ascii="Bookman Old Style" w:hAnsi="Bookman Old Style"/>
        </w:rPr>
        <w:t xml:space="preserve">The following table reports direct costs as a percentage of the gross amount </w:t>
      </w:r>
      <w:proofErr w:type="gramStart"/>
      <w:r>
        <w:rPr>
          <w:rFonts w:ascii="Bookman Old Style" w:hAnsi="Bookman Old Style"/>
        </w:rPr>
        <w:t>raised</w:t>
      </w:r>
      <w:proofErr w:type="gramEnd"/>
      <w:r>
        <w:rPr>
          <w:rFonts w:ascii="Bookman Old Style" w:hAnsi="Bookman Old Style"/>
        </w:rPr>
        <w:t xml:space="preserve"> for IPOs, SEOs, straight (ordinary) bonds and convertible bonds sold by US companies from 1990 through to 2008. </w:t>
      </w:r>
    </w:p>
    <w:p w14:paraId="02EEC388" w14:textId="77777777" w:rsidR="00697151" w:rsidRDefault="00697151" w:rsidP="006222B0">
      <w:pPr>
        <w:spacing w:after="0" w:line="240" w:lineRule="auto"/>
        <w:jc w:val="both"/>
        <w:rPr>
          <w:rFonts w:ascii="Bookman Old Style" w:hAnsi="Bookman Old Style"/>
        </w:rPr>
      </w:pPr>
    </w:p>
    <w:p w14:paraId="10133306" w14:textId="71D2352B" w:rsidR="006222B0" w:rsidRDefault="00697151" w:rsidP="006222B0">
      <w:pPr>
        <w:spacing w:after="0" w:line="240" w:lineRule="auto"/>
        <w:jc w:val="both"/>
        <w:rPr>
          <w:rFonts w:ascii="Bookman Old Style" w:hAnsi="Bookman Old Style"/>
        </w:rPr>
      </w:pPr>
      <w:r>
        <w:rPr>
          <w:rFonts w:ascii="Bookman Old Style" w:hAnsi="Bookman Old Style"/>
        </w:rPr>
        <w:t>These are direct costs only. Not included are indirect expenses, the cost of the overallotment option, underpricing (for IPOs) and abnormal returns.</w:t>
      </w:r>
    </w:p>
    <w:p w14:paraId="1CCFFAB8" w14:textId="77777777" w:rsidR="00697151" w:rsidRDefault="00697151" w:rsidP="006222B0">
      <w:pPr>
        <w:spacing w:after="0" w:line="240" w:lineRule="auto"/>
        <w:jc w:val="both"/>
        <w:rPr>
          <w:rFonts w:ascii="Bookman Old Style" w:hAnsi="Bookman Old Style"/>
        </w:rPr>
      </w:pPr>
    </w:p>
    <w:p w14:paraId="284E98AD" w14:textId="77777777" w:rsidR="00697151" w:rsidRDefault="00697151" w:rsidP="006222B0">
      <w:pPr>
        <w:spacing w:after="0" w:line="240" w:lineRule="auto"/>
        <w:jc w:val="both"/>
        <w:rPr>
          <w:rFonts w:ascii="Bookman Old Style" w:hAnsi="Bookman Old Style"/>
        </w:rPr>
      </w:pPr>
    </w:p>
    <w:p w14:paraId="6A43E79B" w14:textId="77777777" w:rsidR="00697151" w:rsidRDefault="00697151" w:rsidP="006222B0">
      <w:pPr>
        <w:spacing w:after="0" w:line="240" w:lineRule="auto"/>
        <w:jc w:val="both"/>
        <w:rPr>
          <w:rFonts w:ascii="Bookman Old Style" w:hAnsi="Bookman Old Style"/>
        </w:rPr>
      </w:pPr>
    </w:p>
    <w:p w14:paraId="4A191F71" w14:textId="77777777" w:rsidR="00697151" w:rsidRDefault="00697151" w:rsidP="006222B0">
      <w:pPr>
        <w:spacing w:after="0" w:line="240" w:lineRule="auto"/>
        <w:jc w:val="both"/>
        <w:rPr>
          <w:rFonts w:ascii="Bookman Old Style" w:hAnsi="Bookman Old Style"/>
        </w:rPr>
      </w:pPr>
    </w:p>
    <w:tbl>
      <w:tblPr>
        <w:tblStyle w:val="TableGrid"/>
        <w:tblW w:w="0" w:type="auto"/>
        <w:tblLook w:val="04A0" w:firstRow="1" w:lastRow="0" w:firstColumn="1" w:lastColumn="0" w:noHBand="0" w:noVBand="1"/>
      </w:tblPr>
      <w:tblGrid>
        <w:gridCol w:w="1278"/>
        <w:gridCol w:w="850"/>
        <w:gridCol w:w="1064"/>
        <w:gridCol w:w="1064"/>
        <w:gridCol w:w="1064"/>
        <w:gridCol w:w="1064"/>
        <w:gridCol w:w="1064"/>
        <w:gridCol w:w="1064"/>
        <w:gridCol w:w="1064"/>
      </w:tblGrid>
      <w:tr w:rsidR="00EB3FAB" w14:paraId="047FFB0D" w14:textId="77777777" w:rsidTr="00EB3FAB">
        <w:tc>
          <w:tcPr>
            <w:tcW w:w="9576" w:type="dxa"/>
            <w:gridSpan w:val="9"/>
            <w:tcBorders>
              <w:left w:val="nil"/>
              <w:bottom w:val="nil"/>
              <w:right w:val="nil"/>
            </w:tcBorders>
          </w:tcPr>
          <w:p w14:paraId="685E4B69" w14:textId="02F4C0CC" w:rsidR="00EB3FAB" w:rsidRPr="00EB3FAB" w:rsidRDefault="00EB3FAB" w:rsidP="00EB3FAB">
            <w:pPr>
              <w:jc w:val="center"/>
              <w:rPr>
                <w:rFonts w:ascii="Bookman Old Style" w:hAnsi="Bookman Old Style"/>
                <w:b/>
                <w:sz w:val="16"/>
              </w:rPr>
            </w:pPr>
            <w:r w:rsidRPr="00EB3FAB">
              <w:rPr>
                <w:rFonts w:ascii="Bookman Old Style" w:hAnsi="Bookman Old Style"/>
                <w:b/>
                <w:sz w:val="16"/>
              </w:rPr>
              <w:t>Equity</w:t>
            </w:r>
          </w:p>
        </w:tc>
      </w:tr>
      <w:tr w:rsidR="00EB3FAB" w14:paraId="6FC4592F" w14:textId="77777777" w:rsidTr="00EB3FAB">
        <w:tc>
          <w:tcPr>
            <w:tcW w:w="1278" w:type="dxa"/>
            <w:tcBorders>
              <w:top w:val="nil"/>
              <w:left w:val="nil"/>
              <w:bottom w:val="nil"/>
              <w:right w:val="nil"/>
            </w:tcBorders>
          </w:tcPr>
          <w:p w14:paraId="3CCED786" w14:textId="77777777" w:rsidR="00EB3FAB" w:rsidRPr="00EB3FAB" w:rsidRDefault="00EB3FAB" w:rsidP="006222B0">
            <w:pPr>
              <w:jc w:val="both"/>
              <w:rPr>
                <w:rFonts w:ascii="Bookman Old Style" w:hAnsi="Bookman Old Style"/>
                <w:sz w:val="16"/>
              </w:rPr>
            </w:pPr>
          </w:p>
        </w:tc>
        <w:tc>
          <w:tcPr>
            <w:tcW w:w="4042" w:type="dxa"/>
            <w:gridSpan w:val="4"/>
            <w:tcBorders>
              <w:top w:val="nil"/>
              <w:left w:val="nil"/>
              <w:bottom w:val="nil"/>
              <w:right w:val="nil"/>
            </w:tcBorders>
          </w:tcPr>
          <w:p w14:paraId="5251F6C6" w14:textId="50876564" w:rsidR="00EB3FAB" w:rsidRPr="00EB3FAB" w:rsidRDefault="00EB3FAB" w:rsidP="00EB3FAB">
            <w:pPr>
              <w:jc w:val="center"/>
              <w:rPr>
                <w:rFonts w:ascii="Bookman Old Style" w:hAnsi="Bookman Old Style"/>
                <w:b/>
                <w:sz w:val="16"/>
              </w:rPr>
            </w:pPr>
            <w:r w:rsidRPr="00EB3FAB">
              <w:rPr>
                <w:rFonts w:ascii="Bookman Old Style" w:hAnsi="Bookman Old Style"/>
                <w:b/>
                <w:sz w:val="16"/>
              </w:rPr>
              <w:t>IPOs</w:t>
            </w:r>
          </w:p>
        </w:tc>
        <w:tc>
          <w:tcPr>
            <w:tcW w:w="4256" w:type="dxa"/>
            <w:gridSpan w:val="4"/>
            <w:tcBorders>
              <w:top w:val="nil"/>
              <w:left w:val="nil"/>
              <w:bottom w:val="nil"/>
              <w:right w:val="nil"/>
            </w:tcBorders>
          </w:tcPr>
          <w:p w14:paraId="6EFCB54E" w14:textId="383722EB" w:rsidR="00EB3FAB" w:rsidRPr="00EB3FAB" w:rsidRDefault="00EB3FAB" w:rsidP="00EB3FAB">
            <w:pPr>
              <w:jc w:val="center"/>
              <w:rPr>
                <w:rFonts w:ascii="Bookman Old Style" w:hAnsi="Bookman Old Style"/>
                <w:b/>
                <w:sz w:val="16"/>
              </w:rPr>
            </w:pPr>
            <w:r w:rsidRPr="00EB3FAB">
              <w:rPr>
                <w:rFonts w:ascii="Bookman Old Style" w:hAnsi="Bookman Old Style"/>
                <w:b/>
                <w:sz w:val="16"/>
              </w:rPr>
              <w:t>SEOs</w:t>
            </w:r>
          </w:p>
        </w:tc>
      </w:tr>
      <w:tr w:rsidR="00660E55" w14:paraId="4965F428" w14:textId="77777777" w:rsidTr="00EB3FAB">
        <w:tc>
          <w:tcPr>
            <w:tcW w:w="1278" w:type="dxa"/>
            <w:tcBorders>
              <w:top w:val="nil"/>
              <w:left w:val="nil"/>
              <w:bottom w:val="single" w:sz="4" w:space="0" w:color="auto"/>
              <w:right w:val="nil"/>
            </w:tcBorders>
            <w:vAlign w:val="center"/>
          </w:tcPr>
          <w:p w14:paraId="5A9E56FC" w14:textId="2532AA7F" w:rsidR="00660E55" w:rsidRPr="00EB3FAB" w:rsidRDefault="00660E55" w:rsidP="00EB3FAB">
            <w:pPr>
              <w:jc w:val="center"/>
              <w:rPr>
                <w:rFonts w:ascii="Bookman Old Style" w:hAnsi="Bookman Old Style"/>
                <w:sz w:val="16"/>
              </w:rPr>
            </w:pPr>
            <w:r w:rsidRPr="00EB3FAB">
              <w:rPr>
                <w:rFonts w:ascii="Bookman Old Style" w:hAnsi="Bookman Old Style"/>
                <w:sz w:val="16"/>
              </w:rPr>
              <w:t>Proceeds ($ millions)</w:t>
            </w:r>
          </w:p>
        </w:tc>
        <w:tc>
          <w:tcPr>
            <w:tcW w:w="850" w:type="dxa"/>
            <w:tcBorders>
              <w:top w:val="nil"/>
              <w:left w:val="nil"/>
              <w:bottom w:val="single" w:sz="4" w:space="0" w:color="auto"/>
              <w:right w:val="nil"/>
            </w:tcBorders>
            <w:vAlign w:val="center"/>
          </w:tcPr>
          <w:p w14:paraId="077BE594" w14:textId="23C38A94" w:rsidR="00660E55" w:rsidRPr="00EB3FAB" w:rsidRDefault="00660E55" w:rsidP="00EB3FAB">
            <w:pPr>
              <w:jc w:val="center"/>
              <w:rPr>
                <w:rFonts w:ascii="Bookman Old Style" w:hAnsi="Bookman Old Style"/>
                <w:sz w:val="16"/>
              </w:rPr>
            </w:pPr>
            <w:r w:rsidRPr="00EB3FAB">
              <w:rPr>
                <w:rFonts w:ascii="Bookman Old Style" w:hAnsi="Bookman Old Style"/>
                <w:sz w:val="16"/>
              </w:rPr>
              <w:t># of Issues</w:t>
            </w:r>
          </w:p>
        </w:tc>
        <w:tc>
          <w:tcPr>
            <w:tcW w:w="1064" w:type="dxa"/>
            <w:tcBorders>
              <w:top w:val="nil"/>
              <w:left w:val="nil"/>
              <w:bottom w:val="single" w:sz="4" w:space="0" w:color="auto"/>
              <w:right w:val="nil"/>
            </w:tcBorders>
            <w:vAlign w:val="center"/>
          </w:tcPr>
          <w:p w14:paraId="3723250D" w14:textId="621A8ABE" w:rsidR="00660E55" w:rsidRPr="00EB3FAB" w:rsidRDefault="00660E55" w:rsidP="00EB3FAB">
            <w:pPr>
              <w:jc w:val="center"/>
              <w:rPr>
                <w:rFonts w:ascii="Bookman Old Style" w:hAnsi="Bookman Old Style"/>
                <w:sz w:val="16"/>
              </w:rPr>
            </w:pPr>
            <w:r w:rsidRPr="00EB3FAB">
              <w:rPr>
                <w:rFonts w:ascii="Bookman Old Style" w:hAnsi="Bookman Old Style"/>
                <w:sz w:val="16"/>
              </w:rPr>
              <w:t>Gross Spread</w:t>
            </w:r>
          </w:p>
        </w:tc>
        <w:tc>
          <w:tcPr>
            <w:tcW w:w="1064" w:type="dxa"/>
            <w:tcBorders>
              <w:top w:val="nil"/>
              <w:left w:val="nil"/>
              <w:bottom w:val="single" w:sz="4" w:space="0" w:color="auto"/>
              <w:right w:val="nil"/>
            </w:tcBorders>
            <w:vAlign w:val="center"/>
          </w:tcPr>
          <w:p w14:paraId="5A5125BC" w14:textId="0B90B74D" w:rsidR="00660E55" w:rsidRPr="00EB3FAB" w:rsidRDefault="00660E55" w:rsidP="00EB3FAB">
            <w:pPr>
              <w:jc w:val="center"/>
              <w:rPr>
                <w:rFonts w:ascii="Bookman Old Style" w:hAnsi="Bookman Old Style"/>
                <w:sz w:val="16"/>
              </w:rPr>
            </w:pPr>
            <w:r w:rsidRPr="00EB3FAB">
              <w:rPr>
                <w:rFonts w:ascii="Bookman Old Style" w:hAnsi="Bookman Old Style"/>
                <w:sz w:val="16"/>
              </w:rPr>
              <w:t>Other Direct Expense</w:t>
            </w:r>
          </w:p>
        </w:tc>
        <w:tc>
          <w:tcPr>
            <w:tcW w:w="1064" w:type="dxa"/>
            <w:tcBorders>
              <w:top w:val="nil"/>
              <w:left w:val="nil"/>
              <w:bottom w:val="single" w:sz="4" w:space="0" w:color="auto"/>
              <w:right w:val="nil"/>
            </w:tcBorders>
            <w:vAlign w:val="center"/>
          </w:tcPr>
          <w:p w14:paraId="7621781B" w14:textId="49D4C9FB" w:rsidR="00660E55" w:rsidRPr="00EB3FAB" w:rsidRDefault="00660E55" w:rsidP="00EB3FAB">
            <w:pPr>
              <w:jc w:val="center"/>
              <w:rPr>
                <w:rFonts w:ascii="Bookman Old Style" w:hAnsi="Bookman Old Style"/>
                <w:sz w:val="16"/>
              </w:rPr>
            </w:pPr>
            <w:r w:rsidRPr="00EB3FAB">
              <w:rPr>
                <w:rFonts w:ascii="Bookman Old Style" w:hAnsi="Bookman Old Style"/>
                <w:sz w:val="16"/>
              </w:rPr>
              <w:t>Total Direct Cost</w:t>
            </w:r>
          </w:p>
        </w:tc>
        <w:tc>
          <w:tcPr>
            <w:tcW w:w="1064" w:type="dxa"/>
            <w:tcBorders>
              <w:top w:val="nil"/>
              <w:left w:val="nil"/>
              <w:bottom w:val="single" w:sz="4" w:space="0" w:color="auto"/>
              <w:right w:val="nil"/>
            </w:tcBorders>
            <w:vAlign w:val="center"/>
          </w:tcPr>
          <w:p w14:paraId="7D09A9B4" w14:textId="03558731" w:rsidR="00660E55" w:rsidRPr="00EB3FAB" w:rsidRDefault="00660E55" w:rsidP="00EB3FAB">
            <w:pPr>
              <w:jc w:val="center"/>
              <w:rPr>
                <w:rFonts w:ascii="Bookman Old Style" w:hAnsi="Bookman Old Style"/>
                <w:sz w:val="16"/>
              </w:rPr>
            </w:pPr>
            <w:r w:rsidRPr="00EB3FAB">
              <w:rPr>
                <w:rFonts w:ascii="Bookman Old Style" w:hAnsi="Bookman Old Style"/>
                <w:sz w:val="16"/>
              </w:rPr>
              <w:t># of Issues</w:t>
            </w:r>
          </w:p>
        </w:tc>
        <w:tc>
          <w:tcPr>
            <w:tcW w:w="1064" w:type="dxa"/>
            <w:tcBorders>
              <w:top w:val="nil"/>
              <w:left w:val="nil"/>
              <w:bottom w:val="single" w:sz="4" w:space="0" w:color="auto"/>
              <w:right w:val="nil"/>
            </w:tcBorders>
            <w:vAlign w:val="center"/>
          </w:tcPr>
          <w:p w14:paraId="76C04F01" w14:textId="03301096" w:rsidR="00660E55" w:rsidRPr="00EB3FAB" w:rsidRDefault="00660E55" w:rsidP="00EB3FAB">
            <w:pPr>
              <w:jc w:val="center"/>
              <w:rPr>
                <w:rFonts w:ascii="Bookman Old Style" w:hAnsi="Bookman Old Style"/>
                <w:sz w:val="16"/>
              </w:rPr>
            </w:pPr>
            <w:r w:rsidRPr="00EB3FAB">
              <w:rPr>
                <w:rFonts w:ascii="Bookman Old Style" w:hAnsi="Bookman Old Style"/>
                <w:sz w:val="16"/>
              </w:rPr>
              <w:t>Gross Spread</w:t>
            </w:r>
          </w:p>
        </w:tc>
        <w:tc>
          <w:tcPr>
            <w:tcW w:w="1064" w:type="dxa"/>
            <w:tcBorders>
              <w:top w:val="nil"/>
              <w:left w:val="nil"/>
              <w:bottom w:val="single" w:sz="4" w:space="0" w:color="auto"/>
              <w:right w:val="nil"/>
            </w:tcBorders>
            <w:vAlign w:val="center"/>
          </w:tcPr>
          <w:p w14:paraId="4AA3D9DD" w14:textId="65F8FD4B" w:rsidR="00660E55" w:rsidRPr="00EB3FAB" w:rsidRDefault="00660E55" w:rsidP="00EB3FAB">
            <w:pPr>
              <w:jc w:val="center"/>
              <w:rPr>
                <w:rFonts w:ascii="Bookman Old Style" w:hAnsi="Bookman Old Style"/>
                <w:sz w:val="16"/>
              </w:rPr>
            </w:pPr>
            <w:r w:rsidRPr="00EB3FAB">
              <w:rPr>
                <w:rFonts w:ascii="Bookman Old Style" w:hAnsi="Bookman Old Style"/>
                <w:sz w:val="16"/>
              </w:rPr>
              <w:t>Other Direct Expense</w:t>
            </w:r>
          </w:p>
        </w:tc>
        <w:tc>
          <w:tcPr>
            <w:tcW w:w="1064" w:type="dxa"/>
            <w:tcBorders>
              <w:top w:val="nil"/>
              <w:left w:val="nil"/>
              <w:bottom w:val="single" w:sz="4" w:space="0" w:color="auto"/>
              <w:right w:val="nil"/>
            </w:tcBorders>
            <w:vAlign w:val="center"/>
          </w:tcPr>
          <w:p w14:paraId="0AE9E0E9" w14:textId="1C1A05EF" w:rsidR="00660E55" w:rsidRPr="00EB3FAB" w:rsidRDefault="00660E55" w:rsidP="00EB3FAB">
            <w:pPr>
              <w:jc w:val="center"/>
              <w:rPr>
                <w:rFonts w:ascii="Bookman Old Style" w:hAnsi="Bookman Old Style"/>
                <w:sz w:val="16"/>
              </w:rPr>
            </w:pPr>
            <w:r w:rsidRPr="00EB3FAB">
              <w:rPr>
                <w:rFonts w:ascii="Bookman Old Style" w:hAnsi="Bookman Old Style"/>
                <w:sz w:val="16"/>
              </w:rPr>
              <w:t>Total Direct Cost</w:t>
            </w:r>
          </w:p>
        </w:tc>
      </w:tr>
      <w:tr w:rsidR="00660E55" w14:paraId="63B11EA0" w14:textId="77777777" w:rsidTr="00EB3FAB">
        <w:tc>
          <w:tcPr>
            <w:tcW w:w="1278" w:type="dxa"/>
            <w:tcBorders>
              <w:left w:val="nil"/>
              <w:bottom w:val="nil"/>
              <w:right w:val="nil"/>
            </w:tcBorders>
          </w:tcPr>
          <w:p w14:paraId="67546E22" w14:textId="1EDD07B1" w:rsidR="00660E55" w:rsidRPr="00EB3FAB" w:rsidRDefault="00660E55" w:rsidP="00EB3FAB">
            <w:pPr>
              <w:rPr>
                <w:rFonts w:ascii="Bookman Old Style" w:hAnsi="Bookman Old Style"/>
                <w:sz w:val="16"/>
              </w:rPr>
            </w:pPr>
            <w:r w:rsidRPr="00EB3FAB">
              <w:rPr>
                <w:rFonts w:ascii="Bookman Old Style" w:hAnsi="Bookman Old Style"/>
                <w:sz w:val="16"/>
              </w:rPr>
              <w:t>2 – 9.99</w:t>
            </w:r>
          </w:p>
        </w:tc>
        <w:tc>
          <w:tcPr>
            <w:tcW w:w="850" w:type="dxa"/>
            <w:tcBorders>
              <w:left w:val="nil"/>
              <w:bottom w:val="nil"/>
              <w:right w:val="nil"/>
            </w:tcBorders>
          </w:tcPr>
          <w:p w14:paraId="2D11F2C2" w14:textId="207CDA5C" w:rsidR="00660E55" w:rsidRPr="00EB3FAB" w:rsidRDefault="00660E55" w:rsidP="00EB3FAB">
            <w:pPr>
              <w:jc w:val="center"/>
              <w:rPr>
                <w:rFonts w:ascii="Bookman Old Style" w:hAnsi="Bookman Old Style"/>
                <w:sz w:val="16"/>
              </w:rPr>
            </w:pPr>
            <w:r w:rsidRPr="00EB3FAB">
              <w:rPr>
                <w:rFonts w:ascii="Bookman Old Style" w:hAnsi="Bookman Old Style"/>
                <w:sz w:val="16"/>
              </w:rPr>
              <w:t>1,007</w:t>
            </w:r>
          </w:p>
        </w:tc>
        <w:tc>
          <w:tcPr>
            <w:tcW w:w="1064" w:type="dxa"/>
            <w:tcBorders>
              <w:left w:val="nil"/>
              <w:bottom w:val="nil"/>
              <w:right w:val="nil"/>
            </w:tcBorders>
          </w:tcPr>
          <w:p w14:paraId="249ABF3D" w14:textId="70D1B2B7" w:rsidR="00660E55" w:rsidRPr="00EB3FAB" w:rsidRDefault="00660E55" w:rsidP="00EB3FAB">
            <w:pPr>
              <w:jc w:val="center"/>
              <w:rPr>
                <w:rFonts w:ascii="Bookman Old Style" w:hAnsi="Bookman Old Style"/>
                <w:sz w:val="16"/>
              </w:rPr>
            </w:pPr>
            <w:r w:rsidRPr="00EB3FAB">
              <w:rPr>
                <w:rFonts w:ascii="Bookman Old Style" w:hAnsi="Bookman Old Style"/>
                <w:sz w:val="16"/>
              </w:rPr>
              <w:t>9.40%</w:t>
            </w:r>
          </w:p>
        </w:tc>
        <w:tc>
          <w:tcPr>
            <w:tcW w:w="1064" w:type="dxa"/>
            <w:tcBorders>
              <w:left w:val="nil"/>
              <w:bottom w:val="nil"/>
              <w:right w:val="nil"/>
            </w:tcBorders>
          </w:tcPr>
          <w:p w14:paraId="5FA75AEE" w14:textId="37C218A2" w:rsidR="00660E55" w:rsidRPr="00EB3FAB" w:rsidRDefault="00660E55" w:rsidP="00EB3FAB">
            <w:pPr>
              <w:jc w:val="center"/>
              <w:rPr>
                <w:rFonts w:ascii="Bookman Old Style" w:hAnsi="Bookman Old Style"/>
                <w:sz w:val="16"/>
              </w:rPr>
            </w:pPr>
            <w:r w:rsidRPr="00EB3FAB">
              <w:rPr>
                <w:rFonts w:ascii="Bookman Old Style" w:hAnsi="Bookman Old Style"/>
                <w:sz w:val="16"/>
              </w:rPr>
              <w:t>15.82%</w:t>
            </w:r>
          </w:p>
        </w:tc>
        <w:tc>
          <w:tcPr>
            <w:tcW w:w="1064" w:type="dxa"/>
            <w:tcBorders>
              <w:left w:val="nil"/>
              <w:bottom w:val="nil"/>
              <w:right w:val="nil"/>
            </w:tcBorders>
          </w:tcPr>
          <w:p w14:paraId="32583926" w14:textId="2C37C5F6" w:rsidR="00660E55" w:rsidRPr="00EB3FAB" w:rsidRDefault="00660E55" w:rsidP="00EB3FAB">
            <w:pPr>
              <w:jc w:val="center"/>
              <w:rPr>
                <w:rFonts w:ascii="Bookman Old Style" w:hAnsi="Bookman Old Style"/>
                <w:sz w:val="16"/>
              </w:rPr>
            </w:pPr>
            <w:r w:rsidRPr="00EB3FAB">
              <w:rPr>
                <w:rFonts w:ascii="Bookman Old Style" w:hAnsi="Bookman Old Style"/>
                <w:sz w:val="16"/>
              </w:rPr>
              <w:t>25.22$</w:t>
            </w:r>
          </w:p>
        </w:tc>
        <w:tc>
          <w:tcPr>
            <w:tcW w:w="1064" w:type="dxa"/>
            <w:tcBorders>
              <w:left w:val="nil"/>
              <w:bottom w:val="nil"/>
              <w:right w:val="nil"/>
            </w:tcBorders>
          </w:tcPr>
          <w:p w14:paraId="7D9534BA" w14:textId="72B2304D" w:rsidR="00660E55" w:rsidRPr="00EB3FAB" w:rsidRDefault="00660E55" w:rsidP="00EB3FAB">
            <w:pPr>
              <w:jc w:val="center"/>
              <w:rPr>
                <w:rFonts w:ascii="Bookman Old Style" w:hAnsi="Bookman Old Style"/>
                <w:sz w:val="16"/>
              </w:rPr>
            </w:pPr>
            <w:r w:rsidRPr="00EB3FAB">
              <w:rPr>
                <w:rFonts w:ascii="Bookman Old Style" w:hAnsi="Bookman Old Style"/>
                <w:sz w:val="16"/>
              </w:rPr>
              <w:t>515</w:t>
            </w:r>
          </w:p>
        </w:tc>
        <w:tc>
          <w:tcPr>
            <w:tcW w:w="1064" w:type="dxa"/>
            <w:tcBorders>
              <w:left w:val="nil"/>
              <w:bottom w:val="nil"/>
              <w:right w:val="nil"/>
            </w:tcBorders>
          </w:tcPr>
          <w:p w14:paraId="6014C02D" w14:textId="38F3F42E" w:rsidR="00660E55" w:rsidRPr="00EB3FAB" w:rsidRDefault="00660E55" w:rsidP="00EB3FAB">
            <w:pPr>
              <w:jc w:val="center"/>
              <w:rPr>
                <w:rFonts w:ascii="Bookman Old Style" w:hAnsi="Bookman Old Style"/>
                <w:sz w:val="16"/>
              </w:rPr>
            </w:pPr>
            <w:r w:rsidRPr="00EB3FAB">
              <w:rPr>
                <w:rFonts w:ascii="Bookman Old Style" w:hAnsi="Bookman Old Style"/>
                <w:sz w:val="16"/>
              </w:rPr>
              <w:t>8.11%</w:t>
            </w:r>
          </w:p>
        </w:tc>
        <w:tc>
          <w:tcPr>
            <w:tcW w:w="1064" w:type="dxa"/>
            <w:tcBorders>
              <w:left w:val="nil"/>
              <w:bottom w:val="nil"/>
              <w:right w:val="nil"/>
            </w:tcBorders>
          </w:tcPr>
          <w:p w14:paraId="171D5AE3" w14:textId="43E8A027" w:rsidR="00660E55" w:rsidRPr="00EB3FAB" w:rsidRDefault="00EB3FAB" w:rsidP="00EB3FAB">
            <w:pPr>
              <w:jc w:val="center"/>
              <w:rPr>
                <w:rFonts w:ascii="Bookman Old Style" w:hAnsi="Bookman Old Style"/>
                <w:sz w:val="16"/>
              </w:rPr>
            </w:pPr>
            <w:r w:rsidRPr="00EB3FAB">
              <w:rPr>
                <w:rFonts w:ascii="Bookman Old Style" w:hAnsi="Bookman Old Style"/>
                <w:sz w:val="16"/>
              </w:rPr>
              <w:t>26.99%</w:t>
            </w:r>
          </w:p>
        </w:tc>
        <w:tc>
          <w:tcPr>
            <w:tcW w:w="1064" w:type="dxa"/>
            <w:tcBorders>
              <w:left w:val="nil"/>
              <w:bottom w:val="nil"/>
              <w:right w:val="nil"/>
            </w:tcBorders>
          </w:tcPr>
          <w:p w14:paraId="5C347674" w14:textId="6FCC497D" w:rsidR="00660E55" w:rsidRPr="00EB3FAB" w:rsidRDefault="00EB3FAB" w:rsidP="00EB3FAB">
            <w:pPr>
              <w:jc w:val="center"/>
              <w:rPr>
                <w:rFonts w:ascii="Bookman Old Style" w:hAnsi="Bookman Old Style"/>
                <w:sz w:val="16"/>
              </w:rPr>
            </w:pPr>
            <w:r w:rsidRPr="00EB3FAB">
              <w:rPr>
                <w:rFonts w:ascii="Bookman Old Style" w:hAnsi="Bookman Old Style"/>
                <w:sz w:val="16"/>
              </w:rPr>
              <w:t>35.11%</w:t>
            </w:r>
          </w:p>
        </w:tc>
      </w:tr>
      <w:tr w:rsidR="00EB3FAB" w14:paraId="4E536165" w14:textId="77777777" w:rsidTr="00EB3FAB">
        <w:tc>
          <w:tcPr>
            <w:tcW w:w="1278" w:type="dxa"/>
            <w:tcBorders>
              <w:top w:val="nil"/>
              <w:left w:val="nil"/>
              <w:bottom w:val="nil"/>
              <w:right w:val="nil"/>
            </w:tcBorders>
          </w:tcPr>
          <w:p w14:paraId="302E66DB" w14:textId="384E9A37" w:rsidR="00EB3FAB" w:rsidRPr="00EB3FAB" w:rsidRDefault="00EB3FAB" w:rsidP="00EB3FAB">
            <w:pPr>
              <w:rPr>
                <w:rFonts w:ascii="Bookman Old Style" w:hAnsi="Bookman Old Style"/>
                <w:sz w:val="16"/>
              </w:rPr>
            </w:pPr>
            <w:r w:rsidRPr="00EB3FAB">
              <w:rPr>
                <w:rFonts w:ascii="Bookman Old Style" w:hAnsi="Bookman Old Style"/>
                <w:sz w:val="16"/>
              </w:rPr>
              <w:t>10 – 19.99</w:t>
            </w:r>
          </w:p>
        </w:tc>
        <w:tc>
          <w:tcPr>
            <w:tcW w:w="850" w:type="dxa"/>
            <w:tcBorders>
              <w:top w:val="nil"/>
              <w:left w:val="nil"/>
              <w:bottom w:val="nil"/>
              <w:right w:val="nil"/>
            </w:tcBorders>
          </w:tcPr>
          <w:p w14:paraId="7F2CB02E" w14:textId="3A7F1330" w:rsidR="00EB3FAB" w:rsidRPr="00EB3FAB" w:rsidRDefault="00EB3FAB" w:rsidP="00EB3FAB">
            <w:pPr>
              <w:jc w:val="center"/>
              <w:rPr>
                <w:rFonts w:ascii="Bookman Old Style" w:hAnsi="Bookman Old Style"/>
                <w:sz w:val="16"/>
              </w:rPr>
            </w:pPr>
            <w:r w:rsidRPr="00EB3FAB">
              <w:rPr>
                <w:rFonts w:ascii="Bookman Old Style" w:hAnsi="Bookman Old Style"/>
                <w:sz w:val="16"/>
              </w:rPr>
              <w:t>810</w:t>
            </w:r>
          </w:p>
        </w:tc>
        <w:tc>
          <w:tcPr>
            <w:tcW w:w="1064" w:type="dxa"/>
            <w:tcBorders>
              <w:top w:val="nil"/>
              <w:left w:val="nil"/>
              <w:bottom w:val="nil"/>
              <w:right w:val="nil"/>
            </w:tcBorders>
          </w:tcPr>
          <w:p w14:paraId="706FCD45" w14:textId="46ADA60C" w:rsidR="00EB3FAB" w:rsidRPr="00EB3FAB" w:rsidRDefault="00EB3FAB" w:rsidP="00EB3FAB">
            <w:pPr>
              <w:jc w:val="center"/>
              <w:rPr>
                <w:rFonts w:ascii="Bookman Old Style" w:hAnsi="Bookman Old Style"/>
                <w:sz w:val="16"/>
              </w:rPr>
            </w:pPr>
            <w:r w:rsidRPr="00EB3FAB">
              <w:rPr>
                <w:rFonts w:ascii="Bookman Old Style" w:hAnsi="Bookman Old Style"/>
                <w:sz w:val="16"/>
              </w:rPr>
              <w:t>7.39</w:t>
            </w:r>
          </w:p>
        </w:tc>
        <w:tc>
          <w:tcPr>
            <w:tcW w:w="1064" w:type="dxa"/>
            <w:tcBorders>
              <w:top w:val="nil"/>
              <w:left w:val="nil"/>
              <w:bottom w:val="nil"/>
              <w:right w:val="nil"/>
            </w:tcBorders>
          </w:tcPr>
          <w:p w14:paraId="0C22B3F3" w14:textId="0EC7FA45" w:rsidR="00EB3FAB" w:rsidRPr="00EB3FAB" w:rsidRDefault="00EB3FAB" w:rsidP="00EB3FAB">
            <w:pPr>
              <w:jc w:val="center"/>
              <w:rPr>
                <w:rFonts w:ascii="Bookman Old Style" w:hAnsi="Bookman Old Style"/>
                <w:sz w:val="16"/>
              </w:rPr>
            </w:pPr>
            <w:r w:rsidRPr="00EB3FAB">
              <w:rPr>
                <w:rFonts w:ascii="Bookman Old Style" w:hAnsi="Bookman Old Style"/>
                <w:sz w:val="16"/>
              </w:rPr>
              <w:t>7.30</w:t>
            </w:r>
          </w:p>
        </w:tc>
        <w:tc>
          <w:tcPr>
            <w:tcW w:w="1064" w:type="dxa"/>
            <w:tcBorders>
              <w:top w:val="nil"/>
              <w:left w:val="nil"/>
              <w:bottom w:val="nil"/>
              <w:right w:val="nil"/>
            </w:tcBorders>
          </w:tcPr>
          <w:p w14:paraId="2A5E29B3" w14:textId="28D8EFBA" w:rsidR="00EB3FAB" w:rsidRPr="00EB3FAB" w:rsidRDefault="00EB3FAB" w:rsidP="00EB3FAB">
            <w:pPr>
              <w:jc w:val="center"/>
              <w:rPr>
                <w:rFonts w:ascii="Bookman Old Style" w:hAnsi="Bookman Old Style"/>
                <w:sz w:val="16"/>
              </w:rPr>
            </w:pPr>
            <w:r w:rsidRPr="00EB3FAB">
              <w:rPr>
                <w:rFonts w:ascii="Bookman Old Style" w:hAnsi="Bookman Old Style"/>
                <w:sz w:val="16"/>
              </w:rPr>
              <w:t>14.69</w:t>
            </w:r>
          </w:p>
        </w:tc>
        <w:tc>
          <w:tcPr>
            <w:tcW w:w="1064" w:type="dxa"/>
            <w:tcBorders>
              <w:top w:val="nil"/>
              <w:left w:val="nil"/>
              <w:bottom w:val="nil"/>
              <w:right w:val="nil"/>
            </w:tcBorders>
          </w:tcPr>
          <w:p w14:paraId="7972893F" w14:textId="25717110" w:rsidR="00EB3FAB" w:rsidRPr="00EB3FAB" w:rsidRDefault="00EB3FAB" w:rsidP="00EB3FAB">
            <w:pPr>
              <w:jc w:val="center"/>
              <w:rPr>
                <w:rFonts w:ascii="Bookman Old Style" w:hAnsi="Bookman Old Style"/>
                <w:sz w:val="16"/>
              </w:rPr>
            </w:pPr>
            <w:r w:rsidRPr="00EB3FAB">
              <w:rPr>
                <w:rFonts w:ascii="Bookman Old Style" w:hAnsi="Bookman Old Style"/>
                <w:sz w:val="16"/>
              </w:rPr>
              <w:t>726</w:t>
            </w:r>
          </w:p>
        </w:tc>
        <w:tc>
          <w:tcPr>
            <w:tcW w:w="1064" w:type="dxa"/>
            <w:tcBorders>
              <w:top w:val="nil"/>
              <w:left w:val="nil"/>
              <w:bottom w:val="nil"/>
              <w:right w:val="nil"/>
            </w:tcBorders>
          </w:tcPr>
          <w:p w14:paraId="3A083232" w14:textId="0C0B3906" w:rsidR="00EB3FAB" w:rsidRPr="00EB3FAB" w:rsidRDefault="00EB3FAB" w:rsidP="00EB3FAB">
            <w:pPr>
              <w:jc w:val="center"/>
              <w:rPr>
                <w:rFonts w:ascii="Bookman Old Style" w:hAnsi="Bookman Old Style"/>
                <w:sz w:val="16"/>
              </w:rPr>
            </w:pPr>
            <w:r w:rsidRPr="00EB3FAB">
              <w:rPr>
                <w:rFonts w:ascii="Bookman Old Style" w:hAnsi="Bookman Old Style"/>
                <w:sz w:val="16"/>
              </w:rPr>
              <w:t>6.11</w:t>
            </w:r>
          </w:p>
        </w:tc>
        <w:tc>
          <w:tcPr>
            <w:tcW w:w="1064" w:type="dxa"/>
            <w:tcBorders>
              <w:top w:val="nil"/>
              <w:left w:val="nil"/>
              <w:bottom w:val="nil"/>
              <w:right w:val="nil"/>
            </w:tcBorders>
          </w:tcPr>
          <w:p w14:paraId="677A68D3" w14:textId="2597563A" w:rsidR="00EB3FAB" w:rsidRPr="00EB3FAB" w:rsidRDefault="00EB3FAB" w:rsidP="00EB3FAB">
            <w:pPr>
              <w:jc w:val="center"/>
              <w:rPr>
                <w:rFonts w:ascii="Bookman Old Style" w:hAnsi="Bookman Old Style"/>
                <w:sz w:val="16"/>
              </w:rPr>
            </w:pPr>
            <w:r w:rsidRPr="00EB3FAB">
              <w:rPr>
                <w:rFonts w:ascii="Bookman Old Style" w:hAnsi="Bookman Old Style"/>
                <w:sz w:val="16"/>
              </w:rPr>
              <w:t>7.76</w:t>
            </w:r>
          </w:p>
        </w:tc>
        <w:tc>
          <w:tcPr>
            <w:tcW w:w="1064" w:type="dxa"/>
            <w:tcBorders>
              <w:top w:val="nil"/>
              <w:left w:val="nil"/>
              <w:bottom w:val="nil"/>
              <w:right w:val="nil"/>
            </w:tcBorders>
          </w:tcPr>
          <w:p w14:paraId="5E145D7D" w14:textId="39D3A7A4" w:rsidR="00EB3FAB" w:rsidRPr="00EB3FAB" w:rsidRDefault="00EB3FAB" w:rsidP="00EB3FAB">
            <w:pPr>
              <w:jc w:val="center"/>
              <w:rPr>
                <w:rFonts w:ascii="Bookman Old Style" w:hAnsi="Bookman Old Style"/>
                <w:sz w:val="16"/>
              </w:rPr>
            </w:pPr>
            <w:r w:rsidRPr="00EB3FAB">
              <w:rPr>
                <w:rFonts w:ascii="Bookman Old Style" w:hAnsi="Bookman Old Style"/>
                <w:sz w:val="16"/>
              </w:rPr>
              <w:t>13.86</w:t>
            </w:r>
          </w:p>
        </w:tc>
      </w:tr>
      <w:tr w:rsidR="00EB3FAB" w14:paraId="7DBB74ED" w14:textId="77777777" w:rsidTr="00EB3FAB">
        <w:tc>
          <w:tcPr>
            <w:tcW w:w="1278" w:type="dxa"/>
            <w:tcBorders>
              <w:top w:val="nil"/>
              <w:left w:val="nil"/>
              <w:bottom w:val="nil"/>
              <w:right w:val="nil"/>
            </w:tcBorders>
          </w:tcPr>
          <w:p w14:paraId="624E0132" w14:textId="1DCBFCDA" w:rsidR="00EB3FAB" w:rsidRPr="00EB3FAB" w:rsidRDefault="00EB3FAB" w:rsidP="00EB3FAB">
            <w:pPr>
              <w:rPr>
                <w:rFonts w:ascii="Bookman Old Style" w:hAnsi="Bookman Old Style"/>
                <w:sz w:val="16"/>
              </w:rPr>
            </w:pPr>
            <w:r w:rsidRPr="00EB3FAB">
              <w:rPr>
                <w:rFonts w:ascii="Bookman Old Style" w:hAnsi="Bookman Old Style"/>
                <w:sz w:val="16"/>
              </w:rPr>
              <w:t>20 – 39.99</w:t>
            </w:r>
          </w:p>
        </w:tc>
        <w:tc>
          <w:tcPr>
            <w:tcW w:w="850" w:type="dxa"/>
            <w:tcBorders>
              <w:top w:val="nil"/>
              <w:left w:val="nil"/>
              <w:bottom w:val="nil"/>
              <w:right w:val="nil"/>
            </w:tcBorders>
          </w:tcPr>
          <w:p w14:paraId="6590B560" w14:textId="35AFF3BD" w:rsidR="00EB3FAB" w:rsidRPr="00EB3FAB" w:rsidRDefault="00EB3FAB" w:rsidP="00EB3FAB">
            <w:pPr>
              <w:jc w:val="center"/>
              <w:rPr>
                <w:rFonts w:ascii="Bookman Old Style" w:hAnsi="Bookman Old Style"/>
                <w:sz w:val="16"/>
              </w:rPr>
            </w:pPr>
            <w:r w:rsidRPr="00EB3FAB">
              <w:rPr>
                <w:rFonts w:ascii="Bookman Old Style" w:hAnsi="Bookman Old Style"/>
                <w:sz w:val="16"/>
              </w:rPr>
              <w:t>1,442</w:t>
            </w:r>
          </w:p>
        </w:tc>
        <w:tc>
          <w:tcPr>
            <w:tcW w:w="1064" w:type="dxa"/>
            <w:tcBorders>
              <w:top w:val="nil"/>
              <w:left w:val="nil"/>
              <w:bottom w:val="nil"/>
              <w:right w:val="nil"/>
            </w:tcBorders>
          </w:tcPr>
          <w:p w14:paraId="7B8B1863" w14:textId="3A266A82" w:rsidR="00EB3FAB" w:rsidRPr="00EB3FAB" w:rsidRDefault="00EB3FAB" w:rsidP="00EB3FAB">
            <w:pPr>
              <w:jc w:val="center"/>
              <w:rPr>
                <w:rFonts w:ascii="Bookman Old Style" w:hAnsi="Bookman Old Style"/>
                <w:sz w:val="16"/>
              </w:rPr>
            </w:pPr>
            <w:r w:rsidRPr="00EB3FAB">
              <w:rPr>
                <w:rFonts w:ascii="Bookman Old Style" w:hAnsi="Bookman Old Style"/>
                <w:sz w:val="16"/>
              </w:rPr>
              <w:t>6.96</w:t>
            </w:r>
          </w:p>
        </w:tc>
        <w:tc>
          <w:tcPr>
            <w:tcW w:w="1064" w:type="dxa"/>
            <w:tcBorders>
              <w:top w:val="nil"/>
              <w:left w:val="nil"/>
              <w:bottom w:val="nil"/>
              <w:right w:val="nil"/>
            </w:tcBorders>
          </w:tcPr>
          <w:p w14:paraId="2233791D" w14:textId="6ED0D6B0" w:rsidR="00EB3FAB" w:rsidRPr="00EB3FAB" w:rsidRDefault="00EB3FAB" w:rsidP="00EB3FAB">
            <w:pPr>
              <w:jc w:val="center"/>
              <w:rPr>
                <w:rFonts w:ascii="Bookman Old Style" w:hAnsi="Bookman Old Style"/>
                <w:sz w:val="16"/>
              </w:rPr>
            </w:pPr>
            <w:r w:rsidRPr="00EB3FAB">
              <w:rPr>
                <w:rFonts w:ascii="Bookman Old Style" w:hAnsi="Bookman Old Style"/>
                <w:sz w:val="16"/>
              </w:rPr>
              <w:t>7.06</w:t>
            </w:r>
          </w:p>
        </w:tc>
        <w:tc>
          <w:tcPr>
            <w:tcW w:w="1064" w:type="dxa"/>
            <w:tcBorders>
              <w:top w:val="nil"/>
              <w:left w:val="nil"/>
              <w:bottom w:val="nil"/>
              <w:right w:val="nil"/>
            </w:tcBorders>
          </w:tcPr>
          <w:p w14:paraId="2BBA1DC9" w14:textId="5CC9197E" w:rsidR="00EB3FAB" w:rsidRPr="00EB3FAB" w:rsidRDefault="00EB3FAB" w:rsidP="00EB3FAB">
            <w:pPr>
              <w:jc w:val="center"/>
              <w:rPr>
                <w:rFonts w:ascii="Bookman Old Style" w:hAnsi="Bookman Old Style"/>
                <w:sz w:val="16"/>
              </w:rPr>
            </w:pPr>
            <w:r w:rsidRPr="00EB3FAB">
              <w:rPr>
                <w:rFonts w:ascii="Bookman Old Style" w:hAnsi="Bookman Old Style"/>
                <w:sz w:val="16"/>
              </w:rPr>
              <w:t>14.03</w:t>
            </w:r>
          </w:p>
        </w:tc>
        <w:tc>
          <w:tcPr>
            <w:tcW w:w="1064" w:type="dxa"/>
            <w:tcBorders>
              <w:top w:val="nil"/>
              <w:left w:val="nil"/>
              <w:bottom w:val="nil"/>
              <w:right w:val="nil"/>
            </w:tcBorders>
          </w:tcPr>
          <w:p w14:paraId="1E15701A" w14:textId="29E3E4D8" w:rsidR="00EB3FAB" w:rsidRPr="00EB3FAB" w:rsidRDefault="00EB3FAB" w:rsidP="00EB3FAB">
            <w:pPr>
              <w:jc w:val="center"/>
              <w:rPr>
                <w:rFonts w:ascii="Bookman Old Style" w:hAnsi="Bookman Old Style"/>
                <w:sz w:val="16"/>
              </w:rPr>
            </w:pPr>
            <w:r w:rsidRPr="00EB3FAB">
              <w:rPr>
                <w:rFonts w:ascii="Bookman Old Style" w:hAnsi="Bookman Old Style"/>
                <w:sz w:val="16"/>
              </w:rPr>
              <w:t>1,393</w:t>
            </w:r>
          </w:p>
        </w:tc>
        <w:tc>
          <w:tcPr>
            <w:tcW w:w="1064" w:type="dxa"/>
            <w:tcBorders>
              <w:top w:val="nil"/>
              <w:left w:val="nil"/>
              <w:bottom w:val="nil"/>
              <w:right w:val="nil"/>
            </w:tcBorders>
          </w:tcPr>
          <w:p w14:paraId="377A653F" w14:textId="26CF05CA" w:rsidR="00EB3FAB" w:rsidRPr="00EB3FAB" w:rsidRDefault="00EB3FAB" w:rsidP="00EB3FAB">
            <w:pPr>
              <w:jc w:val="center"/>
              <w:rPr>
                <w:rFonts w:ascii="Bookman Old Style" w:hAnsi="Bookman Old Style"/>
                <w:sz w:val="16"/>
              </w:rPr>
            </w:pPr>
            <w:r w:rsidRPr="00EB3FAB">
              <w:rPr>
                <w:rFonts w:ascii="Bookman Old Style" w:hAnsi="Bookman Old Style"/>
                <w:sz w:val="16"/>
              </w:rPr>
              <w:t>5.44</w:t>
            </w:r>
          </w:p>
        </w:tc>
        <w:tc>
          <w:tcPr>
            <w:tcW w:w="1064" w:type="dxa"/>
            <w:tcBorders>
              <w:top w:val="nil"/>
              <w:left w:val="nil"/>
              <w:bottom w:val="nil"/>
              <w:right w:val="nil"/>
            </w:tcBorders>
          </w:tcPr>
          <w:p w14:paraId="6D8AE685" w14:textId="6F1DEF9F" w:rsidR="00EB3FAB" w:rsidRPr="00EB3FAB" w:rsidRDefault="00EB3FAB" w:rsidP="00EB3FAB">
            <w:pPr>
              <w:jc w:val="center"/>
              <w:rPr>
                <w:rFonts w:ascii="Bookman Old Style" w:hAnsi="Bookman Old Style"/>
                <w:sz w:val="16"/>
              </w:rPr>
            </w:pPr>
            <w:r w:rsidRPr="00EB3FAB">
              <w:rPr>
                <w:rFonts w:ascii="Bookman Old Style" w:hAnsi="Bookman Old Style"/>
                <w:sz w:val="16"/>
              </w:rPr>
              <w:t>4.10</w:t>
            </w:r>
          </w:p>
        </w:tc>
        <w:tc>
          <w:tcPr>
            <w:tcW w:w="1064" w:type="dxa"/>
            <w:tcBorders>
              <w:top w:val="nil"/>
              <w:left w:val="nil"/>
              <w:bottom w:val="nil"/>
              <w:right w:val="nil"/>
            </w:tcBorders>
          </w:tcPr>
          <w:p w14:paraId="04BA64D8" w14:textId="6A7E8D69" w:rsidR="00EB3FAB" w:rsidRPr="00EB3FAB" w:rsidRDefault="00EB3FAB" w:rsidP="00EB3FAB">
            <w:pPr>
              <w:jc w:val="center"/>
              <w:rPr>
                <w:rFonts w:ascii="Bookman Old Style" w:hAnsi="Bookman Old Style"/>
                <w:sz w:val="16"/>
              </w:rPr>
            </w:pPr>
            <w:r w:rsidRPr="00EB3FAB">
              <w:rPr>
                <w:rFonts w:ascii="Bookman Old Style" w:hAnsi="Bookman Old Style"/>
                <w:sz w:val="16"/>
              </w:rPr>
              <w:t>9.54</w:t>
            </w:r>
          </w:p>
        </w:tc>
      </w:tr>
      <w:tr w:rsidR="00EB3FAB" w14:paraId="6433ECB5" w14:textId="77777777" w:rsidTr="00EB3FAB">
        <w:tc>
          <w:tcPr>
            <w:tcW w:w="1278" w:type="dxa"/>
            <w:tcBorders>
              <w:top w:val="nil"/>
              <w:left w:val="nil"/>
              <w:bottom w:val="nil"/>
              <w:right w:val="nil"/>
            </w:tcBorders>
          </w:tcPr>
          <w:p w14:paraId="02210529" w14:textId="2D78782E" w:rsidR="00EB3FAB" w:rsidRPr="00EB3FAB" w:rsidRDefault="00EB3FAB" w:rsidP="00EB3FAB">
            <w:pPr>
              <w:rPr>
                <w:rFonts w:ascii="Bookman Old Style" w:hAnsi="Bookman Old Style"/>
                <w:sz w:val="16"/>
              </w:rPr>
            </w:pPr>
            <w:r w:rsidRPr="00EB3FAB">
              <w:rPr>
                <w:rFonts w:ascii="Bookman Old Style" w:hAnsi="Bookman Old Style"/>
                <w:sz w:val="16"/>
              </w:rPr>
              <w:t>40 – 59.99</w:t>
            </w:r>
          </w:p>
        </w:tc>
        <w:tc>
          <w:tcPr>
            <w:tcW w:w="850" w:type="dxa"/>
            <w:tcBorders>
              <w:top w:val="nil"/>
              <w:left w:val="nil"/>
              <w:bottom w:val="nil"/>
              <w:right w:val="nil"/>
            </w:tcBorders>
          </w:tcPr>
          <w:p w14:paraId="47CFA7DF" w14:textId="01A73DE7" w:rsidR="00EB3FAB" w:rsidRPr="00EB3FAB" w:rsidRDefault="00EB3FAB" w:rsidP="00EB3FAB">
            <w:pPr>
              <w:jc w:val="center"/>
              <w:rPr>
                <w:rFonts w:ascii="Bookman Old Style" w:hAnsi="Bookman Old Style"/>
                <w:sz w:val="16"/>
              </w:rPr>
            </w:pPr>
            <w:r w:rsidRPr="00EB3FAB">
              <w:rPr>
                <w:rFonts w:ascii="Bookman Old Style" w:hAnsi="Bookman Old Style"/>
                <w:sz w:val="16"/>
              </w:rPr>
              <w:t>880</w:t>
            </w:r>
          </w:p>
        </w:tc>
        <w:tc>
          <w:tcPr>
            <w:tcW w:w="1064" w:type="dxa"/>
            <w:tcBorders>
              <w:top w:val="nil"/>
              <w:left w:val="nil"/>
              <w:bottom w:val="nil"/>
              <w:right w:val="nil"/>
            </w:tcBorders>
          </w:tcPr>
          <w:p w14:paraId="0467F5C7" w14:textId="07FE7B72" w:rsidR="00EB3FAB" w:rsidRPr="00EB3FAB" w:rsidRDefault="00EB3FAB" w:rsidP="00EB3FAB">
            <w:pPr>
              <w:jc w:val="center"/>
              <w:rPr>
                <w:rFonts w:ascii="Bookman Old Style" w:hAnsi="Bookman Old Style"/>
                <w:sz w:val="16"/>
              </w:rPr>
            </w:pPr>
            <w:r w:rsidRPr="00EB3FAB">
              <w:rPr>
                <w:rFonts w:ascii="Bookman Old Style" w:hAnsi="Bookman Old Style"/>
                <w:sz w:val="16"/>
              </w:rPr>
              <w:t>6.89</w:t>
            </w:r>
          </w:p>
        </w:tc>
        <w:tc>
          <w:tcPr>
            <w:tcW w:w="1064" w:type="dxa"/>
            <w:tcBorders>
              <w:top w:val="nil"/>
              <w:left w:val="nil"/>
              <w:bottom w:val="nil"/>
              <w:right w:val="nil"/>
            </w:tcBorders>
          </w:tcPr>
          <w:p w14:paraId="234C7CA8" w14:textId="48D2848E" w:rsidR="00EB3FAB" w:rsidRPr="00EB3FAB" w:rsidRDefault="00EB3FAB" w:rsidP="00EB3FAB">
            <w:pPr>
              <w:jc w:val="center"/>
              <w:rPr>
                <w:rFonts w:ascii="Bookman Old Style" w:hAnsi="Bookman Old Style"/>
                <w:sz w:val="16"/>
              </w:rPr>
            </w:pPr>
            <w:r w:rsidRPr="00EB3FAB">
              <w:rPr>
                <w:rFonts w:ascii="Bookman Old Style" w:hAnsi="Bookman Old Style"/>
                <w:sz w:val="16"/>
              </w:rPr>
              <w:t>2.87</w:t>
            </w:r>
          </w:p>
        </w:tc>
        <w:tc>
          <w:tcPr>
            <w:tcW w:w="1064" w:type="dxa"/>
            <w:tcBorders>
              <w:top w:val="nil"/>
              <w:left w:val="nil"/>
              <w:bottom w:val="nil"/>
              <w:right w:val="nil"/>
            </w:tcBorders>
          </w:tcPr>
          <w:p w14:paraId="4856F6B2" w14:textId="4F340D25" w:rsidR="00EB3FAB" w:rsidRPr="00EB3FAB" w:rsidRDefault="00EB3FAB" w:rsidP="00EB3FAB">
            <w:pPr>
              <w:jc w:val="center"/>
              <w:rPr>
                <w:rFonts w:ascii="Bookman Old Style" w:hAnsi="Bookman Old Style"/>
                <w:sz w:val="16"/>
              </w:rPr>
            </w:pPr>
            <w:r w:rsidRPr="00EB3FAB">
              <w:rPr>
                <w:rFonts w:ascii="Bookman Old Style" w:hAnsi="Bookman Old Style"/>
                <w:sz w:val="16"/>
              </w:rPr>
              <w:t>9.77</w:t>
            </w:r>
          </w:p>
        </w:tc>
        <w:tc>
          <w:tcPr>
            <w:tcW w:w="1064" w:type="dxa"/>
            <w:tcBorders>
              <w:top w:val="nil"/>
              <w:left w:val="nil"/>
              <w:bottom w:val="nil"/>
              <w:right w:val="nil"/>
            </w:tcBorders>
          </w:tcPr>
          <w:p w14:paraId="4B42F74F" w14:textId="1AE9269A" w:rsidR="00EB3FAB" w:rsidRPr="00EB3FAB" w:rsidRDefault="00EB3FAB" w:rsidP="00EB3FAB">
            <w:pPr>
              <w:jc w:val="center"/>
              <w:rPr>
                <w:rFonts w:ascii="Bookman Old Style" w:hAnsi="Bookman Old Style"/>
                <w:sz w:val="16"/>
              </w:rPr>
            </w:pPr>
            <w:r w:rsidRPr="00EB3FAB">
              <w:rPr>
                <w:rFonts w:ascii="Bookman Old Style" w:hAnsi="Bookman Old Style"/>
                <w:sz w:val="16"/>
              </w:rPr>
              <w:t>1,129</w:t>
            </w:r>
          </w:p>
        </w:tc>
        <w:tc>
          <w:tcPr>
            <w:tcW w:w="1064" w:type="dxa"/>
            <w:tcBorders>
              <w:top w:val="nil"/>
              <w:left w:val="nil"/>
              <w:bottom w:val="nil"/>
              <w:right w:val="nil"/>
            </w:tcBorders>
          </w:tcPr>
          <w:p w14:paraId="63167A13" w14:textId="7D7A9378" w:rsidR="00EB3FAB" w:rsidRPr="00EB3FAB" w:rsidRDefault="00EB3FAB" w:rsidP="00EB3FAB">
            <w:pPr>
              <w:jc w:val="center"/>
              <w:rPr>
                <w:rFonts w:ascii="Bookman Old Style" w:hAnsi="Bookman Old Style"/>
                <w:sz w:val="16"/>
              </w:rPr>
            </w:pPr>
            <w:r w:rsidRPr="00EB3FAB">
              <w:rPr>
                <w:rFonts w:ascii="Bookman Old Style" w:hAnsi="Bookman Old Style"/>
                <w:sz w:val="16"/>
              </w:rPr>
              <w:t>5.03</w:t>
            </w:r>
          </w:p>
        </w:tc>
        <w:tc>
          <w:tcPr>
            <w:tcW w:w="1064" w:type="dxa"/>
            <w:tcBorders>
              <w:top w:val="nil"/>
              <w:left w:val="nil"/>
              <w:bottom w:val="nil"/>
              <w:right w:val="nil"/>
            </w:tcBorders>
          </w:tcPr>
          <w:p w14:paraId="705605B6" w14:textId="62786544" w:rsidR="00EB3FAB" w:rsidRPr="00EB3FAB" w:rsidRDefault="00EB3FAB" w:rsidP="00EB3FAB">
            <w:pPr>
              <w:jc w:val="center"/>
              <w:rPr>
                <w:rFonts w:ascii="Bookman Old Style" w:hAnsi="Bookman Old Style"/>
                <w:sz w:val="16"/>
              </w:rPr>
            </w:pPr>
            <w:r w:rsidRPr="00EB3FAB">
              <w:rPr>
                <w:rFonts w:ascii="Bookman Old Style" w:hAnsi="Bookman Old Style"/>
                <w:sz w:val="16"/>
              </w:rPr>
              <w:t>8.93</w:t>
            </w:r>
          </w:p>
        </w:tc>
        <w:tc>
          <w:tcPr>
            <w:tcW w:w="1064" w:type="dxa"/>
            <w:tcBorders>
              <w:top w:val="nil"/>
              <w:left w:val="nil"/>
              <w:bottom w:val="nil"/>
              <w:right w:val="nil"/>
            </w:tcBorders>
          </w:tcPr>
          <w:p w14:paraId="2F261D04" w14:textId="3FD1D984" w:rsidR="00EB3FAB" w:rsidRPr="00EB3FAB" w:rsidRDefault="00EB3FAB" w:rsidP="00EB3FAB">
            <w:pPr>
              <w:jc w:val="center"/>
              <w:rPr>
                <w:rFonts w:ascii="Bookman Old Style" w:hAnsi="Bookman Old Style"/>
                <w:sz w:val="16"/>
              </w:rPr>
            </w:pPr>
            <w:r w:rsidRPr="00EB3FAB">
              <w:rPr>
                <w:rFonts w:ascii="Bookman Old Style" w:hAnsi="Bookman Old Style"/>
                <w:sz w:val="16"/>
              </w:rPr>
              <w:t>13.96</w:t>
            </w:r>
          </w:p>
        </w:tc>
      </w:tr>
      <w:tr w:rsidR="00EB3FAB" w14:paraId="0CD8118D" w14:textId="77777777" w:rsidTr="00EB3FAB">
        <w:tc>
          <w:tcPr>
            <w:tcW w:w="1278" w:type="dxa"/>
            <w:tcBorders>
              <w:top w:val="nil"/>
              <w:left w:val="nil"/>
              <w:bottom w:val="nil"/>
              <w:right w:val="nil"/>
            </w:tcBorders>
          </w:tcPr>
          <w:p w14:paraId="6180E73A" w14:textId="0E146C4D" w:rsidR="00EB3FAB" w:rsidRPr="00EB3FAB" w:rsidRDefault="00EB3FAB" w:rsidP="00EB3FAB">
            <w:pPr>
              <w:rPr>
                <w:rFonts w:ascii="Bookman Old Style" w:hAnsi="Bookman Old Style"/>
                <w:sz w:val="16"/>
              </w:rPr>
            </w:pPr>
            <w:r w:rsidRPr="00EB3FAB">
              <w:rPr>
                <w:rFonts w:ascii="Bookman Old Style" w:hAnsi="Bookman Old Style"/>
                <w:sz w:val="16"/>
              </w:rPr>
              <w:t>60 – 79.99</w:t>
            </w:r>
          </w:p>
        </w:tc>
        <w:tc>
          <w:tcPr>
            <w:tcW w:w="850" w:type="dxa"/>
            <w:tcBorders>
              <w:top w:val="nil"/>
              <w:left w:val="nil"/>
              <w:bottom w:val="nil"/>
              <w:right w:val="nil"/>
            </w:tcBorders>
          </w:tcPr>
          <w:p w14:paraId="29338426" w14:textId="408B8E34" w:rsidR="00EB3FAB" w:rsidRPr="00EB3FAB" w:rsidRDefault="00EB3FAB" w:rsidP="00EB3FAB">
            <w:pPr>
              <w:jc w:val="center"/>
              <w:rPr>
                <w:rFonts w:ascii="Bookman Old Style" w:hAnsi="Bookman Old Style"/>
                <w:sz w:val="16"/>
              </w:rPr>
            </w:pPr>
            <w:r w:rsidRPr="00EB3FAB">
              <w:rPr>
                <w:rFonts w:ascii="Bookman Old Style" w:hAnsi="Bookman Old Style"/>
                <w:sz w:val="16"/>
              </w:rPr>
              <w:t>522</w:t>
            </w:r>
          </w:p>
        </w:tc>
        <w:tc>
          <w:tcPr>
            <w:tcW w:w="1064" w:type="dxa"/>
            <w:tcBorders>
              <w:top w:val="nil"/>
              <w:left w:val="nil"/>
              <w:bottom w:val="nil"/>
              <w:right w:val="nil"/>
            </w:tcBorders>
          </w:tcPr>
          <w:p w14:paraId="386164BF" w14:textId="44DB3EA0" w:rsidR="00EB3FAB" w:rsidRPr="00EB3FAB" w:rsidRDefault="00EB3FAB" w:rsidP="00EB3FAB">
            <w:pPr>
              <w:jc w:val="center"/>
              <w:rPr>
                <w:rFonts w:ascii="Bookman Old Style" w:hAnsi="Bookman Old Style"/>
                <w:sz w:val="16"/>
              </w:rPr>
            </w:pPr>
            <w:r w:rsidRPr="00EB3FAB">
              <w:rPr>
                <w:rFonts w:ascii="Bookman Old Style" w:hAnsi="Bookman Old Style"/>
                <w:sz w:val="16"/>
              </w:rPr>
              <w:t>6.79</w:t>
            </w:r>
          </w:p>
        </w:tc>
        <w:tc>
          <w:tcPr>
            <w:tcW w:w="1064" w:type="dxa"/>
            <w:tcBorders>
              <w:top w:val="nil"/>
              <w:left w:val="nil"/>
              <w:bottom w:val="nil"/>
              <w:right w:val="nil"/>
            </w:tcBorders>
          </w:tcPr>
          <w:p w14:paraId="0B62BD0B" w14:textId="29FE62E2" w:rsidR="00EB3FAB" w:rsidRPr="00EB3FAB" w:rsidRDefault="00EB3FAB" w:rsidP="00EB3FAB">
            <w:pPr>
              <w:jc w:val="center"/>
              <w:rPr>
                <w:rFonts w:ascii="Bookman Old Style" w:hAnsi="Bookman Old Style"/>
                <w:sz w:val="16"/>
              </w:rPr>
            </w:pPr>
            <w:r w:rsidRPr="00EB3FAB">
              <w:rPr>
                <w:rFonts w:ascii="Bookman Old Style" w:hAnsi="Bookman Old Style"/>
                <w:sz w:val="16"/>
              </w:rPr>
              <w:t>2.16</w:t>
            </w:r>
          </w:p>
        </w:tc>
        <w:tc>
          <w:tcPr>
            <w:tcW w:w="1064" w:type="dxa"/>
            <w:tcBorders>
              <w:top w:val="nil"/>
              <w:left w:val="nil"/>
              <w:bottom w:val="nil"/>
              <w:right w:val="nil"/>
            </w:tcBorders>
          </w:tcPr>
          <w:p w14:paraId="65FB17AD" w14:textId="1F243B04" w:rsidR="00EB3FAB" w:rsidRPr="00EB3FAB" w:rsidRDefault="00EB3FAB" w:rsidP="00EB3FAB">
            <w:pPr>
              <w:jc w:val="center"/>
              <w:rPr>
                <w:rFonts w:ascii="Bookman Old Style" w:hAnsi="Bookman Old Style"/>
                <w:sz w:val="16"/>
              </w:rPr>
            </w:pPr>
            <w:r w:rsidRPr="00EB3FAB">
              <w:rPr>
                <w:rFonts w:ascii="Bookman Old Style" w:hAnsi="Bookman Old Style"/>
                <w:sz w:val="16"/>
              </w:rPr>
              <w:t>8.94</w:t>
            </w:r>
          </w:p>
        </w:tc>
        <w:tc>
          <w:tcPr>
            <w:tcW w:w="1064" w:type="dxa"/>
            <w:tcBorders>
              <w:top w:val="nil"/>
              <w:left w:val="nil"/>
              <w:bottom w:val="nil"/>
              <w:right w:val="nil"/>
            </w:tcBorders>
          </w:tcPr>
          <w:p w14:paraId="6CC82907" w14:textId="4BF8C3CC" w:rsidR="00EB3FAB" w:rsidRPr="00EB3FAB" w:rsidRDefault="00EB3FAB" w:rsidP="00EB3FAB">
            <w:pPr>
              <w:jc w:val="center"/>
              <w:rPr>
                <w:rFonts w:ascii="Bookman Old Style" w:hAnsi="Bookman Old Style"/>
                <w:sz w:val="16"/>
              </w:rPr>
            </w:pPr>
            <w:r w:rsidRPr="00EB3FAB">
              <w:rPr>
                <w:rFonts w:ascii="Bookman Old Style" w:hAnsi="Bookman Old Style"/>
                <w:sz w:val="16"/>
              </w:rPr>
              <w:t>841</w:t>
            </w:r>
          </w:p>
        </w:tc>
        <w:tc>
          <w:tcPr>
            <w:tcW w:w="1064" w:type="dxa"/>
            <w:tcBorders>
              <w:top w:val="nil"/>
              <w:left w:val="nil"/>
              <w:bottom w:val="nil"/>
              <w:right w:val="nil"/>
            </w:tcBorders>
          </w:tcPr>
          <w:p w14:paraId="55DAE1EF" w14:textId="217C3D8E" w:rsidR="00EB3FAB" w:rsidRPr="00EB3FAB" w:rsidRDefault="00EB3FAB" w:rsidP="00EB3FAB">
            <w:pPr>
              <w:jc w:val="center"/>
              <w:rPr>
                <w:rFonts w:ascii="Bookman Old Style" w:hAnsi="Bookman Old Style"/>
                <w:sz w:val="16"/>
              </w:rPr>
            </w:pPr>
            <w:r w:rsidRPr="00EB3FAB">
              <w:rPr>
                <w:rFonts w:ascii="Bookman Old Style" w:hAnsi="Bookman Old Style"/>
                <w:sz w:val="16"/>
              </w:rPr>
              <w:t>4.88</w:t>
            </w:r>
          </w:p>
        </w:tc>
        <w:tc>
          <w:tcPr>
            <w:tcW w:w="1064" w:type="dxa"/>
            <w:tcBorders>
              <w:top w:val="nil"/>
              <w:left w:val="nil"/>
              <w:bottom w:val="nil"/>
              <w:right w:val="nil"/>
            </w:tcBorders>
          </w:tcPr>
          <w:p w14:paraId="491A7959" w14:textId="36523F43" w:rsidR="00EB3FAB" w:rsidRPr="00EB3FAB" w:rsidRDefault="00EB3FAB" w:rsidP="00EB3FAB">
            <w:pPr>
              <w:jc w:val="center"/>
              <w:rPr>
                <w:rFonts w:ascii="Bookman Old Style" w:hAnsi="Bookman Old Style"/>
                <w:sz w:val="16"/>
              </w:rPr>
            </w:pPr>
            <w:r w:rsidRPr="00EB3FAB">
              <w:rPr>
                <w:rFonts w:ascii="Bookman Old Style" w:hAnsi="Bookman Old Style"/>
                <w:sz w:val="16"/>
              </w:rPr>
              <w:t>1.98</w:t>
            </w:r>
          </w:p>
        </w:tc>
        <w:tc>
          <w:tcPr>
            <w:tcW w:w="1064" w:type="dxa"/>
            <w:tcBorders>
              <w:top w:val="nil"/>
              <w:left w:val="nil"/>
              <w:bottom w:val="nil"/>
              <w:right w:val="nil"/>
            </w:tcBorders>
          </w:tcPr>
          <w:p w14:paraId="17AE17E9" w14:textId="0C51BC8B" w:rsidR="00EB3FAB" w:rsidRPr="00EB3FAB" w:rsidRDefault="00EB3FAB" w:rsidP="00EB3FAB">
            <w:pPr>
              <w:jc w:val="center"/>
              <w:rPr>
                <w:rFonts w:ascii="Bookman Old Style" w:hAnsi="Bookman Old Style"/>
                <w:sz w:val="16"/>
              </w:rPr>
            </w:pPr>
            <w:r w:rsidRPr="00EB3FAB">
              <w:rPr>
                <w:rFonts w:ascii="Bookman Old Style" w:hAnsi="Bookman Old Style"/>
                <w:sz w:val="16"/>
              </w:rPr>
              <w:t>6.85</w:t>
            </w:r>
          </w:p>
        </w:tc>
      </w:tr>
      <w:tr w:rsidR="00EB3FAB" w14:paraId="7988F59B" w14:textId="77777777" w:rsidTr="00EB3FAB">
        <w:tc>
          <w:tcPr>
            <w:tcW w:w="1278" w:type="dxa"/>
            <w:tcBorders>
              <w:top w:val="nil"/>
              <w:left w:val="nil"/>
              <w:bottom w:val="nil"/>
              <w:right w:val="nil"/>
            </w:tcBorders>
          </w:tcPr>
          <w:p w14:paraId="39798AD0" w14:textId="608AC5DE" w:rsidR="00EB3FAB" w:rsidRPr="00EB3FAB" w:rsidRDefault="00EB3FAB" w:rsidP="00EB3FAB">
            <w:pPr>
              <w:rPr>
                <w:rFonts w:ascii="Bookman Old Style" w:hAnsi="Bookman Old Style"/>
                <w:sz w:val="16"/>
              </w:rPr>
            </w:pPr>
            <w:r w:rsidRPr="00EB3FAB">
              <w:rPr>
                <w:rFonts w:ascii="Bookman Old Style" w:hAnsi="Bookman Old Style"/>
                <w:sz w:val="16"/>
              </w:rPr>
              <w:t>80 – 99.99</w:t>
            </w:r>
          </w:p>
        </w:tc>
        <w:tc>
          <w:tcPr>
            <w:tcW w:w="850" w:type="dxa"/>
            <w:tcBorders>
              <w:top w:val="nil"/>
              <w:left w:val="nil"/>
              <w:bottom w:val="nil"/>
              <w:right w:val="nil"/>
            </w:tcBorders>
          </w:tcPr>
          <w:p w14:paraId="06CF2BFA" w14:textId="46D5C9F0" w:rsidR="00EB3FAB" w:rsidRPr="00EB3FAB" w:rsidRDefault="00EB3FAB" w:rsidP="00EB3FAB">
            <w:pPr>
              <w:jc w:val="center"/>
              <w:rPr>
                <w:rFonts w:ascii="Bookman Old Style" w:hAnsi="Bookman Old Style"/>
                <w:sz w:val="16"/>
              </w:rPr>
            </w:pPr>
            <w:r w:rsidRPr="00EB3FAB">
              <w:rPr>
                <w:rFonts w:ascii="Bookman Old Style" w:hAnsi="Bookman Old Style"/>
                <w:sz w:val="16"/>
              </w:rPr>
              <w:t>327</w:t>
            </w:r>
          </w:p>
        </w:tc>
        <w:tc>
          <w:tcPr>
            <w:tcW w:w="1064" w:type="dxa"/>
            <w:tcBorders>
              <w:top w:val="nil"/>
              <w:left w:val="nil"/>
              <w:bottom w:val="nil"/>
              <w:right w:val="nil"/>
            </w:tcBorders>
          </w:tcPr>
          <w:p w14:paraId="54D6C433" w14:textId="12B0D26F" w:rsidR="00EB3FAB" w:rsidRPr="00EB3FAB" w:rsidRDefault="00EB3FAB" w:rsidP="00EB3FAB">
            <w:pPr>
              <w:jc w:val="center"/>
              <w:rPr>
                <w:rFonts w:ascii="Bookman Old Style" w:hAnsi="Bookman Old Style"/>
                <w:sz w:val="16"/>
              </w:rPr>
            </w:pPr>
            <w:r w:rsidRPr="00EB3FAB">
              <w:rPr>
                <w:rFonts w:ascii="Bookman Old Style" w:hAnsi="Bookman Old Style"/>
                <w:sz w:val="16"/>
              </w:rPr>
              <w:t>6.71</w:t>
            </w:r>
          </w:p>
        </w:tc>
        <w:tc>
          <w:tcPr>
            <w:tcW w:w="1064" w:type="dxa"/>
            <w:tcBorders>
              <w:top w:val="nil"/>
              <w:left w:val="nil"/>
              <w:bottom w:val="nil"/>
              <w:right w:val="nil"/>
            </w:tcBorders>
          </w:tcPr>
          <w:p w14:paraId="4E31C313" w14:textId="2485A26D" w:rsidR="00EB3FAB" w:rsidRPr="00EB3FAB" w:rsidRDefault="00EB3FAB" w:rsidP="00EB3FAB">
            <w:pPr>
              <w:jc w:val="center"/>
              <w:rPr>
                <w:rFonts w:ascii="Bookman Old Style" w:hAnsi="Bookman Old Style"/>
                <w:sz w:val="16"/>
              </w:rPr>
            </w:pPr>
            <w:r w:rsidRPr="00EB3FAB">
              <w:rPr>
                <w:rFonts w:ascii="Bookman Old Style" w:hAnsi="Bookman Old Style"/>
                <w:sz w:val="16"/>
              </w:rPr>
              <w:t>1.84</w:t>
            </w:r>
          </w:p>
        </w:tc>
        <w:tc>
          <w:tcPr>
            <w:tcW w:w="1064" w:type="dxa"/>
            <w:tcBorders>
              <w:top w:val="nil"/>
              <w:left w:val="nil"/>
              <w:bottom w:val="nil"/>
              <w:right w:val="nil"/>
            </w:tcBorders>
          </w:tcPr>
          <w:p w14:paraId="661594FB" w14:textId="35B4E89E" w:rsidR="00EB3FAB" w:rsidRPr="00EB3FAB" w:rsidRDefault="00EB3FAB" w:rsidP="00EB3FAB">
            <w:pPr>
              <w:jc w:val="center"/>
              <w:rPr>
                <w:rFonts w:ascii="Bookman Old Style" w:hAnsi="Bookman Old Style"/>
                <w:sz w:val="16"/>
              </w:rPr>
            </w:pPr>
            <w:r w:rsidRPr="00EB3FAB">
              <w:rPr>
                <w:rFonts w:ascii="Bookman Old Style" w:hAnsi="Bookman Old Style"/>
                <w:sz w:val="16"/>
              </w:rPr>
              <w:t>8.55</w:t>
            </w:r>
          </w:p>
        </w:tc>
        <w:tc>
          <w:tcPr>
            <w:tcW w:w="1064" w:type="dxa"/>
            <w:tcBorders>
              <w:top w:val="nil"/>
              <w:left w:val="nil"/>
              <w:bottom w:val="nil"/>
              <w:right w:val="nil"/>
            </w:tcBorders>
          </w:tcPr>
          <w:p w14:paraId="65013C4B" w14:textId="784CD800" w:rsidR="00EB3FAB" w:rsidRPr="00EB3FAB" w:rsidRDefault="00EB3FAB" w:rsidP="00EB3FAB">
            <w:pPr>
              <w:jc w:val="center"/>
              <w:rPr>
                <w:rFonts w:ascii="Bookman Old Style" w:hAnsi="Bookman Old Style"/>
                <w:sz w:val="16"/>
              </w:rPr>
            </w:pPr>
            <w:r w:rsidRPr="00EB3FAB">
              <w:rPr>
                <w:rFonts w:ascii="Bookman Old Style" w:hAnsi="Bookman Old Style"/>
                <w:sz w:val="16"/>
              </w:rPr>
              <w:t>536</w:t>
            </w:r>
          </w:p>
        </w:tc>
        <w:tc>
          <w:tcPr>
            <w:tcW w:w="1064" w:type="dxa"/>
            <w:tcBorders>
              <w:top w:val="nil"/>
              <w:left w:val="nil"/>
              <w:bottom w:val="nil"/>
              <w:right w:val="nil"/>
            </w:tcBorders>
          </w:tcPr>
          <w:p w14:paraId="7B7304A6" w14:textId="370779B4" w:rsidR="00EB3FAB" w:rsidRPr="00EB3FAB" w:rsidRDefault="00EB3FAB" w:rsidP="00EB3FAB">
            <w:pPr>
              <w:jc w:val="center"/>
              <w:rPr>
                <w:rFonts w:ascii="Bookman Old Style" w:hAnsi="Bookman Old Style"/>
                <w:sz w:val="16"/>
              </w:rPr>
            </w:pPr>
            <w:r w:rsidRPr="00EB3FAB">
              <w:rPr>
                <w:rFonts w:ascii="Bookman Old Style" w:hAnsi="Bookman Old Style"/>
                <w:sz w:val="16"/>
              </w:rPr>
              <w:t>4.67</w:t>
            </w:r>
          </w:p>
        </w:tc>
        <w:tc>
          <w:tcPr>
            <w:tcW w:w="1064" w:type="dxa"/>
            <w:tcBorders>
              <w:top w:val="nil"/>
              <w:left w:val="nil"/>
              <w:bottom w:val="nil"/>
              <w:right w:val="nil"/>
            </w:tcBorders>
          </w:tcPr>
          <w:p w14:paraId="06865ABB" w14:textId="7253E28F" w:rsidR="00EB3FAB" w:rsidRPr="00EB3FAB" w:rsidRDefault="00EB3FAB" w:rsidP="00EB3FAB">
            <w:pPr>
              <w:jc w:val="center"/>
              <w:rPr>
                <w:rFonts w:ascii="Bookman Old Style" w:hAnsi="Bookman Old Style"/>
                <w:sz w:val="16"/>
              </w:rPr>
            </w:pPr>
            <w:r w:rsidRPr="00EB3FAB">
              <w:rPr>
                <w:rFonts w:ascii="Bookman Old Style" w:hAnsi="Bookman Old Style"/>
                <w:sz w:val="16"/>
              </w:rPr>
              <w:t>2.05</w:t>
            </w:r>
          </w:p>
        </w:tc>
        <w:tc>
          <w:tcPr>
            <w:tcW w:w="1064" w:type="dxa"/>
            <w:tcBorders>
              <w:top w:val="nil"/>
              <w:left w:val="nil"/>
              <w:bottom w:val="nil"/>
              <w:right w:val="nil"/>
            </w:tcBorders>
          </w:tcPr>
          <w:p w14:paraId="6B536650" w14:textId="172780BD" w:rsidR="00EB3FAB" w:rsidRPr="00EB3FAB" w:rsidRDefault="00EB3FAB" w:rsidP="00EB3FAB">
            <w:pPr>
              <w:jc w:val="center"/>
              <w:rPr>
                <w:rFonts w:ascii="Bookman Old Style" w:hAnsi="Bookman Old Style"/>
                <w:sz w:val="16"/>
              </w:rPr>
            </w:pPr>
            <w:r w:rsidRPr="00EB3FAB">
              <w:rPr>
                <w:rFonts w:ascii="Bookman Old Style" w:hAnsi="Bookman Old Style"/>
                <w:sz w:val="16"/>
              </w:rPr>
              <w:t>6.72</w:t>
            </w:r>
          </w:p>
        </w:tc>
      </w:tr>
      <w:tr w:rsidR="00EB3FAB" w14:paraId="0C479942" w14:textId="77777777" w:rsidTr="00EB3FAB">
        <w:tc>
          <w:tcPr>
            <w:tcW w:w="1278" w:type="dxa"/>
            <w:tcBorders>
              <w:top w:val="nil"/>
              <w:left w:val="nil"/>
              <w:bottom w:val="nil"/>
              <w:right w:val="nil"/>
            </w:tcBorders>
          </w:tcPr>
          <w:p w14:paraId="7163BC4C" w14:textId="20812007" w:rsidR="00EB3FAB" w:rsidRPr="00EB3FAB" w:rsidRDefault="00EB3FAB" w:rsidP="00EB3FAB">
            <w:pPr>
              <w:rPr>
                <w:rFonts w:ascii="Bookman Old Style" w:hAnsi="Bookman Old Style"/>
                <w:sz w:val="16"/>
              </w:rPr>
            </w:pPr>
            <w:r w:rsidRPr="00EB3FAB">
              <w:rPr>
                <w:rFonts w:ascii="Bookman Old Style" w:hAnsi="Bookman Old Style"/>
                <w:sz w:val="16"/>
              </w:rPr>
              <w:t>100 – 199.99</w:t>
            </w:r>
          </w:p>
        </w:tc>
        <w:tc>
          <w:tcPr>
            <w:tcW w:w="850" w:type="dxa"/>
            <w:tcBorders>
              <w:top w:val="nil"/>
              <w:left w:val="nil"/>
              <w:bottom w:val="nil"/>
              <w:right w:val="nil"/>
            </w:tcBorders>
          </w:tcPr>
          <w:p w14:paraId="1A3BA373" w14:textId="0C87B27D" w:rsidR="00EB3FAB" w:rsidRPr="00EB3FAB" w:rsidRDefault="00EB3FAB" w:rsidP="00EB3FAB">
            <w:pPr>
              <w:jc w:val="center"/>
              <w:rPr>
                <w:rFonts w:ascii="Bookman Old Style" w:hAnsi="Bookman Old Style"/>
                <w:sz w:val="16"/>
              </w:rPr>
            </w:pPr>
            <w:r w:rsidRPr="00EB3FAB">
              <w:rPr>
                <w:rFonts w:ascii="Bookman Old Style" w:hAnsi="Bookman Old Style"/>
                <w:sz w:val="16"/>
              </w:rPr>
              <w:t>702</w:t>
            </w:r>
          </w:p>
        </w:tc>
        <w:tc>
          <w:tcPr>
            <w:tcW w:w="1064" w:type="dxa"/>
            <w:tcBorders>
              <w:top w:val="nil"/>
              <w:left w:val="nil"/>
              <w:bottom w:val="nil"/>
              <w:right w:val="nil"/>
            </w:tcBorders>
          </w:tcPr>
          <w:p w14:paraId="7CFA45B8" w14:textId="761E68E3" w:rsidR="00EB3FAB" w:rsidRPr="00EB3FAB" w:rsidRDefault="00EB3FAB" w:rsidP="00EB3FAB">
            <w:pPr>
              <w:jc w:val="center"/>
              <w:rPr>
                <w:rFonts w:ascii="Bookman Old Style" w:hAnsi="Bookman Old Style"/>
                <w:sz w:val="16"/>
              </w:rPr>
            </w:pPr>
            <w:r w:rsidRPr="00EB3FAB">
              <w:rPr>
                <w:rFonts w:ascii="Bookman Old Style" w:hAnsi="Bookman Old Style"/>
                <w:sz w:val="16"/>
              </w:rPr>
              <w:t>6.39</w:t>
            </w:r>
          </w:p>
        </w:tc>
        <w:tc>
          <w:tcPr>
            <w:tcW w:w="1064" w:type="dxa"/>
            <w:tcBorders>
              <w:top w:val="nil"/>
              <w:left w:val="nil"/>
              <w:bottom w:val="nil"/>
              <w:right w:val="nil"/>
            </w:tcBorders>
          </w:tcPr>
          <w:p w14:paraId="2851A6F8" w14:textId="3EC54A81" w:rsidR="00EB3FAB" w:rsidRPr="00EB3FAB" w:rsidRDefault="00EB3FAB" w:rsidP="00EB3FAB">
            <w:pPr>
              <w:jc w:val="center"/>
              <w:rPr>
                <w:rFonts w:ascii="Bookman Old Style" w:hAnsi="Bookman Old Style"/>
                <w:sz w:val="16"/>
              </w:rPr>
            </w:pPr>
            <w:r w:rsidRPr="00EB3FAB">
              <w:rPr>
                <w:rFonts w:ascii="Bookman Old Style" w:hAnsi="Bookman Old Style"/>
                <w:sz w:val="16"/>
              </w:rPr>
              <w:t>1.57</w:t>
            </w:r>
          </w:p>
        </w:tc>
        <w:tc>
          <w:tcPr>
            <w:tcW w:w="1064" w:type="dxa"/>
            <w:tcBorders>
              <w:top w:val="nil"/>
              <w:left w:val="nil"/>
              <w:bottom w:val="nil"/>
              <w:right w:val="nil"/>
            </w:tcBorders>
          </w:tcPr>
          <w:p w14:paraId="5F7F4D23" w14:textId="6560621A" w:rsidR="00EB3FAB" w:rsidRPr="00EB3FAB" w:rsidRDefault="00EB3FAB" w:rsidP="00EB3FAB">
            <w:pPr>
              <w:jc w:val="center"/>
              <w:rPr>
                <w:rFonts w:ascii="Bookman Old Style" w:hAnsi="Bookman Old Style"/>
                <w:sz w:val="16"/>
              </w:rPr>
            </w:pPr>
            <w:r w:rsidRPr="00EB3FAB">
              <w:rPr>
                <w:rFonts w:ascii="Bookman Old Style" w:hAnsi="Bookman Old Style"/>
                <w:sz w:val="16"/>
              </w:rPr>
              <w:t>7.96</w:t>
            </w:r>
          </w:p>
        </w:tc>
        <w:tc>
          <w:tcPr>
            <w:tcW w:w="1064" w:type="dxa"/>
            <w:tcBorders>
              <w:top w:val="nil"/>
              <w:left w:val="nil"/>
              <w:bottom w:val="nil"/>
              <w:right w:val="nil"/>
            </w:tcBorders>
          </w:tcPr>
          <w:p w14:paraId="31BF17C6" w14:textId="03480C98" w:rsidR="00EB3FAB" w:rsidRPr="00EB3FAB" w:rsidRDefault="00EB3FAB" w:rsidP="00EB3FAB">
            <w:pPr>
              <w:jc w:val="center"/>
              <w:rPr>
                <w:rFonts w:ascii="Bookman Old Style" w:hAnsi="Bookman Old Style"/>
                <w:sz w:val="16"/>
              </w:rPr>
            </w:pPr>
            <w:r w:rsidRPr="00EB3FAB">
              <w:rPr>
                <w:rFonts w:ascii="Bookman Old Style" w:hAnsi="Bookman Old Style"/>
                <w:sz w:val="16"/>
              </w:rPr>
              <w:t>1,372</w:t>
            </w:r>
          </w:p>
        </w:tc>
        <w:tc>
          <w:tcPr>
            <w:tcW w:w="1064" w:type="dxa"/>
            <w:tcBorders>
              <w:top w:val="nil"/>
              <w:left w:val="nil"/>
              <w:bottom w:val="nil"/>
              <w:right w:val="nil"/>
            </w:tcBorders>
          </w:tcPr>
          <w:p w14:paraId="0AFFDB87" w14:textId="71527654" w:rsidR="00EB3FAB" w:rsidRPr="00EB3FAB" w:rsidRDefault="00EB3FAB" w:rsidP="00EB3FAB">
            <w:pPr>
              <w:jc w:val="center"/>
              <w:rPr>
                <w:rFonts w:ascii="Bookman Old Style" w:hAnsi="Bookman Old Style"/>
                <w:sz w:val="16"/>
              </w:rPr>
            </w:pPr>
            <w:r w:rsidRPr="00EB3FAB">
              <w:rPr>
                <w:rFonts w:ascii="Bookman Old Style" w:hAnsi="Bookman Old Style"/>
                <w:sz w:val="16"/>
              </w:rPr>
              <w:t>4.34</w:t>
            </w:r>
          </w:p>
        </w:tc>
        <w:tc>
          <w:tcPr>
            <w:tcW w:w="1064" w:type="dxa"/>
            <w:tcBorders>
              <w:top w:val="nil"/>
              <w:left w:val="nil"/>
              <w:bottom w:val="nil"/>
              <w:right w:val="nil"/>
            </w:tcBorders>
          </w:tcPr>
          <w:p w14:paraId="1495804B" w14:textId="259CFCB2" w:rsidR="00EB3FAB" w:rsidRPr="00EB3FAB" w:rsidRDefault="00EB3FAB" w:rsidP="00EB3FAB">
            <w:pPr>
              <w:jc w:val="center"/>
              <w:rPr>
                <w:rFonts w:ascii="Bookman Old Style" w:hAnsi="Bookman Old Style"/>
                <w:sz w:val="16"/>
              </w:rPr>
            </w:pPr>
            <w:r w:rsidRPr="00EB3FAB">
              <w:rPr>
                <w:rFonts w:ascii="Bookman Old Style" w:hAnsi="Bookman Old Style"/>
                <w:sz w:val="16"/>
              </w:rPr>
              <w:t>0.89</w:t>
            </w:r>
          </w:p>
        </w:tc>
        <w:tc>
          <w:tcPr>
            <w:tcW w:w="1064" w:type="dxa"/>
            <w:tcBorders>
              <w:top w:val="nil"/>
              <w:left w:val="nil"/>
              <w:bottom w:val="nil"/>
              <w:right w:val="nil"/>
            </w:tcBorders>
          </w:tcPr>
          <w:p w14:paraId="46678434" w14:textId="44947FBD" w:rsidR="00EB3FAB" w:rsidRPr="00EB3FAB" w:rsidRDefault="00EB3FAB" w:rsidP="00EB3FAB">
            <w:pPr>
              <w:jc w:val="center"/>
              <w:rPr>
                <w:rFonts w:ascii="Bookman Old Style" w:hAnsi="Bookman Old Style"/>
                <w:sz w:val="16"/>
              </w:rPr>
            </w:pPr>
            <w:r w:rsidRPr="00EB3FAB">
              <w:rPr>
                <w:rFonts w:ascii="Bookman Old Style" w:hAnsi="Bookman Old Style"/>
                <w:sz w:val="16"/>
              </w:rPr>
              <w:t>5.23</w:t>
            </w:r>
          </w:p>
        </w:tc>
      </w:tr>
      <w:tr w:rsidR="00EB3FAB" w14:paraId="28E82422" w14:textId="77777777" w:rsidTr="00EB3FAB">
        <w:tc>
          <w:tcPr>
            <w:tcW w:w="1278" w:type="dxa"/>
            <w:tcBorders>
              <w:top w:val="nil"/>
              <w:left w:val="nil"/>
              <w:bottom w:val="nil"/>
              <w:right w:val="nil"/>
            </w:tcBorders>
          </w:tcPr>
          <w:p w14:paraId="6BD8D7CC" w14:textId="280BAE78" w:rsidR="00EB3FAB" w:rsidRPr="00EB3FAB" w:rsidRDefault="00EB3FAB" w:rsidP="00EB3FAB">
            <w:pPr>
              <w:rPr>
                <w:rFonts w:ascii="Bookman Old Style" w:hAnsi="Bookman Old Style"/>
                <w:sz w:val="16"/>
              </w:rPr>
            </w:pPr>
            <w:r w:rsidRPr="00EB3FAB">
              <w:rPr>
                <w:rFonts w:ascii="Bookman Old Style" w:hAnsi="Bookman Old Style"/>
                <w:sz w:val="16"/>
              </w:rPr>
              <w:t>200 – 499.99</w:t>
            </w:r>
          </w:p>
        </w:tc>
        <w:tc>
          <w:tcPr>
            <w:tcW w:w="850" w:type="dxa"/>
            <w:tcBorders>
              <w:top w:val="nil"/>
              <w:left w:val="nil"/>
              <w:bottom w:val="nil"/>
              <w:right w:val="nil"/>
            </w:tcBorders>
          </w:tcPr>
          <w:p w14:paraId="78DB9F4C" w14:textId="6330F40E" w:rsidR="00EB3FAB" w:rsidRPr="00EB3FAB" w:rsidRDefault="00EB3FAB" w:rsidP="00EB3FAB">
            <w:pPr>
              <w:jc w:val="center"/>
              <w:rPr>
                <w:rFonts w:ascii="Bookman Old Style" w:hAnsi="Bookman Old Style"/>
                <w:sz w:val="16"/>
              </w:rPr>
            </w:pPr>
            <w:r w:rsidRPr="00EB3FAB">
              <w:rPr>
                <w:rFonts w:ascii="Bookman Old Style" w:hAnsi="Bookman Old Style"/>
                <w:sz w:val="16"/>
              </w:rPr>
              <w:t>440</w:t>
            </w:r>
          </w:p>
        </w:tc>
        <w:tc>
          <w:tcPr>
            <w:tcW w:w="1064" w:type="dxa"/>
            <w:tcBorders>
              <w:top w:val="nil"/>
              <w:left w:val="nil"/>
              <w:bottom w:val="nil"/>
              <w:right w:val="nil"/>
            </w:tcBorders>
          </w:tcPr>
          <w:p w14:paraId="1C7B1FEC" w14:textId="680F9B58" w:rsidR="00EB3FAB" w:rsidRPr="00EB3FAB" w:rsidRDefault="00EB3FAB" w:rsidP="00EB3FAB">
            <w:pPr>
              <w:jc w:val="center"/>
              <w:rPr>
                <w:rFonts w:ascii="Bookman Old Style" w:hAnsi="Bookman Old Style"/>
                <w:sz w:val="16"/>
              </w:rPr>
            </w:pPr>
            <w:r w:rsidRPr="00EB3FAB">
              <w:rPr>
                <w:rFonts w:ascii="Bookman Old Style" w:hAnsi="Bookman Old Style"/>
                <w:sz w:val="16"/>
              </w:rPr>
              <w:t>5.81</w:t>
            </w:r>
          </w:p>
        </w:tc>
        <w:tc>
          <w:tcPr>
            <w:tcW w:w="1064" w:type="dxa"/>
            <w:tcBorders>
              <w:top w:val="nil"/>
              <w:left w:val="nil"/>
              <w:bottom w:val="nil"/>
              <w:right w:val="nil"/>
            </w:tcBorders>
          </w:tcPr>
          <w:p w14:paraId="3A845735" w14:textId="39C76C24" w:rsidR="00EB3FAB" w:rsidRPr="00EB3FAB" w:rsidRDefault="00EB3FAB" w:rsidP="00EB3FAB">
            <w:pPr>
              <w:jc w:val="center"/>
              <w:rPr>
                <w:rFonts w:ascii="Bookman Old Style" w:hAnsi="Bookman Old Style"/>
                <w:sz w:val="16"/>
              </w:rPr>
            </w:pPr>
            <w:r w:rsidRPr="00EB3FAB">
              <w:rPr>
                <w:rFonts w:ascii="Bookman Old Style" w:hAnsi="Bookman Old Style"/>
                <w:sz w:val="16"/>
              </w:rPr>
              <w:t>1.03</w:t>
            </w:r>
          </w:p>
        </w:tc>
        <w:tc>
          <w:tcPr>
            <w:tcW w:w="1064" w:type="dxa"/>
            <w:tcBorders>
              <w:top w:val="nil"/>
              <w:left w:val="nil"/>
              <w:bottom w:val="nil"/>
              <w:right w:val="nil"/>
            </w:tcBorders>
          </w:tcPr>
          <w:p w14:paraId="0212681F" w14:textId="328C6D82" w:rsidR="00EB3FAB" w:rsidRPr="00EB3FAB" w:rsidRDefault="00EB3FAB" w:rsidP="00EB3FAB">
            <w:pPr>
              <w:jc w:val="center"/>
              <w:rPr>
                <w:rFonts w:ascii="Bookman Old Style" w:hAnsi="Bookman Old Style"/>
                <w:sz w:val="16"/>
              </w:rPr>
            </w:pPr>
            <w:r w:rsidRPr="00EB3FAB">
              <w:rPr>
                <w:rFonts w:ascii="Bookman Old Style" w:hAnsi="Bookman Old Style"/>
                <w:sz w:val="16"/>
              </w:rPr>
              <w:t>6.84</w:t>
            </w:r>
          </w:p>
        </w:tc>
        <w:tc>
          <w:tcPr>
            <w:tcW w:w="1064" w:type="dxa"/>
            <w:tcBorders>
              <w:top w:val="nil"/>
              <w:left w:val="nil"/>
              <w:bottom w:val="nil"/>
              <w:right w:val="nil"/>
            </w:tcBorders>
          </w:tcPr>
          <w:p w14:paraId="173114E7" w14:textId="5051D231" w:rsidR="00EB3FAB" w:rsidRPr="00EB3FAB" w:rsidRDefault="00EB3FAB" w:rsidP="00EB3FAB">
            <w:pPr>
              <w:jc w:val="center"/>
              <w:rPr>
                <w:rFonts w:ascii="Bookman Old Style" w:hAnsi="Bookman Old Style"/>
                <w:sz w:val="16"/>
              </w:rPr>
            </w:pPr>
            <w:r w:rsidRPr="00EB3FAB">
              <w:rPr>
                <w:rFonts w:ascii="Bookman Old Style" w:hAnsi="Bookman Old Style"/>
                <w:sz w:val="16"/>
              </w:rPr>
              <w:t>811</w:t>
            </w:r>
          </w:p>
        </w:tc>
        <w:tc>
          <w:tcPr>
            <w:tcW w:w="1064" w:type="dxa"/>
            <w:tcBorders>
              <w:top w:val="nil"/>
              <w:left w:val="nil"/>
              <w:bottom w:val="nil"/>
              <w:right w:val="nil"/>
            </w:tcBorders>
          </w:tcPr>
          <w:p w14:paraId="50FB98C4" w14:textId="6DF983F4" w:rsidR="00EB3FAB" w:rsidRPr="00EB3FAB" w:rsidRDefault="00EB3FAB" w:rsidP="00EB3FAB">
            <w:pPr>
              <w:jc w:val="center"/>
              <w:rPr>
                <w:rFonts w:ascii="Bookman Old Style" w:hAnsi="Bookman Old Style"/>
                <w:sz w:val="16"/>
              </w:rPr>
            </w:pPr>
            <w:r w:rsidRPr="00EB3FAB">
              <w:rPr>
                <w:rFonts w:ascii="Bookman Old Style" w:hAnsi="Bookman Old Style"/>
                <w:sz w:val="16"/>
              </w:rPr>
              <w:t>3.72</w:t>
            </w:r>
          </w:p>
        </w:tc>
        <w:tc>
          <w:tcPr>
            <w:tcW w:w="1064" w:type="dxa"/>
            <w:tcBorders>
              <w:top w:val="nil"/>
              <w:left w:val="nil"/>
              <w:bottom w:val="nil"/>
              <w:right w:val="nil"/>
            </w:tcBorders>
          </w:tcPr>
          <w:p w14:paraId="5F20868C" w14:textId="184825E6" w:rsidR="00EB3FAB" w:rsidRPr="00EB3FAB" w:rsidRDefault="00EB3FAB" w:rsidP="00EB3FAB">
            <w:pPr>
              <w:jc w:val="center"/>
              <w:rPr>
                <w:rFonts w:ascii="Bookman Old Style" w:hAnsi="Bookman Old Style"/>
                <w:sz w:val="16"/>
              </w:rPr>
            </w:pPr>
            <w:r w:rsidRPr="00EB3FAB">
              <w:rPr>
                <w:rFonts w:ascii="Bookman Old Style" w:hAnsi="Bookman Old Style"/>
                <w:sz w:val="16"/>
              </w:rPr>
              <w:t>1.22</w:t>
            </w:r>
          </w:p>
        </w:tc>
        <w:tc>
          <w:tcPr>
            <w:tcW w:w="1064" w:type="dxa"/>
            <w:tcBorders>
              <w:top w:val="nil"/>
              <w:left w:val="nil"/>
              <w:bottom w:val="nil"/>
              <w:right w:val="nil"/>
            </w:tcBorders>
          </w:tcPr>
          <w:p w14:paraId="7DD67F8C" w14:textId="22E29E95" w:rsidR="00EB3FAB" w:rsidRPr="00EB3FAB" w:rsidRDefault="00EB3FAB" w:rsidP="00EB3FAB">
            <w:pPr>
              <w:jc w:val="center"/>
              <w:rPr>
                <w:rFonts w:ascii="Bookman Old Style" w:hAnsi="Bookman Old Style"/>
                <w:sz w:val="16"/>
              </w:rPr>
            </w:pPr>
            <w:r w:rsidRPr="00EB3FAB">
              <w:rPr>
                <w:rFonts w:ascii="Bookman Old Style" w:hAnsi="Bookman Old Style"/>
                <w:sz w:val="16"/>
              </w:rPr>
              <w:t>4.94</w:t>
            </w:r>
          </w:p>
        </w:tc>
      </w:tr>
      <w:tr w:rsidR="00EB3FAB" w14:paraId="53F4530C" w14:textId="77777777" w:rsidTr="00EB3FAB">
        <w:tc>
          <w:tcPr>
            <w:tcW w:w="1278" w:type="dxa"/>
            <w:tcBorders>
              <w:top w:val="nil"/>
              <w:left w:val="nil"/>
              <w:bottom w:val="nil"/>
              <w:right w:val="nil"/>
            </w:tcBorders>
          </w:tcPr>
          <w:p w14:paraId="164C9237" w14:textId="5F22DAFC" w:rsidR="00EB3FAB" w:rsidRPr="00EB3FAB" w:rsidRDefault="00EB3FAB" w:rsidP="00EB3FAB">
            <w:pPr>
              <w:rPr>
                <w:rFonts w:ascii="Bookman Old Style" w:hAnsi="Bookman Old Style"/>
                <w:sz w:val="16"/>
              </w:rPr>
            </w:pPr>
            <w:r w:rsidRPr="00EB3FAB">
              <w:rPr>
                <w:rFonts w:ascii="Bookman Old Style" w:hAnsi="Bookman Old Style"/>
                <w:sz w:val="16"/>
              </w:rPr>
              <w:t>500 and up</w:t>
            </w:r>
          </w:p>
        </w:tc>
        <w:tc>
          <w:tcPr>
            <w:tcW w:w="850" w:type="dxa"/>
            <w:tcBorders>
              <w:top w:val="nil"/>
              <w:left w:val="nil"/>
              <w:bottom w:val="nil"/>
              <w:right w:val="nil"/>
            </w:tcBorders>
          </w:tcPr>
          <w:p w14:paraId="12920EB7" w14:textId="5737D767" w:rsidR="00EB3FAB" w:rsidRPr="00EB3FAB" w:rsidRDefault="00EB3FAB" w:rsidP="00EB3FAB">
            <w:pPr>
              <w:jc w:val="center"/>
              <w:rPr>
                <w:rFonts w:ascii="Bookman Old Style" w:hAnsi="Bookman Old Style"/>
                <w:sz w:val="16"/>
              </w:rPr>
            </w:pPr>
            <w:r w:rsidRPr="00EB3FAB">
              <w:rPr>
                <w:rFonts w:ascii="Bookman Old Style" w:hAnsi="Bookman Old Style"/>
                <w:sz w:val="16"/>
              </w:rPr>
              <w:t>155</w:t>
            </w:r>
          </w:p>
        </w:tc>
        <w:tc>
          <w:tcPr>
            <w:tcW w:w="1064" w:type="dxa"/>
            <w:tcBorders>
              <w:top w:val="nil"/>
              <w:left w:val="nil"/>
              <w:bottom w:val="nil"/>
              <w:right w:val="nil"/>
            </w:tcBorders>
          </w:tcPr>
          <w:p w14:paraId="084B47F1" w14:textId="144F6CCD" w:rsidR="00EB3FAB" w:rsidRPr="00EB3FAB" w:rsidRDefault="00EB3FAB" w:rsidP="00EB3FAB">
            <w:pPr>
              <w:jc w:val="center"/>
              <w:rPr>
                <w:rFonts w:ascii="Bookman Old Style" w:hAnsi="Bookman Old Style"/>
                <w:sz w:val="16"/>
              </w:rPr>
            </w:pPr>
            <w:r w:rsidRPr="00EB3FAB">
              <w:rPr>
                <w:rFonts w:ascii="Bookman Old Style" w:hAnsi="Bookman Old Style"/>
                <w:sz w:val="16"/>
              </w:rPr>
              <w:t>5.01</w:t>
            </w:r>
          </w:p>
        </w:tc>
        <w:tc>
          <w:tcPr>
            <w:tcW w:w="1064" w:type="dxa"/>
            <w:tcBorders>
              <w:top w:val="nil"/>
              <w:left w:val="nil"/>
              <w:bottom w:val="nil"/>
              <w:right w:val="nil"/>
            </w:tcBorders>
          </w:tcPr>
          <w:p w14:paraId="4B13AAA3" w14:textId="460DBAE8" w:rsidR="00EB3FAB" w:rsidRPr="00EB3FAB" w:rsidRDefault="00EB3FAB" w:rsidP="00EB3FAB">
            <w:pPr>
              <w:jc w:val="center"/>
              <w:rPr>
                <w:rFonts w:ascii="Bookman Old Style" w:hAnsi="Bookman Old Style"/>
                <w:sz w:val="16"/>
              </w:rPr>
            </w:pPr>
            <w:r w:rsidRPr="00EB3FAB">
              <w:rPr>
                <w:rFonts w:ascii="Bookman Old Style" w:hAnsi="Bookman Old Style"/>
                <w:sz w:val="16"/>
              </w:rPr>
              <w:t>0.49</w:t>
            </w:r>
          </w:p>
        </w:tc>
        <w:tc>
          <w:tcPr>
            <w:tcW w:w="1064" w:type="dxa"/>
            <w:tcBorders>
              <w:top w:val="nil"/>
              <w:left w:val="nil"/>
              <w:bottom w:val="nil"/>
              <w:right w:val="nil"/>
            </w:tcBorders>
          </w:tcPr>
          <w:p w14:paraId="4C8610FF" w14:textId="17C8263C" w:rsidR="00EB3FAB" w:rsidRPr="00EB3FAB" w:rsidRDefault="00EB3FAB" w:rsidP="00EB3FAB">
            <w:pPr>
              <w:jc w:val="center"/>
              <w:rPr>
                <w:rFonts w:ascii="Bookman Old Style" w:hAnsi="Bookman Old Style"/>
                <w:sz w:val="16"/>
              </w:rPr>
            </w:pPr>
            <w:r w:rsidRPr="00EB3FAB">
              <w:rPr>
                <w:rFonts w:ascii="Bookman Old Style" w:hAnsi="Bookman Old Style"/>
                <w:sz w:val="16"/>
              </w:rPr>
              <w:t>5.50</w:t>
            </w:r>
          </w:p>
        </w:tc>
        <w:tc>
          <w:tcPr>
            <w:tcW w:w="1064" w:type="dxa"/>
            <w:tcBorders>
              <w:top w:val="nil"/>
              <w:left w:val="nil"/>
              <w:bottom w:val="nil"/>
              <w:right w:val="nil"/>
            </w:tcBorders>
          </w:tcPr>
          <w:p w14:paraId="4E46E20C" w14:textId="746F7800" w:rsidR="00EB3FAB" w:rsidRPr="00EB3FAB" w:rsidRDefault="00EB3FAB" w:rsidP="00EB3FAB">
            <w:pPr>
              <w:jc w:val="center"/>
              <w:rPr>
                <w:rFonts w:ascii="Bookman Old Style" w:hAnsi="Bookman Old Style"/>
                <w:sz w:val="16"/>
              </w:rPr>
            </w:pPr>
            <w:r w:rsidRPr="00EB3FAB">
              <w:rPr>
                <w:rFonts w:ascii="Bookman Old Style" w:hAnsi="Bookman Old Style"/>
                <w:sz w:val="16"/>
              </w:rPr>
              <w:t>264</w:t>
            </w:r>
          </w:p>
        </w:tc>
        <w:tc>
          <w:tcPr>
            <w:tcW w:w="1064" w:type="dxa"/>
            <w:tcBorders>
              <w:top w:val="nil"/>
              <w:left w:val="nil"/>
              <w:bottom w:val="nil"/>
              <w:right w:val="nil"/>
            </w:tcBorders>
          </w:tcPr>
          <w:p w14:paraId="105AD748" w14:textId="735B9EA5" w:rsidR="00EB3FAB" w:rsidRPr="00EB3FAB" w:rsidRDefault="00EB3FAB" w:rsidP="00EB3FAB">
            <w:pPr>
              <w:jc w:val="center"/>
              <w:rPr>
                <w:rFonts w:ascii="Bookman Old Style" w:hAnsi="Bookman Old Style"/>
                <w:sz w:val="16"/>
              </w:rPr>
            </w:pPr>
            <w:r w:rsidRPr="00EB3FAB">
              <w:rPr>
                <w:rFonts w:ascii="Bookman Old Style" w:hAnsi="Bookman Old Style"/>
                <w:sz w:val="16"/>
              </w:rPr>
              <w:t>3.10</w:t>
            </w:r>
          </w:p>
        </w:tc>
        <w:tc>
          <w:tcPr>
            <w:tcW w:w="1064" w:type="dxa"/>
            <w:tcBorders>
              <w:top w:val="nil"/>
              <w:left w:val="nil"/>
              <w:bottom w:val="nil"/>
              <w:right w:val="nil"/>
            </w:tcBorders>
          </w:tcPr>
          <w:p w14:paraId="08018E5F" w14:textId="1CE20985" w:rsidR="00EB3FAB" w:rsidRPr="00EB3FAB" w:rsidRDefault="00EB3FAB" w:rsidP="00EB3FAB">
            <w:pPr>
              <w:jc w:val="center"/>
              <w:rPr>
                <w:rFonts w:ascii="Bookman Old Style" w:hAnsi="Bookman Old Style"/>
                <w:sz w:val="16"/>
              </w:rPr>
            </w:pPr>
            <w:r w:rsidRPr="00EB3FAB">
              <w:rPr>
                <w:rFonts w:ascii="Bookman Old Style" w:hAnsi="Bookman Old Style"/>
                <w:sz w:val="16"/>
              </w:rPr>
              <w:t>0.27</w:t>
            </w:r>
          </w:p>
        </w:tc>
        <w:tc>
          <w:tcPr>
            <w:tcW w:w="1064" w:type="dxa"/>
            <w:tcBorders>
              <w:top w:val="nil"/>
              <w:left w:val="nil"/>
              <w:bottom w:val="nil"/>
              <w:right w:val="nil"/>
            </w:tcBorders>
          </w:tcPr>
          <w:p w14:paraId="3EBF823E" w14:textId="2693E43F" w:rsidR="00EB3FAB" w:rsidRPr="00EB3FAB" w:rsidRDefault="00EB3FAB" w:rsidP="00EB3FAB">
            <w:pPr>
              <w:jc w:val="center"/>
              <w:rPr>
                <w:rFonts w:ascii="Bookman Old Style" w:hAnsi="Bookman Old Style"/>
                <w:sz w:val="16"/>
              </w:rPr>
            </w:pPr>
            <w:r w:rsidRPr="00EB3FAB">
              <w:rPr>
                <w:rFonts w:ascii="Bookman Old Style" w:hAnsi="Bookman Old Style"/>
                <w:sz w:val="16"/>
              </w:rPr>
              <w:t>3.37</w:t>
            </w:r>
          </w:p>
        </w:tc>
      </w:tr>
      <w:tr w:rsidR="00EB3FAB" w14:paraId="14F4C4FF" w14:textId="77777777" w:rsidTr="00EB3FAB">
        <w:tc>
          <w:tcPr>
            <w:tcW w:w="1278" w:type="dxa"/>
            <w:tcBorders>
              <w:top w:val="nil"/>
              <w:left w:val="nil"/>
              <w:right w:val="nil"/>
            </w:tcBorders>
          </w:tcPr>
          <w:p w14:paraId="3AC27FB0" w14:textId="0D362D67" w:rsidR="00EB3FAB" w:rsidRPr="00EB3FAB" w:rsidRDefault="00EB3FAB" w:rsidP="00EB3FAB">
            <w:pPr>
              <w:rPr>
                <w:rFonts w:ascii="Bookman Old Style" w:hAnsi="Bookman Old Style"/>
                <w:sz w:val="16"/>
              </w:rPr>
            </w:pPr>
            <w:r w:rsidRPr="00EB3FAB">
              <w:rPr>
                <w:rFonts w:ascii="Bookman Old Style" w:hAnsi="Bookman Old Style"/>
                <w:sz w:val="16"/>
              </w:rPr>
              <w:t>Total</w:t>
            </w:r>
          </w:p>
        </w:tc>
        <w:tc>
          <w:tcPr>
            <w:tcW w:w="850" w:type="dxa"/>
            <w:tcBorders>
              <w:top w:val="nil"/>
              <w:left w:val="nil"/>
              <w:right w:val="nil"/>
            </w:tcBorders>
          </w:tcPr>
          <w:p w14:paraId="52A95343" w14:textId="727875D2" w:rsidR="00EB3FAB" w:rsidRPr="00EB3FAB" w:rsidRDefault="00EB3FAB" w:rsidP="00EB3FAB">
            <w:pPr>
              <w:jc w:val="center"/>
              <w:rPr>
                <w:rFonts w:ascii="Bookman Old Style" w:hAnsi="Bookman Old Style"/>
                <w:sz w:val="16"/>
              </w:rPr>
            </w:pPr>
            <w:r w:rsidRPr="00EB3FAB">
              <w:rPr>
                <w:rFonts w:ascii="Bookman Old Style" w:hAnsi="Bookman Old Style"/>
                <w:sz w:val="16"/>
              </w:rPr>
              <w:t>6,285</w:t>
            </w:r>
          </w:p>
        </w:tc>
        <w:tc>
          <w:tcPr>
            <w:tcW w:w="1064" w:type="dxa"/>
            <w:tcBorders>
              <w:top w:val="nil"/>
              <w:left w:val="nil"/>
              <w:right w:val="nil"/>
            </w:tcBorders>
          </w:tcPr>
          <w:p w14:paraId="44EC0064" w14:textId="124CFC57" w:rsidR="00EB3FAB" w:rsidRPr="00EB3FAB" w:rsidRDefault="00EB3FAB" w:rsidP="00EB3FAB">
            <w:pPr>
              <w:jc w:val="center"/>
              <w:rPr>
                <w:rFonts w:ascii="Bookman Old Style" w:hAnsi="Bookman Old Style"/>
                <w:sz w:val="16"/>
              </w:rPr>
            </w:pPr>
            <w:r w:rsidRPr="00EB3FAB">
              <w:rPr>
                <w:rFonts w:ascii="Bookman Old Style" w:hAnsi="Bookman Old Style"/>
                <w:sz w:val="16"/>
              </w:rPr>
              <w:t>7.19</w:t>
            </w:r>
          </w:p>
        </w:tc>
        <w:tc>
          <w:tcPr>
            <w:tcW w:w="1064" w:type="dxa"/>
            <w:tcBorders>
              <w:top w:val="nil"/>
              <w:left w:val="nil"/>
              <w:right w:val="nil"/>
            </w:tcBorders>
          </w:tcPr>
          <w:p w14:paraId="2CD7C802" w14:textId="2E79639B" w:rsidR="00EB3FAB" w:rsidRPr="00EB3FAB" w:rsidRDefault="00EB3FAB" w:rsidP="00EB3FAB">
            <w:pPr>
              <w:jc w:val="center"/>
              <w:rPr>
                <w:rFonts w:ascii="Bookman Old Style" w:hAnsi="Bookman Old Style"/>
                <w:sz w:val="16"/>
              </w:rPr>
            </w:pPr>
            <w:r w:rsidRPr="00EB3FAB">
              <w:rPr>
                <w:rFonts w:ascii="Bookman Old Style" w:hAnsi="Bookman Old Style"/>
                <w:sz w:val="16"/>
              </w:rPr>
              <w:t>3.18</w:t>
            </w:r>
          </w:p>
        </w:tc>
        <w:tc>
          <w:tcPr>
            <w:tcW w:w="1064" w:type="dxa"/>
            <w:tcBorders>
              <w:top w:val="nil"/>
              <w:left w:val="nil"/>
              <w:right w:val="nil"/>
            </w:tcBorders>
          </w:tcPr>
          <w:p w14:paraId="6D20B9BC" w14:textId="01EF0E86" w:rsidR="00EB3FAB" w:rsidRPr="00EB3FAB" w:rsidRDefault="00EB3FAB" w:rsidP="00EB3FAB">
            <w:pPr>
              <w:jc w:val="center"/>
              <w:rPr>
                <w:rFonts w:ascii="Bookman Old Style" w:hAnsi="Bookman Old Style"/>
                <w:sz w:val="16"/>
              </w:rPr>
            </w:pPr>
            <w:r w:rsidRPr="00EB3FAB">
              <w:rPr>
                <w:rFonts w:ascii="Bookman Old Style" w:hAnsi="Bookman Old Style"/>
                <w:sz w:val="16"/>
              </w:rPr>
              <w:t>10.37</w:t>
            </w:r>
          </w:p>
        </w:tc>
        <w:tc>
          <w:tcPr>
            <w:tcW w:w="1064" w:type="dxa"/>
            <w:tcBorders>
              <w:top w:val="nil"/>
              <w:left w:val="nil"/>
              <w:right w:val="nil"/>
            </w:tcBorders>
          </w:tcPr>
          <w:p w14:paraId="1B82464E" w14:textId="4B0CDCA8" w:rsidR="00EB3FAB" w:rsidRPr="00EB3FAB" w:rsidRDefault="00EB3FAB" w:rsidP="00EB3FAB">
            <w:pPr>
              <w:jc w:val="center"/>
              <w:rPr>
                <w:rFonts w:ascii="Bookman Old Style" w:hAnsi="Bookman Old Style"/>
                <w:sz w:val="16"/>
              </w:rPr>
            </w:pPr>
            <w:r w:rsidRPr="00EB3FAB">
              <w:rPr>
                <w:rFonts w:ascii="Bookman Old Style" w:hAnsi="Bookman Old Style"/>
                <w:sz w:val="16"/>
              </w:rPr>
              <w:t>7,587</w:t>
            </w:r>
          </w:p>
        </w:tc>
        <w:tc>
          <w:tcPr>
            <w:tcW w:w="1064" w:type="dxa"/>
            <w:tcBorders>
              <w:top w:val="nil"/>
              <w:left w:val="nil"/>
              <w:right w:val="nil"/>
            </w:tcBorders>
          </w:tcPr>
          <w:p w14:paraId="6FCFCC1D" w14:textId="4779F8CB" w:rsidR="00EB3FAB" w:rsidRPr="00EB3FAB" w:rsidRDefault="00EB3FAB" w:rsidP="00EB3FAB">
            <w:pPr>
              <w:jc w:val="center"/>
              <w:rPr>
                <w:rFonts w:ascii="Bookman Old Style" w:hAnsi="Bookman Old Style"/>
                <w:sz w:val="16"/>
              </w:rPr>
            </w:pPr>
            <w:r w:rsidRPr="00EB3FAB">
              <w:rPr>
                <w:rFonts w:ascii="Bookman Old Style" w:hAnsi="Bookman Old Style"/>
                <w:sz w:val="16"/>
              </w:rPr>
              <w:t>5.02</w:t>
            </w:r>
          </w:p>
        </w:tc>
        <w:tc>
          <w:tcPr>
            <w:tcW w:w="1064" w:type="dxa"/>
            <w:tcBorders>
              <w:top w:val="nil"/>
              <w:left w:val="nil"/>
              <w:right w:val="nil"/>
            </w:tcBorders>
          </w:tcPr>
          <w:p w14:paraId="11D67411" w14:textId="2D4A5379" w:rsidR="00EB3FAB" w:rsidRPr="00EB3FAB" w:rsidRDefault="00EB3FAB" w:rsidP="00EB3FAB">
            <w:pPr>
              <w:jc w:val="center"/>
              <w:rPr>
                <w:rFonts w:ascii="Bookman Old Style" w:hAnsi="Bookman Old Style"/>
                <w:sz w:val="16"/>
              </w:rPr>
            </w:pPr>
            <w:r w:rsidRPr="00EB3FAB">
              <w:rPr>
                <w:rFonts w:ascii="Bookman Old Style" w:hAnsi="Bookman Old Style"/>
                <w:sz w:val="16"/>
              </w:rPr>
              <w:t>2.68</w:t>
            </w:r>
          </w:p>
        </w:tc>
        <w:tc>
          <w:tcPr>
            <w:tcW w:w="1064" w:type="dxa"/>
            <w:tcBorders>
              <w:top w:val="nil"/>
              <w:left w:val="nil"/>
              <w:right w:val="nil"/>
            </w:tcBorders>
          </w:tcPr>
          <w:p w14:paraId="6B2F69A5" w14:textId="177106A0" w:rsidR="00EB3FAB" w:rsidRPr="00EB3FAB" w:rsidRDefault="00EB3FAB" w:rsidP="00EB3FAB">
            <w:pPr>
              <w:jc w:val="center"/>
              <w:rPr>
                <w:rFonts w:ascii="Bookman Old Style" w:hAnsi="Bookman Old Style"/>
                <w:sz w:val="16"/>
              </w:rPr>
            </w:pPr>
            <w:r w:rsidRPr="00EB3FAB">
              <w:rPr>
                <w:rFonts w:ascii="Bookman Old Style" w:hAnsi="Bookman Old Style"/>
                <w:sz w:val="16"/>
              </w:rPr>
              <w:t>7.69</w:t>
            </w:r>
          </w:p>
        </w:tc>
      </w:tr>
    </w:tbl>
    <w:p w14:paraId="40D80EBD" w14:textId="5E58423B" w:rsidR="00697151" w:rsidRDefault="00697151" w:rsidP="006222B0">
      <w:pPr>
        <w:spacing w:after="0" w:line="240" w:lineRule="auto"/>
        <w:jc w:val="both"/>
        <w:rPr>
          <w:rFonts w:ascii="Bookman Old Style" w:hAnsi="Bookman Old Style"/>
        </w:rPr>
      </w:pPr>
    </w:p>
    <w:tbl>
      <w:tblPr>
        <w:tblStyle w:val="TableGrid"/>
        <w:tblW w:w="0" w:type="auto"/>
        <w:tblLook w:val="04A0" w:firstRow="1" w:lastRow="0" w:firstColumn="1" w:lastColumn="0" w:noHBand="0" w:noVBand="1"/>
      </w:tblPr>
      <w:tblGrid>
        <w:gridCol w:w="1278"/>
        <w:gridCol w:w="850"/>
        <w:gridCol w:w="1064"/>
        <w:gridCol w:w="1064"/>
        <w:gridCol w:w="1064"/>
        <w:gridCol w:w="1064"/>
        <w:gridCol w:w="1064"/>
        <w:gridCol w:w="1064"/>
        <w:gridCol w:w="1064"/>
      </w:tblGrid>
      <w:tr w:rsidR="00EB3FAB" w14:paraId="60BAEB0C" w14:textId="77777777" w:rsidTr="00E6746A">
        <w:tc>
          <w:tcPr>
            <w:tcW w:w="9576" w:type="dxa"/>
            <w:gridSpan w:val="9"/>
            <w:tcBorders>
              <w:left w:val="nil"/>
              <w:bottom w:val="nil"/>
              <w:right w:val="nil"/>
            </w:tcBorders>
          </w:tcPr>
          <w:p w14:paraId="299F5635" w14:textId="08624C44" w:rsidR="00EB3FAB" w:rsidRPr="00EB3FAB" w:rsidRDefault="00EB3FAB" w:rsidP="00E6746A">
            <w:pPr>
              <w:jc w:val="center"/>
              <w:rPr>
                <w:rFonts w:ascii="Bookman Old Style" w:hAnsi="Bookman Old Style"/>
                <w:b/>
                <w:sz w:val="16"/>
              </w:rPr>
            </w:pPr>
            <w:r>
              <w:rPr>
                <w:rFonts w:ascii="Bookman Old Style" w:hAnsi="Bookman Old Style"/>
                <w:b/>
                <w:sz w:val="16"/>
              </w:rPr>
              <w:t>Bonds</w:t>
            </w:r>
          </w:p>
        </w:tc>
      </w:tr>
      <w:tr w:rsidR="00EB3FAB" w14:paraId="66BE0853" w14:textId="77777777" w:rsidTr="00E6746A">
        <w:tc>
          <w:tcPr>
            <w:tcW w:w="1278" w:type="dxa"/>
            <w:tcBorders>
              <w:top w:val="nil"/>
              <w:left w:val="nil"/>
              <w:bottom w:val="nil"/>
              <w:right w:val="nil"/>
            </w:tcBorders>
          </w:tcPr>
          <w:p w14:paraId="7DD8033F" w14:textId="77777777" w:rsidR="00EB3FAB" w:rsidRPr="00EB3FAB" w:rsidRDefault="00EB3FAB" w:rsidP="00E6746A">
            <w:pPr>
              <w:jc w:val="both"/>
              <w:rPr>
                <w:rFonts w:ascii="Bookman Old Style" w:hAnsi="Bookman Old Style"/>
                <w:sz w:val="16"/>
              </w:rPr>
            </w:pPr>
          </w:p>
        </w:tc>
        <w:tc>
          <w:tcPr>
            <w:tcW w:w="4042" w:type="dxa"/>
            <w:gridSpan w:val="4"/>
            <w:tcBorders>
              <w:top w:val="nil"/>
              <w:left w:val="nil"/>
              <w:bottom w:val="nil"/>
              <w:right w:val="nil"/>
            </w:tcBorders>
          </w:tcPr>
          <w:p w14:paraId="63018A8F" w14:textId="31C00AD1" w:rsidR="00EB3FAB" w:rsidRPr="00EB3FAB" w:rsidRDefault="00EB3FAB" w:rsidP="00E6746A">
            <w:pPr>
              <w:jc w:val="center"/>
              <w:rPr>
                <w:rFonts w:ascii="Bookman Old Style" w:hAnsi="Bookman Old Style"/>
                <w:b/>
                <w:sz w:val="16"/>
              </w:rPr>
            </w:pPr>
            <w:r>
              <w:rPr>
                <w:rFonts w:ascii="Bookman Old Style" w:hAnsi="Bookman Old Style"/>
                <w:b/>
                <w:sz w:val="16"/>
              </w:rPr>
              <w:t>Convertible Bonds</w:t>
            </w:r>
          </w:p>
        </w:tc>
        <w:tc>
          <w:tcPr>
            <w:tcW w:w="4256" w:type="dxa"/>
            <w:gridSpan w:val="4"/>
            <w:tcBorders>
              <w:top w:val="nil"/>
              <w:left w:val="nil"/>
              <w:bottom w:val="nil"/>
              <w:right w:val="nil"/>
            </w:tcBorders>
          </w:tcPr>
          <w:p w14:paraId="4D2D87C2" w14:textId="55882C76" w:rsidR="00EB3FAB" w:rsidRPr="00EB3FAB" w:rsidRDefault="00EB3FAB" w:rsidP="00E6746A">
            <w:pPr>
              <w:jc w:val="center"/>
              <w:rPr>
                <w:rFonts w:ascii="Bookman Old Style" w:hAnsi="Bookman Old Style"/>
                <w:b/>
                <w:sz w:val="16"/>
              </w:rPr>
            </w:pPr>
            <w:r>
              <w:rPr>
                <w:rFonts w:ascii="Bookman Old Style" w:hAnsi="Bookman Old Style"/>
                <w:b/>
                <w:sz w:val="16"/>
              </w:rPr>
              <w:t>Straight Bonds</w:t>
            </w:r>
          </w:p>
        </w:tc>
      </w:tr>
      <w:tr w:rsidR="00EB3FAB" w14:paraId="5A9061D2" w14:textId="77777777" w:rsidTr="00E6746A">
        <w:tc>
          <w:tcPr>
            <w:tcW w:w="1278" w:type="dxa"/>
            <w:tcBorders>
              <w:top w:val="nil"/>
              <w:left w:val="nil"/>
              <w:bottom w:val="single" w:sz="4" w:space="0" w:color="auto"/>
              <w:right w:val="nil"/>
            </w:tcBorders>
            <w:vAlign w:val="center"/>
          </w:tcPr>
          <w:p w14:paraId="235232BE" w14:textId="77777777" w:rsidR="00EB3FAB" w:rsidRPr="00EB3FAB" w:rsidRDefault="00EB3FAB" w:rsidP="00E6746A">
            <w:pPr>
              <w:jc w:val="center"/>
              <w:rPr>
                <w:rFonts w:ascii="Bookman Old Style" w:hAnsi="Bookman Old Style"/>
                <w:sz w:val="16"/>
              </w:rPr>
            </w:pPr>
            <w:r w:rsidRPr="00EB3FAB">
              <w:rPr>
                <w:rFonts w:ascii="Bookman Old Style" w:hAnsi="Bookman Old Style"/>
                <w:sz w:val="16"/>
              </w:rPr>
              <w:t>Proceeds ($ millions)</w:t>
            </w:r>
          </w:p>
        </w:tc>
        <w:tc>
          <w:tcPr>
            <w:tcW w:w="850" w:type="dxa"/>
            <w:tcBorders>
              <w:top w:val="nil"/>
              <w:left w:val="nil"/>
              <w:bottom w:val="single" w:sz="4" w:space="0" w:color="auto"/>
              <w:right w:val="nil"/>
            </w:tcBorders>
            <w:vAlign w:val="center"/>
          </w:tcPr>
          <w:p w14:paraId="23716DA7" w14:textId="77777777" w:rsidR="00EB3FAB" w:rsidRPr="00EB3FAB" w:rsidRDefault="00EB3FAB" w:rsidP="00E6746A">
            <w:pPr>
              <w:jc w:val="center"/>
              <w:rPr>
                <w:rFonts w:ascii="Bookman Old Style" w:hAnsi="Bookman Old Style"/>
                <w:sz w:val="16"/>
              </w:rPr>
            </w:pPr>
            <w:r w:rsidRPr="00EB3FAB">
              <w:rPr>
                <w:rFonts w:ascii="Bookman Old Style" w:hAnsi="Bookman Old Style"/>
                <w:sz w:val="16"/>
              </w:rPr>
              <w:t># of Issues</w:t>
            </w:r>
          </w:p>
        </w:tc>
        <w:tc>
          <w:tcPr>
            <w:tcW w:w="1064" w:type="dxa"/>
            <w:tcBorders>
              <w:top w:val="nil"/>
              <w:left w:val="nil"/>
              <w:bottom w:val="single" w:sz="4" w:space="0" w:color="auto"/>
              <w:right w:val="nil"/>
            </w:tcBorders>
            <w:vAlign w:val="center"/>
          </w:tcPr>
          <w:p w14:paraId="51887636" w14:textId="77777777" w:rsidR="00EB3FAB" w:rsidRPr="00EB3FAB" w:rsidRDefault="00EB3FAB" w:rsidP="00E6746A">
            <w:pPr>
              <w:jc w:val="center"/>
              <w:rPr>
                <w:rFonts w:ascii="Bookman Old Style" w:hAnsi="Bookman Old Style"/>
                <w:sz w:val="16"/>
              </w:rPr>
            </w:pPr>
            <w:r w:rsidRPr="00EB3FAB">
              <w:rPr>
                <w:rFonts w:ascii="Bookman Old Style" w:hAnsi="Bookman Old Style"/>
                <w:sz w:val="16"/>
              </w:rPr>
              <w:t>Gross Spread</w:t>
            </w:r>
          </w:p>
        </w:tc>
        <w:tc>
          <w:tcPr>
            <w:tcW w:w="1064" w:type="dxa"/>
            <w:tcBorders>
              <w:top w:val="nil"/>
              <w:left w:val="nil"/>
              <w:bottom w:val="single" w:sz="4" w:space="0" w:color="auto"/>
              <w:right w:val="nil"/>
            </w:tcBorders>
            <w:vAlign w:val="center"/>
          </w:tcPr>
          <w:p w14:paraId="7B2BC796" w14:textId="77777777" w:rsidR="00EB3FAB" w:rsidRPr="00EB3FAB" w:rsidRDefault="00EB3FAB" w:rsidP="00E6746A">
            <w:pPr>
              <w:jc w:val="center"/>
              <w:rPr>
                <w:rFonts w:ascii="Bookman Old Style" w:hAnsi="Bookman Old Style"/>
                <w:sz w:val="16"/>
              </w:rPr>
            </w:pPr>
            <w:r w:rsidRPr="00EB3FAB">
              <w:rPr>
                <w:rFonts w:ascii="Bookman Old Style" w:hAnsi="Bookman Old Style"/>
                <w:sz w:val="16"/>
              </w:rPr>
              <w:t>Other Direct Expense</w:t>
            </w:r>
          </w:p>
        </w:tc>
        <w:tc>
          <w:tcPr>
            <w:tcW w:w="1064" w:type="dxa"/>
            <w:tcBorders>
              <w:top w:val="nil"/>
              <w:left w:val="nil"/>
              <w:bottom w:val="single" w:sz="4" w:space="0" w:color="auto"/>
              <w:right w:val="nil"/>
            </w:tcBorders>
            <w:vAlign w:val="center"/>
          </w:tcPr>
          <w:p w14:paraId="5994BAC1" w14:textId="77777777" w:rsidR="00EB3FAB" w:rsidRPr="00EB3FAB" w:rsidRDefault="00EB3FAB" w:rsidP="00E6746A">
            <w:pPr>
              <w:jc w:val="center"/>
              <w:rPr>
                <w:rFonts w:ascii="Bookman Old Style" w:hAnsi="Bookman Old Style"/>
                <w:sz w:val="16"/>
              </w:rPr>
            </w:pPr>
            <w:r w:rsidRPr="00EB3FAB">
              <w:rPr>
                <w:rFonts w:ascii="Bookman Old Style" w:hAnsi="Bookman Old Style"/>
                <w:sz w:val="16"/>
              </w:rPr>
              <w:t>Total Direct Cost</w:t>
            </w:r>
          </w:p>
        </w:tc>
        <w:tc>
          <w:tcPr>
            <w:tcW w:w="1064" w:type="dxa"/>
            <w:tcBorders>
              <w:top w:val="nil"/>
              <w:left w:val="nil"/>
              <w:bottom w:val="single" w:sz="4" w:space="0" w:color="auto"/>
              <w:right w:val="nil"/>
            </w:tcBorders>
            <w:vAlign w:val="center"/>
          </w:tcPr>
          <w:p w14:paraId="39CD624B" w14:textId="77777777" w:rsidR="00EB3FAB" w:rsidRPr="00EB3FAB" w:rsidRDefault="00EB3FAB" w:rsidP="00E6746A">
            <w:pPr>
              <w:jc w:val="center"/>
              <w:rPr>
                <w:rFonts w:ascii="Bookman Old Style" w:hAnsi="Bookman Old Style"/>
                <w:sz w:val="16"/>
              </w:rPr>
            </w:pPr>
            <w:r w:rsidRPr="00EB3FAB">
              <w:rPr>
                <w:rFonts w:ascii="Bookman Old Style" w:hAnsi="Bookman Old Style"/>
                <w:sz w:val="16"/>
              </w:rPr>
              <w:t># of Issues</w:t>
            </w:r>
          </w:p>
        </w:tc>
        <w:tc>
          <w:tcPr>
            <w:tcW w:w="1064" w:type="dxa"/>
            <w:tcBorders>
              <w:top w:val="nil"/>
              <w:left w:val="nil"/>
              <w:bottom w:val="single" w:sz="4" w:space="0" w:color="auto"/>
              <w:right w:val="nil"/>
            </w:tcBorders>
            <w:vAlign w:val="center"/>
          </w:tcPr>
          <w:p w14:paraId="1740AB78" w14:textId="77777777" w:rsidR="00EB3FAB" w:rsidRPr="00EB3FAB" w:rsidRDefault="00EB3FAB" w:rsidP="00E6746A">
            <w:pPr>
              <w:jc w:val="center"/>
              <w:rPr>
                <w:rFonts w:ascii="Bookman Old Style" w:hAnsi="Bookman Old Style"/>
                <w:sz w:val="16"/>
              </w:rPr>
            </w:pPr>
            <w:r w:rsidRPr="00EB3FAB">
              <w:rPr>
                <w:rFonts w:ascii="Bookman Old Style" w:hAnsi="Bookman Old Style"/>
                <w:sz w:val="16"/>
              </w:rPr>
              <w:t>Gross Spread</w:t>
            </w:r>
          </w:p>
        </w:tc>
        <w:tc>
          <w:tcPr>
            <w:tcW w:w="1064" w:type="dxa"/>
            <w:tcBorders>
              <w:top w:val="nil"/>
              <w:left w:val="nil"/>
              <w:bottom w:val="single" w:sz="4" w:space="0" w:color="auto"/>
              <w:right w:val="nil"/>
            </w:tcBorders>
            <w:vAlign w:val="center"/>
          </w:tcPr>
          <w:p w14:paraId="26FED45E" w14:textId="77777777" w:rsidR="00EB3FAB" w:rsidRPr="00EB3FAB" w:rsidRDefault="00EB3FAB" w:rsidP="00E6746A">
            <w:pPr>
              <w:jc w:val="center"/>
              <w:rPr>
                <w:rFonts w:ascii="Bookman Old Style" w:hAnsi="Bookman Old Style"/>
                <w:sz w:val="16"/>
              </w:rPr>
            </w:pPr>
            <w:r w:rsidRPr="00EB3FAB">
              <w:rPr>
                <w:rFonts w:ascii="Bookman Old Style" w:hAnsi="Bookman Old Style"/>
                <w:sz w:val="16"/>
              </w:rPr>
              <w:t>Other Direct Expense</w:t>
            </w:r>
          </w:p>
        </w:tc>
        <w:tc>
          <w:tcPr>
            <w:tcW w:w="1064" w:type="dxa"/>
            <w:tcBorders>
              <w:top w:val="nil"/>
              <w:left w:val="nil"/>
              <w:bottom w:val="single" w:sz="4" w:space="0" w:color="auto"/>
              <w:right w:val="nil"/>
            </w:tcBorders>
            <w:vAlign w:val="center"/>
          </w:tcPr>
          <w:p w14:paraId="1925CF5A" w14:textId="77777777" w:rsidR="00EB3FAB" w:rsidRPr="00EB3FAB" w:rsidRDefault="00EB3FAB" w:rsidP="00E6746A">
            <w:pPr>
              <w:jc w:val="center"/>
              <w:rPr>
                <w:rFonts w:ascii="Bookman Old Style" w:hAnsi="Bookman Old Style"/>
                <w:sz w:val="16"/>
              </w:rPr>
            </w:pPr>
            <w:r w:rsidRPr="00EB3FAB">
              <w:rPr>
                <w:rFonts w:ascii="Bookman Old Style" w:hAnsi="Bookman Old Style"/>
                <w:sz w:val="16"/>
              </w:rPr>
              <w:t>Total Direct Cost</w:t>
            </w:r>
          </w:p>
        </w:tc>
      </w:tr>
      <w:tr w:rsidR="00EB3FAB" w14:paraId="005EAC83" w14:textId="77777777" w:rsidTr="00E6746A">
        <w:tc>
          <w:tcPr>
            <w:tcW w:w="1278" w:type="dxa"/>
            <w:tcBorders>
              <w:left w:val="nil"/>
              <w:bottom w:val="nil"/>
              <w:right w:val="nil"/>
            </w:tcBorders>
          </w:tcPr>
          <w:p w14:paraId="7005A2FB" w14:textId="77777777" w:rsidR="00EB3FAB" w:rsidRPr="00EB3FAB" w:rsidRDefault="00EB3FAB" w:rsidP="00E6746A">
            <w:pPr>
              <w:rPr>
                <w:rFonts w:ascii="Bookman Old Style" w:hAnsi="Bookman Old Style"/>
                <w:sz w:val="16"/>
              </w:rPr>
            </w:pPr>
            <w:r w:rsidRPr="00EB3FAB">
              <w:rPr>
                <w:rFonts w:ascii="Bookman Old Style" w:hAnsi="Bookman Old Style"/>
                <w:sz w:val="16"/>
              </w:rPr>
              <w:t>2 – 9.99</w:t>
            </w:r>
          </w:p>
        </w:tc>
        <w:tc>
          <w:tcPr>
            <w:tcW w:w="850" w:type="dxa"/>
            <w:tcBorders>
              <w:left w:val="nil"/>
              <w:bottom w:val="nil"/>
              <w:right w:val="nil"/>
            </w:tcBorders>
          </w:tcPr>
          <w:p w14:paraId="234A7464" w14:textId="029F1C61" w:rsidR="00EB3FAB" w:rsidRPr="00EB3FAB" w:rsidRDefault="00EB3FAB" w:rsidP="00E6746A">
            <w:pPr>
              <w:jc w:val="center"/>
              <w:rPr>
                <w:rFonts w:ascii="Bookman Old Style" w:hAnsi="Bookman Old Style"/>
                <w:sz w:val="16"/>
              </w:rPr>
            </w:pPr>
            <w:r>
              <w:rPr>
                <w:rFonts w:ascii="Bookman Old Style" w:hAnsi="Bookman Old Style"/>
                <w:sz w:val="16"/>
              </w:rPr>
              <w:t>14</w:t>
            </w:r>
          </w:p>
        </w:tc>
        <w:tc>
          <w:tcPr>
            <w:tcW w:w="1064" w:type="dxa"/>
            <w:tcBorders>
              <w:left w:val="nil"/>
              <w:bottom w:val="nil"/>
              <w:right w:val="nil"/>
            </w:tcBorders>
          </w:tcPr>
          <w:p w14:paraId="7A5FE7E2" w14:textId="66802954" w:rsidR="00EB3FAB" w:rsidRPr="00EB3FAB" w:rsidRDefault="00EB3FAB" w:rsidP="00E6746A">
            <w:pPr>
              <w:jc w:val="center"/>
              <w:rPr>
                <w:rFonts w:ascii="Bookman Old Style" w:hAnsi="Bookman Old Style"/>
                <w:sz w:val="16"/>
              </w:rPr>
            </w:pPr>
            <w:r>
              <w:rPr>
                <w:rFonts w:ascii="Bookman Old Style" w:hAnsi="Bookman Old Style"/>
                <w:sz w:val="16"/>
              </w:rPr>
              <w:t>6.39%</w:t>
            </w:r>
          </w:p>
        </w:tc>
        <w:tc>
          <w:tcPr>
            <w:tcW w:w="1064" w:type="dxa"/>
            <w:tcBorders>
              <w:left w:val="nil"/>
              <w:bottom w:val="nil"/>
              <w:right w:val="nil"/>
            </w:tcBorders>
          </w:tcPr>
          <w:p w14:paraId="4C4FB4D9" w14:textId="6E808051" w:rsidR="00EB3FAB" w:rsidRPr="00EB3FAB" w:rsidRDefault="00EB3FAB" w:rsidP="00E6746A">
            <w:pPr>
              <w:jc w:val="center"/>
              <w:rPr>
                <w:rFonts w:ascii="Bookman Old Style" w:hAnsi="Bookman Old Style"/>
                <w:sz w:val="16"/>
              </w:rPr>
            </w:pPr>
            <w:r>
              <w:rPr>
                <w:rFonts w:ascii="Bookman Old Style" w:hAnsi="Bookman Old Style"/>
                <w:sz w:val="16"/>
              </w:rPr>
              <w:t>3.43%</w:t>
            </w:r>
          </w:p>
        </w:tc>
        <w:tc>
          <w:tcPr>
            <w:tcW w:w="1064" w:type="dxa"/>
            <w:tcBorders>
              <w:left w:val="nil"/>
              <w:bottom w:val="nil"/>
              <w:right w:val="nil"/>
            </w:tcBorders>
          </w:tcPr>
          <w:p w14:paraId="28D9CA77" w14:textId="4DB26245" w:rsidR="00EB3FAB" w:rsidRPr="00EB3FAB" w:rsidRDefault="00EB3FAB" w:rsidP="00E6746A">
            <w:pPr>
              <w:jc w:val="center"/>
              <w:rPr>
                <w:rFonts w:ascii="Bookman Old Style" w:hAnsi="Bookman Old Style"/>
                <w:sz w:val="16"/>
              </w:rPr>
            </w:pPr>
            <w:r>
              <w:rPr>
                <w:rFonts w:ascii="Bookman Old Style" w:hAnsi="Bookman Old Style"/>
                <w:sz w:val="16"/>
              </w:rPr>
              <w:t>9.82%</w:t>
            </w:r>
          </w:p>
        </w:tc>
        <w:tc>
          <w:tcPr>
            <w:tcW w:w="1064" w:type="dxa"/>
            <w:tcBorders>
              <w:left w:val="nil"/>
              <w:bottom w:val="nil"/>
              <w:right w:val="nil"/>
            </w:tcBorders>
          </w:tcPr>
          <w:p w14:paraId="463904B5" w14:textId="35A09265" w:rsidR="00EB3FAB" w:rsidRPr="00EB3FAB" w:rsidRDefault="00EB3FAB" w:rsidP="00E6746A">
            <w:pPr>
              <w:jc w:val="center"/>
              <w:rPr>
                <w:rFonts w:ascii="Bookman Old Style" w:hAnsi="Bookman Old Style"/>
                <w:sz w:val="16"/>
              </w:rPr>
            </w:pPr>
            <w:r>
              <w:rPr>
                <w:rFonts w:ascii="Bookman Old Style" w:hAnsi="Bookman Old Style"/>
                <w:sz w:val="16"/>
              </w:rPr>
              <w:t>3,962</w:t>
            </w:r>
          </w:p>
        </w:tc>
        <w:tc>
          <w:tcPr>
            <w:tcW w:w="1064" w:type="dxa"/>
            <w:tcBorders>
              <w:left w:val="nil"/>
              <w:bottom w:val="nil"/>
              <w:right w:val="nil"/>
            </w:tcBorders>
          </w:tcPr>
          <w:p w14:paraId="1476668D" w14:textId="2CEFEADA" w:rsidR="00EB3FAB" w:rsidRPr="00EB3FAB" w:rsidRDefault="00EB3FAB" w:rsidP="00E6746A">
            <w:pPr>
              <w:jc w:val="center"/>
              <w:rPr>
                <w:rFonts w:ascii="Bookman Old Style" w:hAnsi="Bookman Old Style"/>
                <w:sz w:val="16"/>
              </w:rPr>
            </w:pPr>
            <w:r>
              <w:rPr>
                <w:rFonts w:ascii="Bookman Old Style" w:hAnsi="Bookman Old Style"/>
                <w:sz w:val="16"/>
              </w:rPr>
              <w:t>1.64%</w:t>
            </w:r>
          </w:p>
        </w:tc>
        <w:tc>
          <w:tcPr>
            <w:tcW w:w="1064" w:type="dxa"/>
            <w:tcBorders>
              <w:left w:val="nil"/>
              <w:bottom w:val="nil"/>
              <w:right w:val="nil"/>
            </w:tcBorders>
          </w:tcPr>
          <w:p w14:paraId="1D48FE0D" w14:textId="38AA4AA2" w:rsidR="00EB3FAB" w:rsidRPr="00EB3FAB" w:rsidRDefault="00EB3FAB" w:rsidP="00E6746A">
            <w:pPr>
              <w:jc w:val="center"/>
              <w:rPr>
                <w:rFonts w:ascii="Bookman Old Style" w:hAnsi="Bookman Old Style"/>
                <w:sz w:val="16"/>
              </w:rPr>
            </w:pPr>
            <w:r>
              <w:rPr>
                <w:rFonts w:ascii="Bookman Old Style" w:hAnsi="Bookman Old Style"/>
                <w:sz w:val="16"/>
              </w:rPr>
              <w:t>2.40%</w:t>
            </w:r>
          </w:p>
        </w:tc>
        <w:tc>
          <w:tcPr>
            <w:tcW w:w="1064" w:type="dxa"/>
            <w:tcBorders>
              <w:left w:val="nil"/>
              <w:bottom w:val="nil"/>
              <w:right w:val="nil"/>
            </w:tcBorders>
          </w:tcPr>
          <w:p w14:paraId="1446EF80" w14:textId="67BCC655" w:rsidR="00EB3FAB" w:rsidRPr="00EB3FAB" w:rsidRDefault="00EB3FAB" w:rsidP="00E6746A">
            <w:pPr>
              <w:jc w:val="center"/>
              <w:rPr>
                <w:rFonts w:ascii="Bookman Old Style" w:hAnsi="Bookman Old Style"/>
                <w:sz w:val="16"/>
              </w:rPr>
            </w:pPr>
            <w:r>
              <w:rPr>
                <w:rFonts w:ascii="Bookman Old Style" w:hAnsi="Bookman Old Style"/>
                <w:sz w:val="16"/>
              </w:rPr>
              <w:t>4.03%</w:t>
            </w:r>
          </w:p>
        </w:tc>
      </w:tr>
      <w:tr w:rsidR="00EB3FAB" w14:paraId="11D1FAA9" w14:textId="77777777" w:rsidTr="00E6746A">
        <w:tc>
          <w:tcPr>
            <w:tcW w:w="1278" w:type="dxa"/>
            <w:tcBorders>
              <w:top w:val="nil"/>
              <w:left w:val="nil"/>
              <w:bottom w:val="nil"/>
              <w:right w:val="nil"/>
            </w:tcBorders>
          </w:tcPr>
          <w:p w14:paraId="4B0CDB1B" w14:textId="77777777" w:rsidR="00EB3FAB" w:rsidRPr="00EB3FAB" w:rsidRDefault="00EB3FAB" w:rsidP="00E6746A">
            <w:pPr>
              <w:rPr>
                <w:rFonts w:ascii="Bookman Old Style" w:hAnsi="Bookman Old Style"/>
                <w:sz w:val="16"/>
              </w:rPr>
            </w:pPr>
            <w:r w:rsidRPr="00EB3FAB">
              <w:rPr>
                <w:rFonts w:ascii="Bookman Old Style" w:hAnsi="Bookman Old Style"/>
                <w:sz w:val="16"/>
              </w:rPr>
              <w:t>10 – 19.99</w:t>
            </w:r>
          </w:p>
        </w:tc>
        <w:tc>
          <w:tcPr>
            <w:tcW w:w="850" w:type="dxa"/>
            <w:tcBorders>
              <w:top w:val="nil"/>
              <w:left w:val="nil"/>
              <w:bottom w:val="nil"/>
              <w:right w:val="nil"/>
            </w:tcBorders>
          </w:tcPr>
          <w:p w14:paraId="473E7985" w14:textId="4CF4C34E" w:rsidR="00EB3FAB" w:rsidRPr="00EB3FAB" w:rsidRDefault="00EB3FAB" w:rsidP="00E6746A">
            <w:pPr>
              <w:jc w:val="center"/>
              <w:rPr>
                <w:rFonts w:ascii="Bookman Old Style" w:hAnsi="Bookman Old Style"/>
                <w:sz w:val="16"/>
              </w:rPr>
            </w:pPr>
            <w:r>
              <w:rPr>
                <w:rFonts w:ascii="Bookman Old Style" w:hAnsi="Bookman Old Style"/>
                <w:sz w:val="16"/>
              </w:rPr>
              <w:t>23</w:t>
            </w:r>
          </w:p>
        </w:tc>
        <w:tc>
          <w:tcPr>
            <w:tcW w:w="1064" w:type="dxa"/>
            <w:tcBorders>
              <w:top w:val="nil"/>
              <w:left w:val="nil"/>
              <w:bottom w:val="nil"/>
              <w:right w:val="nil"/>
            </w:tcBorders>
          </w:tcPr>
          <w:p w14:paraId="42C8BBF5" w14:textId="36BFF473" w:rsidR="00EB3FAB" w:rsidRPr="00EB3FAB" w:rsidRDefault="00EB3FAB" w:rsidP="00E6746A">
            <w:pPr>
              <w:jc w:val="center"/>
              <w:rPr>
                <w:rFonts w:ascii="Bookman Old Style" w:hAnsi="Bookman Old Style"/>
                <w:sz w:val="16"/>
              </w:rPr>
            </w:pPr>
            <w:r>
              <w:rPr>
                <w:rFonts w:ascii="Bookman Old Style" w:hAnsi="Bookman Old Style"/>
                <w:sz w:val="16"/>
              </w:rPr>
              <w:t>5.52</w:t>
            </w:r>
          </w:p>
        </w:tc>
        <w:tc>
          <w:tcPr>
            <w:tcW w:w="1064" w:type="dxa"/>
            <w:tcBorders>
              <w:top w:val="nil"/>
              <w:left w:val="nil"/>
              <w:bottom w:val="nil"/>
              <w:right w:val="nil"/>
            </w:tcBorders>
          </w:tcPr>
          <w:p w14:paraId="29DF7B46" w14:textId="299DD002" w:rsidR="00EB3FAB" w:rsidRPr="00EB3FAB" w:rsidRDefault="00EB3FAB" w:rsidP="00E6746A">
            <w:pPr>
              <w:jc w:val="center"/>
              <w:rPr>
                <w:rFonts w:ascii="Bookman Old Style" w:hAnsi="Bookman Old Style"/>
                <w:sz w:val="16"/>
              </w:rPr>
            </w:pPr>
            <w:r>
              <w:rPr>
                <w:rFonts w:ascii="Bookman Old Style" w:hAnsi="Bookman Old Style"/>
                <w:sz w:val="16"/>
              </w:rPr>
              <w:t>3.09</w:t>
            </w:r>
          </w:p>
        </w:tc>
        <w:tc>
          <w:tcPr>
            <w:tcW w:w="1064" w:type="dxa"/>
            <w:tcBorders>
              <w:top w:val="nil"/>
              <w:left w:val="nil"/>
              <w:bottom w:val="nil"/>
              <w:right w:val="nil"/>
            </w:tcBorders>
          </w:tcPr>
          <w:p w14:paraId="7D88FB07" w14:textId="3D655FA1" w:rsidR="00EB3FAB" w:rsidRPr="00EB3FAB" w:rsidRDefault="00EB3FAB" w:rsidP="00E6746A">
            <w:pPr>
              <w:jc w:val="center"/>
              <w:rPr>
                <w:rFonts w:ascii="Bookman Old Style" w:hAnsi="Bookman Old Style"/>
                <w:sz w:val="16"/>
              </w:rPr>
            </w:pPr>
            <w:r>
              <w:rPr>
                <w:rFonts w:ascii="Bookman Old Style" w:hAnsi="Bookman Old Style"/>
                <w:sz w:val="16"/>
              </w:rPr>
              <w:t>8.61</w:t>
            </w:r>
          </w:p>
        </w:tc>
        <w:tc>
          <w:tcPr>
            <w:tcW w:w="1064" w:type="dxa"/>
            <w:tcBorders>
              <w:top w:val="nil"/>
              <w:left w:val="nil"/>
              <w:bottom w:val="nil"/>
              <w:right w:val="nil"/>
            </w:tcBorders>
          </w:tcPr>
          <w:p w14:paraId="0B132A24" w14:textId="62C900E4" w:rsidR="00EB3FAB" w:rsidRPr="00EB3FAB" w:rsidRDefault="00EB3FAB" w:rsidP="00E6746A">
            <w:pPr>
              <w:jc w:val="center"/>
              <w:rPr>
                <w:rFonts w:ascii="Bookman Old Style" w:hAnsi="Bookman Old Style"/>
                <w:sz w:val="16"/>
              </w:rPr>
            </w:pPr>
            <w:r>
              <w:rPr>
                <w:rFonts w:ascii="Bookman Old Style" w:hAnsi="Bookman Old Style"/>
                <w:sz w:val="16"/>
              </w:rPr>
              <w:t>3,400</w:t>
            </w:r>
          </w:p>
        </w:tc>
        <w:tc>
          <w:tcPr>
            <w:tcW w:w="1064" w:type="dxa"/>
            <w:tcBorders>
              <w:top w:val="nil"/>
              <w:left w:val="nil"/>
              <w:bottom w:val="nil"/>
              <w:right w:val="nil"/>
            </w:tcBorders>
          </w:tcPr>
          <w:p w14:paraId="79445E72" w14:textId="6D3EC7C9" w:rsidR="00EB3FAB" w:rsidRPr="00EB3FAB" w:rsidRDefault="00EB3FAB" w:rsidP="00E6746A">
            <w:pPr>
              <w:jc w:val="center"/>
              <w:rPr>
                <w:rFonts w:ascii="Bookman Old Style" w:hAnsi="Bookman Old Style"/>
                <w:sz w:val="16"/>
              </w:rPr>
            </w:pPr>
            <w:r>
              <w:rPr>
                <w:rFonts w:ascii="Bookman Old Style" w:hAnsi="Bookman Old Style"/>
                <w:sz w:val="16"/>
              </w:rPr>
              <w:t>1.50</w:t>
            </w:r>
          </w:p>
        </w:tc>
        <w:tc>
          <w:tcPr>
            <w:tcW w:w="1064" w:type="dxa"/>
            <w:tcBorders>
              <w:top w:val="nil"/>
              <w:left w:val="nil"/>
              <w:bottom w:val="nil"/>
              <w:right w:val="nil"/>
            </w:tcBorders>
          </w:tcPr>
          <w:p w14:paraId="4EE84488" w14:textId="78F09A0E" w:rsidR="00EB3FAB" w:rsidRPr="00EB3FAB" w:rsidRDefault="00EB3FAB" w:rsidP="00E6746A">
            <w:pPr>
              <w:jc w:val="center"/>
              <w:rPr>
                <w:rFonts w:ascii="Bookman Old Style" w:hAnsi="Bookman Old Style"/>
                <w:sz w:val="16"/>
              </w:rPr>
            </w:pPr>
            <w:r>
              <w:rPr>
                <w:rFonts w:ascii="Bookman Old Style" w:hAnsi="Bookman Old Style"/>
                <w:sz w:val="16"/>
              </w:rPr>
              <w:t>1.71</w:t>
            </w:r>
          </w:p>
        </w:tc>
        <w:tc>
          <w:tcPr>
            <w:tcW w:w="1064" w:type="dxa"/>
            <w:tcBorders>
              <w:top w:val="nil"/>
              <w:left w:val="nil"/>
              <w:bottom w:val="nil"/>
              <w:right w:val="nil"/>
            </w:tcBorders>
          </w:tcPr>
          <w:p w14:paraId="3F99FED5" w14:textId="271EE780" w:rsidR="00EB3FAB" w:rsidRPr="00EB3FAB" w:rsidRDefault="00EB3FAB" w:rsidP="00E6746A">
            <w:pPr>
              <w:jc w:val="center"/>
              <w:rPr>
                <w:rFonts w:ascii="Bookman Old Style" w:hAnsi="Bookman Old Style"/>
                <w:sz w:val="16"/>
              </w:rPr>
            </w:pPr>
            <w:r>
              <w:rPr>
                <w:rFonts w:ascii="Bookman Old Style" w:hAnsi="Bookman Old Style"/>
                <w:sz w:val="16"/>
              </w:rPr>
              <w:t>3.20</w:t>
            </w:r>
          </w:p>
        </w:tc>
      </w:tr>
      <w:tr w:rsidR="00EB3FAB" w14:paraId="665C3673" w14:textId="77777777" w:rsidTr="00E6746A">
        <w:tc>
          <w:tcPr>
            <w:tcW w:w="1278" w:type="dxa"/>
            <w:tcBorders>
              <w:top w:val="nil"/>
              <w:left w:val="nil"/>
              <w:bottom w:val="nil"/>
              <w:right w:val="nil"/>
            </w:tcBorders>
          </w:tcPr>
          <w:p w14:paraId="3F89F199" w14:textId="77777777" w:rsidR="00EB3FAB" w:rsidRPr="00EB3FAB" w:rsidRDefault="00EB3FAB" w:rsidP="00E6746A">
            <w:pPr>
              <w:rPr>
                <w:rFonts w:ascii="Bookman Old Style" w:hAnsi="Bookman Old Style"/>
                <w:sz w:val="16"/>
              </w:rPr>
            </w:pPr>
            <w:r w:rsidRPr="00EB3FAB">
              <w:rPr>
                <w:rFonts w:ascii="Bookman Old Style" w:hAnsi="Bookman Old Style"/>
                <w:sz w:val="16"/>
              </w:rPr>
              <w:t>20 – 39.99</w:t>
            </w:r>
          </w:p>
        </w:tc>
        <w:tc>
          <w:tcPr>
            <w:tcW w:w="850" w:type="dxa"/>
            <w:tcBorders>
              <w:top w:val="nil"/>
              <w:left w:val="nil"/>
              <w:bottom w:val="nil"/>
              <w:right w:val="nil"/>
            </w:tcBorders>
          </w:tcPr>
          <w:p w14:paraId="2A064A02" w14:textId="14FAE1F7" w:rsidR="00EB3FAB" w:rsidRPr="00EB3FAB" w:rsidRDefault="00EB3FAB" w:rsidP="00E6746A">
            <w:pPr>
              <w:jc w:val="center"/>
              <w:rPr>
                <w:rFonts w:ascii="Bookman Old Style" w:hAnsi="Bookman Old Style"/>
                <w:sz w:val="16"/>
              </w:rPr>
            </w:pPr>
            <w:r>
              <w:rPr>
                <w:rFonts w:ascii="Bookman Old Style" w:hAnsi="Bookman Old Style"/>
                <w:sz w:val="16"/>
              </w:rPr>
              <w:t>30</w:t>
            </w:r>
          </w:p>
        </w:tc>
        <w:tc>
          <w:tcPr>
            <w:tcW w:w="1064" w:type="dxa"/>
            <w:tcBorders>
              <w:top w:val="nil"/>
              <w:left w:val="nil"/>
              <w:bottom w:val="nil"/>
              <w:right w:val="nil"/>
            </w:tcBorders>
          </w:tcPr>
          <w:p w14:paraId="4E51F6E2" w14:textId="6F29329E" w:rsidR="00EB3FAB" w:rsidRPr="00EB3FAB" w:rsidRDefault="00EB3FAB" w:rsidP="00E6746A">
            <w:pPr>
              <w:jc w:val="center"/>
              <w:rPr>
                <w:rFonts w:ascii="Bookman Old Style" w:hAnsi="Bookman Old Style"/>
                <w:sz w:val="16"/>
              </w:rPr>
            </w:pPr>
            <w:r>
              <w:rPr>
                <w:rFonts w:ascii="Bookman Old Style" w:hAnsi="Bookman Old Style"/>
                <w:sz w:val="16"/>
              </w:rPr>
              <w:t>4.63</w:t>
            </w:r>
          </w:p>
        </w:tc>
        <w:tc>
          <w:tcPr>
            <w:tcW w:w="1064" w:type="dxa"/>
            <w:tcBorders>
              <w:top w:val="nil"/>
              <w:left w:val="nil"/>
              <w:bottom w:val="nil"/>
              <w:right w:val="nil"/>
            </w:tcBorders>
          </w:tcPr>
          <w:p w14:paraId="397912DF" w14:textId="691EF86A" w:rsidR="00EB3FAB" w:rsidRPr="00EB3FAB" w:rsidRDefault="00EB3FAB" w:rsidP="00E6746A">
            <w:pPr>
              <w:jc w:val="center"/>
              <w:rPr>
                <w:rFonts w:ascii="Bookman Old Style" w:hAnsi="Bookman Old Style"/>
                <w:sz w:val="16"/>
              </w:rPr>
            </w:pPr>
            <w:r>
              <w:rPr>
                <w:rFonts w:ascii="Bookman Old Style" w:hAnsi="Bookman Old Style"/>
                <w:sz w:val="16"/>
              </w:rPr>
              <w:t>1.67</w:t>
            </w:r>
          </w:p>
        </w:tc>
        <w:tc>
          <w:tcPr>
            <w:tcW w:w="1064" w:type="dxa"/>
            <w:tcBorders>
              <w:top w:val="nil"/>
              <w:left w:val="nil"/>
              <w:bottom w:val="nil"/>
              <w:right w:val="nil"/>
            </w:tcBorders>
          </w:tcPr>
          <w:p w14:paraId="74D5B586" w14:textId="288D387A" w:rsidR="00EB3FAB" w:rsidRPr="00EB3FAB" w:rsidRDefault="00EB3FAB" w:rsidP="00E6746A">
            <w:pPr>
              <w:jc w:val="center"/>
              <w:rPr>
                <w:rFonts w:ascii="Bookman Old Style" w:hAnsi="Bookman Old Style"/>
                <w:sz w:val="16"/>
              </w:rPr>
            </w:pPr>
            <w:r>
              <w:rPr>
                <w:rFonts w:ascii="Bookman Old Style" w:hAnsi="Bookman Old Style"/>
                <w:sz w:val="16"/>
              </w:rPr>
              <w:t>6.30</w:t>
            </w:r>
          </w:p>
        </w:tc>
        <w:tc>
          <w:tcPr>
            <w:tcW w:w="1064" w:type="dxa"/>
            <w:tcBorders>
              <w:top w:val="nil"/>
              <w:left w:val="nil"/>
              <w:bottom w:val="nil"/>
              <w:right w:val="nil"/>
            </w:tcBorders>
          </w:tcPr>
          <w:p w14:paraId="45A1BE94" w14:textId="745137F4" w:rsidR="00EB3FAB" w:rsidRPr="00EB3FAB" w:rsidRDefault="00EB3FAB" w:rsidP="00E6746A">
            <w:pPr>
              <w:jc w:val="center"/>
              <w:rPr>
                <w:rFonts w:ascii="Bookman Old Style" w:hAnsi="Bookman Old Style"/>
                <w:sz w:val="16"/>
              </w:rPr>
            </w:pPr>
            <w:r>
              <w:rPr>
                <w:rFonts w:ascii="Bookman Old Style" w:hAnsi="Bookman Old Style"/>
                <w:sz w:val="16"/>
              </w:rPr>
              <w:t>2,690</w:t>
            </w:r>
          </w:p>
        </w:tc>
        <w:tc>
          <w:tcPr>
            <w:tcW w:w="1064" w:type="dxa"/>
            <w:tcBorders>
              <w:top w:val="nil"/>
              <w:left w:val="nil"/>
              <w:bottom w:val="nil"/>
              <w:right w:val="nil"/>
            </w:tcBorders>
          </w:tcPr>
          <w:p w14:paraId="691918FE" w14:textId="289D5E6C" w:rsidR="00EB3FAB" w:rsidRPr="00EB3FAB" w:rsidRDefault="00EB3FAB" w:rsidP="00E6746A">
            <w:pPr>
              <w:jc w:val="center"/>
              <w:rPr>
                <w:rFonts w:ascii="Bookman Old Style" w:hAnsi="Bookman Old Style"/>
                <w:sz w:val="16"/>
              </w:rPr>
            </w:pPr>
            <w:r>
              <w:rPr>
                <w:rFonts w:ascii="Bookman Old Style" w:hAnsi="Bookman Old Style"/>
                <w:sz w:val="16"/>
              </w:rPr>
              <w:t>1.25</w:t>
            </w:r>
          </w:p>
        </w:tc>
        <w:tc>
          <w:tcPr>
            <w:tcW w:w="1064" w:type="dxa"/>
            <w:tcBorders>
              <w:top w:val="nil"/>
              <w:left w:val="nil"/>
              <w:bottom w:val="nil"/>
              <w:right w:val="nil"/>
            </w:tcBorders>
          </w:tcPr>
          <w:p w14:paraId="02E0B154" w14:textId="7773C2BF" w:rsidR="00EB3FAB" w:rsidRPr="00EB3FAB" w:rsidRDefault="00EB3FAB" w:rsidP="00E6746A">
            <w:pPr>
              <w:jc w:val="center"/>
              <w:rPr>
                <w:rFonts w:ascii="Bookman Old Style" w:hAnsi="Bookman Old Style"/>
                <w:sz w:val="16"/>
              </w:rPr>
            </w:pPr>
            <w:r>
              <w:rPr>
                <w:rFonts w:ascii="Bookman Old Style" w:hAnsi="Bookman Old Style"/>
                <w:sz w:val="16"/>
              </w:rPr>
              <w:t>0.92</w:t>
            </w:r>
          </w:p>
        </w:tc>
        <w:tc>
          <w:tcPr>
            <w:tcW w:w="1064" w:type="dxa"/>
            <w:tcBorders>
              <w:top w:val="nil"/>
              <w:left w:val="nil"/>
              <w:bottom w:val="nil"/>
              <w:right w:val="nil"/>
            </w:tcBorders>
          </w:tcPr>
          <w:p w14:paraId="00FF89F5" w14:textId="20DD76F0" w:rsidR="00EB3FAB" w:rsidRPr="00EB3FAB" w:rsidRDefault="00EB3FAB" w:rsidP="00E6746A">
            <w:pPr>
              <w:jc w:val="center"/>
              <w:rPr>
                <w:rFonts w:ascii="Bookman Old Style" w:hAnsi="Bookman Old Style"/>
                <w:sz w:val="16"/>
              </w:rPr>
            </w:pPr>
            <w:r>
              <w:rPr>
                <w:rFonts w:ascii="Bookman Old Style" w:hAnsi="Bookman Old Style"/>
                <w:sz w:val="16"/>
              </w:rPr>
              <w:t>2.17</w:t>
            </w:r>
          </w:p>
        </w:tc>
      </w:tr>
      <w:tr w:rsidR="00EB3FAB" w14:paraId="5435C316" w14:textId="77777777" w:rsidTr="00E6746A">
        <w:tc>
          <w:tcPr>
            <w:tcW w:w="1278" w:type="dxa"/>
            <w:tcBorders>
              <w:top w:val="nil"/>
              <w:left w:val="nil"/>
              <w:bottom w:val="nil"/>
              <w:right w:val="nil"/>
            </w:tcBorders>
          </w:tcPr>
          <w:p w14:paraId="7AA1BE52" w14:textId="77777777" w:rsidR="00EB3FAB" w:rsidRPr="00EB3FAB" w:rsidRDefault="00EB3FAB" w:rsidP="00E6746A">
            <w:pPr>
              <w:rPr>
                <w:rFonts w:ascii="Bookman Old Style" w:hAnsi="Bookman Old Style"/>
                <w:sz w:val="16"/>
              </w:rPr>
            </w:pPr>
            <w:r w:rsidRPr="00EB3FAB">
              <w:rPr>
                <w:rFonts w:ascii="Bookman Old Style" w:hAnsi="Bookman Old Style"/>
                <w:sz w:val="16"/>
              </w:rPr>
              <w:t>40 – 59.99</w:t>
            </w:r>
          </w:p>
        </w:tc>
        <w:tc>
          <w:tcPr>
            <w:tcW w:w="850" w:type="dxa"/>
            <w:tcBorders>
              <w:top w:val="nil"/>
              <w:left w:val="nil"/>
              <w:bottom w:val="nil"/>
              <w:right w:val="nil"/>
            </w:tcBorders>
          </w:tcPr>
          <w:p w14:paraId="2A0F5A1C" w14:textId="0FDB733B" w:rsidR="00EB3FAB" w:rsidRPr="00EB3FAB" w:rsidRDefault="00EB3FAB" w:rsidP="00E6746A">
            <w:pPr>
              <w:jc w:val="center"/>
              <w:rPr>
                <w:rFonts w:ascii="Bookman Old Style" w:hAnsi="Bookman Old Style"/>
                <w:sz w:val="16"/>
              </w:rPr>
            </w:pPr>
            <w:r>
              <w:rPr>
                <w:rFonts w:ascii="Bookman Old Style" w:hAnsi="Bookman Old Style"/>
                <w:sz w:val="16"/>
              </w:rPr>
              <w:t>35</w:t>
            </w:r>
          </w:p>
        </w:tc>
        <w:tc>
          <w:tcPr>
            <w:tcW w:w="1064" w:type="dxa"/>
            <w:tcBorders>
              <w:top w:val="nil"/>
              <w:left w:val="nil"/>
              <w:bottom w:val="nil"/>
              <w:right w:val="nil"/>
            </w:tcBorders>
          </w:tcPr>
          <w:p w14:paraId="2A00A3A3" w14:textId="6A179947" w:rsidR="00EB3FAB" w:rsidRPr="00EB3FAB" w:rsidRDefault="00EB3FAB" w:rsidP="00E6746A">
            <w:pPr>
              <w:jc w:val="center"/>
              <w:rPr>
                <w:rFonts w:ascii="Bookman Old Style" w:hAnsi="Bookman Old Style"/>
                <w:sz w:val="16"/>
              </w:rPr>
            </w:pPr>
            <w:r>
              <w:rPr>
                <w:rFonts w:ascii="Bookman Old Style" w:hAnsi="Bookman Old Style"/>
                <w:sz w:val="16"/>
              </w:rPr>
              <w:t>3.49</w:t>
            </w:r>
          </w:p>
        </w:tc>
        <w:tc>
          <w:tcPr>
            <w:tcW w:w="1064" w:type="dxa"/>
            <w:tcBorders>
              <w:top w:val="nil"/>
              <w:left w:val="nil"/>
              <w:bottom w:val="nil"/>
              <w:right w:val="nil"/>
            </w:tcBorders>
          </w:tcPr>
          <w:p w14:paraId="75927848" w14:textId="52947609" w:rsidR="00EB3FAB" w:rsidRPr="00EB3FAB" w:rsidRDefault="00EB3FAB" w:rsidP="00E6746A">
            <w:pPr>
              <w:jc w:val="center"/>
              <w:rPr>
                <w:rFonts w:ascii="Bookman Old Style" w:hAnsi="Bookman Old Style"/>
                <w:sz w:val="16"/>
              </w:rPr>
            </w:pPr>
            <w:r>
              <w:rPr>
                <w:rFonts w:ascii="Bookman Old Style" w:hAnsi="Bookman Old Style"/>
                <w:sz w:val="16"/>
              </w:rPr>
              <w:t>1.04</w:t>
            </w:r>
          </w:p>
        </w:tc>
        <w:tc>
          <w:tcPr>
            <w:tcW w:w="1064" w:type="dxa"/>
            <w:tcBorders>
              <w:top w:val="nil"/>
              <w:left w:val="nil"/>
              <w:bottom w:val="nil"/>
              <w:right w:val="nil"/>
            </w:tcBorders>
          </w:tcPr>
          <w:p w14:paraId="0F1D5AB8" w14:textId="06ADEE85" w:rsidR="00EB3FAB" w:rsidRPr="00EB3FAB" w:rsidRDefault="00EB3FAB" w:rsidP="00E6746A">
            <w:pPr>
              <w:jc w:val="center"/>
              <w:rPr>
                <w:rFonts w:ascii="Bookman Old Style" w:hAnsi="Bookman Old Style"/>
                <w:sz w:val="16"/>
              </w:rPr>
            </w:pPr>
            <w:r>
              <w:rPr>
                <w:rFonts w:ascii="Bookman Old Style" w:hAnsi="Bookman Old Style"/>
                <w:sz w:val="16"/>
              </w:rPr>
              <w:t>4.54</w:t>
            </w:r>
          </w:p>
        </w:tc>
        <w:tc>
          <w:tcPr>
            <w:tcW w:w="1064" w:type="dxa"/>
            <w:tcBorders>
              <w:top w:val="nil"/>
              <w:left w:val="nil"/>
              <w:bottom w:val="nil"/>
              <w:right w:val="nil"/>
            </w:tcBorders>
          </w:tcPr>
          <w:p w14:paraId="742E025B" w14:textId="078214CD" w:rsidR="00EB3FAB" w:rsidRPr="00EB3FAB" w:rsidRDefault="00EB3FAB" w:rsidP="00E6746A">
            <w:pPr>
              <w:jc w:val="center"/>
              <w:rPr>
                <w:rFonts w:ascii="Bookman Old Style" w:hAnsi="Bookman Old Style"/>
                <w:sz w:val="16"/>
              </w:rPr>
            </w:pPr>
            <w:r>
              <w:rPr>
                <w:rFonts w:ascii="Bookman Old Style" w:hAnsi="Bookman Old Style"/>
                <w:sz w:val="16"/>
              </w:rPr>
              <w:t>3,345</w:t>
            </w:r>
          </w:p>
        </w:tc>
        <w:tc>
          <w:tcPr>
            <w:tcW w:w="1064" w:type="dxa"/>
            <w:tcBorders>
              <w:top w:val="nil"/>
              <w:left w:val="nil"/>
              <w:bottom w:val="nil"/>
              <w:right w:val="nil"/>
            </w:tcBorders>
          </w:tcPr>
          <w:p w14:paraId="241D6222" w14:textId="45A2103E" w:rsidR="00EB3FAB" w:rsidRPr="00EB3FAB" w:rsidRDefault="00EB3FAB" w:rsidP="00E6746A">
            <w:pPr>
              <w:jc w:val="center"/>
              <w:rPr>
                <w:rFonts w:ascii="Bookman Old Style" w:hAnsi="Bookman Old Style"/>
                <w:sz w:val="16"/>
              </w:rPr>
            </w:pPr>
            <w:r>
              <w:rPr>
                <w:rFonts w:ascii="Bookman Old Style" w:hAnsi="Bookman Old Style"/>
                <w:sz w:val="16"/>
              </w:rPr>
              <w:t>0.81</w:t>
            </w:r>
          </w:p>
        </w:tc>
        <w:tc>
          <w:tcPr>
            <w:tcW w:w="1064" w:type="dxa"/>
            <w:tcBorders>
              <w:top w:val="nil"/>
              <w:left w:val="nil"/>
              <w:bottom w:val="nil"/>
              <w:right w:val="nil"/>
            </w:tcBorders>
          </w:tcPr>
          <w:p w14:paraId="164A7C9C" w14:textId="7DE86151" w:rsidR="00EB3FAB" w:rsidRPr="00EB3FAB" w:rsidRDefault="00EB3FAB" w:rsidP="00E6746A">
            <w:pPr>
              <w:jc w:val="center"/>
              <w:rPr>
                <w:rFonts w:ascii="Bookman Old Style" w:hAnsi="Bookman Old Style"/>
                <w:sz w:val="16"/>
              </w:rPr>
            </w:pPr>
            <w:r>
              <w:rPr>
                <w:rFonts w:ascii="Bookman Old Style" w:hAnsi="Bookman Old Style"/>
                <w:sz w:val="16"/>
              </w:rPr>
              <w:t>0.79</w:t>
            </w:r>
          </w:p>
        </w:tc>
        <w:tc>
          <w:tcPr>
            <w:tcW w:w="1064" w:type="dxa"/>
            <w:tcBorders>
              <w:top w:val="nil"/>
              <w:left w:val="nil"/>
              <w:bottom w:val="nil"/>
              <w:right w:val="nil"/>
            </w:tcBorders>
          </w:tcPr>
          <w:p w14:paraId="429B205F" w14:textId="75FA6FB8" w:rsidR="00EB3FAB" w:rsidRPr="00EB3FAB" w:rsidRDefault="00EB3FAB" w:rsidP="00E6746A">
            <w:pPr>
              <w:jc w:val="center"/>
              <w:rPr>
                <w:rFonts w:ascii="Bookman Old Style" w:hAnsi="Bookman Old Style"/>
                <w:sz w:val="16"/>
              </w:rPr>
            </w:pPr>
            <w:r>
              <w:rPr>
                <w:rFonts w:ascii="Bookman Old Style" w:hAnsi="Bookman Old Style"/>
                <w:sz w:val="16"/>
              </w:rPr>
              <w:t>1.59</w:t>
            </w:r>
          </w:p>
        </w:tc>
      </w:tr>
      <w:tr w:rsidR="00EB3FAB" w14:paraId="064B9ECC" w14:textId="77777777" w:rsidTr="00E6746A">
        <w:tc>
          <w:tcPr>
            <w:tcW w:w="1278" w:type="dxa"/>
            <w:tcBorders>
              <w:top w:val="nil"/>
              <w:left w:val="nil"/>
              <w:bottom w:val="nil"/>
              <w:right w:val="nil"/>
            </w:tcBorders>
          </w:tcPr>
          <w:p w14:paraId="2D8A1662" w14:textId="77777777" w:rsidR="00EB3FAB" w:rsidRPr="00EB3FAB" w:rsidRDefault="00EB3FAB" w:rsidP="00E6746A">
            <w:pPr>
              <w:rPr>
                <w:rFonts w:ascii="Bookman Old Style" w:hAnsi="Bookman Old Style"/>
                <w:sz w:val="16"/>
              </w:rPr>
            </w:pPr>
            <w:r w:rsidRPr="00EB3FAB">
              <w:rPr>
                <w:rFonts w:ascii="Bookman Old Style" w:hAnsi="Bookman Old Style"/>
                <w:sz w:val="16"/>
              </w:rPr>
              <w:t>60 – 79.99</w:t>
            </w:r>
          </w:p>
        </w:tc>
        <w:tc>
          <w:tcPr>
            <w:tcW w:w="850" w:type="dxa"/>
            <w:tcBorders>
              <w:top w:val="nil"/>
              <w:left w:val="nil"/>
              <w:bottom w:val="nil"/>
              <w:right w:val="nil"/>
            </w:tcBorders>
          </w:tcPr>
          <w:p w14:paraId="25897CF4" w14:textId="5340E28E" w:rsidR="00EB3FAB" w:rsidRPr="00EB3FAB" w:rsidRDefault="00EB3FAB" w:rsidP="00E6746A">
            <w:pPr>
              <w:jc w:val="center"/>
              <w:rPr>
                <w:rFonts w:ascii="Bookman Old Style" w:hAnsi="Bookman Old Style"/>
                <w:sz w:val="16"/>
              </w:rPr>
            </w:pPr>
            <w:r>
              <w:rPr>
                <w:rFonts w:ascii="Bookman Old Style" w:hAnsi="Bookman Old Style"/>
                <w:sz w:val="16"/>
              </w:rPr>
              <w:t>60</w:t>
            </w:r>
          </w:p>
        </w:tc>
        <w:tc>
          <w:tcPr>
            <w:tcW w:w="1064" w:type="dxa"/>
            <w:tcBorders>
              <w:top w:val="nil"/>
              <w:left w:val="nil"/>
              <w:bottom w:val="nil"/>
              <w:right w:val="nil"/>
            </w:tcBorders>
          </w:tcPr>
          <w:p w14:paraId="268B5DD5" w14:textId="69D5BA89" w:rsidR="00EB3FAB" w:rsidRPr="00EB3FAB" w:rsidRDefault="00EB3FAB" w:rsidP="00E6746A">
            <w:pPr>
              <w:jc w:val="center"/>
              <w:rPr>
                <w:rFonts w:ascii="Bookman Old Style" w:hAnsi="Bookman Old Style"/>
                <w:sz w:val="16"/>
              </w:rPr>
            </w:pPr>
            <w:r>
              <w:rPr>
                <w:rFonts w:ascii="Bookman Old Style" w:hAnsi="Bookman Old Style"/>
                <w:sz w:val="16"/>
              </w:rPr>
              <w:t>2.79</w:t>
            </w:r>
          </w:p>
        </w:tc>
        <w:tc>
          <w:tcPr>
            <w:tcW w:w="1064" w:type="dxa"/>
            <w:tcBorders>
              <w:top w:val="nil"/>
              <w:left w:val="nil"/>
              <w:bottom w:val="nil"/>
              <w:right w:val="nil"/>
            </w:tcBorders>
          </w:tcPr>
          <w:p w14:paraId="4B9B68E7" w14:textId="16DF15E9" w:rsidR="00EB3FAB" w:rsidRPr="00EB3FAB" w:rsidRDefault="00EB3FAB" w:rsidP="00E6746A">
            <w:pPr>
              <w:jc w:val="center"/>
              <w:rPr>
                <w:rFonts w:ascii="Bookman Old Style" w:hAnsi="Bookman Old Style"/>
                <w:sz w:val="16"/>
              </w:rPr>
            </w:pPr>
            <w:r>
              <w:rPr>
                <w:rFonts w:ascii="Bookman Old Style" w:hAnsi="Bookman Old Style"/>
                <w:sz w:val="16"/>
              </w:rPr>
              <w:t>0.62</w:t>
            </w:r>
          </w:p>
        </w:tc>
        <w:tc>
          <w:tcPr>
            <w:tcW w:w="1064" w:type="dxa"/>
            <w:tcBorders>
              <w:top w:val="nil"/>
              <w:left w:val="nil"/>
              <w:bottom w:val="nil"/>
              <w:right w:val="nil"/>
            </w:tcBorders>
          </w:tcPr>
          <w:p w14:paraId="24144C6C" w14:textId="62AAB534" w:rsidR="00EB3FAB" w:rsidRPr="00EB3FAB" w:rsidRDefault="00EB3FAB" w:rsidP="00E6746A">
            <w:pPr>
              <w:jc w:val="center"/>
              <w:rPr>
                <w:rFonts w:ascii="Bookman Old Style" w:hAnsi="Bookman Old Style"/>
                <w:sz w:val="16"/>
              </w:rPr>
            </w:pPr>
            <w:r>
              <w:rPr>
                <w:rFonts w:ascii="Bookman Old Style" w:hAnsi="Bookman Old Style"/>
                <w:sz w:val="16"/>
              </w:rPr>
              <w:t>3.41</w:t>
            </w:r>
          </w:p>
        </w:tc>
        <w:tc>
          <w:tcPr>
            <w:tcW w:w="1064" w:type="dxa"/>
            <w:tcBorders>
              <w:top w:val="nil"/>
              <w:left w:val="nil"/>
              <w:bottom w:val="nil"/>
              <w:right w:val="nil"/>
            </w:tcBorders>
          </w:tcPr>
          <w:p w14:paraId="39C4914B" w14:textId="0F6CA8CB" w:rsidR="00EB3FAB" w:rsidRPr="00EB3FAB" w:rsidRDefault="00EB3FAB" w:rsidP="00E6746A">
            <w:pPr>
              <w:jc w:val="center"/>
              <w:rPr>
                <w:rFonts w:ascii="Bookman Old Style" w:hAnsi="Bookman Old Style"/>
                <w:sz w:val="16"/>
              </w:rPr>
            </w:pPr>
            <w:r>
              <w:rPr>
                <w:rFonts w:ascii="Bookman Old Style" w:hAnsi="Bookman Old Style"/>
                <w:sz w:val="16"/>
              </w:rPr>
              <w:t>891</w:t>
            </w:r>
          </w:p>
        </w:tc>
        <w:tc>
          <w:tcPr>
            <w:tcW w:w="1064" w:type="dxa"/>
            <w:tcBorders>
              <w:top w:val="nil"/>
              <w:left w:val="nil"/>
              <w:bottom w:val="nil"/>
              <w:right w:val="nil"/>
            </w:tcBorders>
          </w:tcPr>
          <w:p w14:paraId="4506BDB7" w14:textId="0FED6223" w:rsidR="00EB3FAB" w:rsidRPr="00EB3FAB" w:rsidRDefault="00EB3FAB" w:rsidP="00E6746A">
            <w:pPr>
              <w:jc w:val="center"/>
              <w:rPr>
                <w:rFonts w:ascii="Bookman Old Style" w:hAnsi="Bookman Old Style"/>
                <w:sz w:val="16"/>
              </w:rPr>
            </w:pPr>
            <w:r>
              <w:rPr>
                <w:rFonts w:ascii="Bookman Old Style" w:hAnsi="Bookman Old Style"/>
                <w:sz w:val="16"/>
              </w:rPr>
              <w:t>1.65</w:t>
            </w:r>
          </w:p>
        </w:tc>
        <w:tc>
          <w:tcPr>
            <w:tcW w:w="1064" w:type="dxa"/>
            <w:tcBorders>
              <w:top w:val="nil"/>
              <w:left w:val="nil"/>
              <w:bottom w:val="nil"/>
              <w:right w:val="nil"/>
            </w:tcBorders>
          </w:tcPr>
          <w:p w14:paraId="2EA8FCA8" w14:textId="7B8BC21B" w:rsidR="00EB3FAB" w:rsidRPr="00EB3FAB" w:rsidRDefault="00EB3FAB" w:rsidP="00E6746A">
            <w:pPr>
              <w:jc w:val="center"/>
              <w:rPr>
                <w:rFonts w:ascii="Bookman Old Style" w:hAnsi="Bookman Old Style"/>
                <w:sz w:val="16"/>
              </w:rPr>
            </w:pPr>
            <w:r>
              <w:rPr>
                <w:rFonts w:ascii="Bookman Old Style" w:hAnsi="Bookman Old Style"/>
                <w:sz w:val="16"/>
              </w:rPr>
              <w:t>0.80</w:t>
            </w:r>
          </w:p>
        </w:tc>
        <w:tc>
          <w:tcPr>
            <w:tcW w:w="1064" w:type="dxa"/>
            <w:tcBorders>
              <w:top w:val="nil"/>
              <w:left w:val="nil"/>
              <w:bottom w:val="nil"/>
              <w:right w:val="nil"/>
            </w:tcBorders>
          </w:tcPr>
          <w:p w14:paraId="23F19771" w14:textId="661B65E7" w:rsidR="00EB3FAB" w:rsidRPr="00EB3FAB" w:rsidRDefault="00EB3FAB" w:rsidP="00E6746A">
            <w:pPr>
              <w:jc w:val="center"/>
              <w:rPr>
                <w:rFonts w:ascii="Bookman Old Style" w:hAnsi="Bookman Old Style"/>
                <w:sz w:val="16"/>
              </w:rPr>
            </w:pPr>
            <w:r>
              <w:rPr>
                <w:rFonts w:ascii="Bookman Old Style" w:hAnsi="Bookman Old Style"/>
                <w:sz w:val="16"/>
              </w:rPr>
              <w:t>2.44</w:t>
            </w:r>
          </w:p>
        </w:tc>
      </w:tr>
      <w:tr w:rsidR="00EB3FAB" w14:paraId="685D8DD7" w14:textId="77777777" w:rsidTr="00E6746A">
        <w:tc>
          <w:tcPr>
            <w:tcW w:w="1278" w:type="dxa"/>
            <w:tcBorders>
              <w:top w:val="nil"/>
              <w:left w:val="nil"/>
              <w:bottom w:val="nil"/>
              <w:right w:val="nil"/>
            </w:tcBorders>
          </w:tcPr>
          <w:p w14:paraId="1E17BC4C" w14:textId="77777777" w:rsidR="00EB3FAB" w:rsidRPr="00EB3FAB" w:rsidRDefault="00EB3FAB" w:rsidP="00E6746A">
            <w:pPr>
              <w:rPr>
                <w:rFonts w:ascii="Bookman Old Style" w:hAnsi="Bookman Old Style"/>
                <w:sz w:val="16"/>
              </w:rPr>
            </w:pPr>
            <w:r w:rsidRPr="00EB3FAB">
              <w:rPr>
                <w:rFonts w:ascii="Bookman Old Style" w:hAnsi="Bookman Old Style"/>
                <w:sz w:val="16"/>
              </w:rPr>
              <w:t>80 – 99.99</w:t>
            </w:r>
          </w:p>
        </w:tc>
        <w:tc>
          <w:tcPr>
            <w:tcW w:w="850" w:type="dxa"/>
            <w:tcBorders>
              <w:top w:val="nil"/>
              <w:left w:val="nil"/>
              <w:bottom w:val="nil"/>
              <w:right w:val="nil"/>
            </w:tcBorders>
          </w:tcPr>
          <w:p w14:paraId="0F9F6E54" w14:textId="499AEFD3" w:rsidR="00EB3FAB" w:rsidRPr="00EB3FAB" w:rsidRDefault="00EB3FAB" w:rsidP="00E6746A">
            <w:pPr>
              <w:jc w:val="center"/>
              <w:rPr>
                <w:rFonts w:ascii="Bookman Old Style" w:hAnsi="Bookman Old Style"/>
                <w:sz w:val="16"/>
              </w:rPr>
            </w:pPr>
            <w:r>
              <w:rPr>
                <w:rFonts w:ascii="Bookman Old Style" w:hAnsi="Bookman Old Style"/>
                <w:sz w:val="16"/>
              </w:rPr>
              <w:t>16</w:t>
            </w:r>
          </w:p>
        </w:tc>
        <w:tc>
          <w:tcPr>
            <w:tcW w:w="1064" w:type="dxa"/>
            <w:tcBorders>
              <w:top w:val="nil"/>
              <w:left w:val="nil"/>
              <w:bottom w:val="nil"/>
              <w:right w:val="nil"/>
            </w:tcBorders>
          </w:tcPr>
          <w:p w14:paraId="72584143" w14:textId="14D933CC" w:rsidR="00EB3FAB" w:rsidRPr="00EB3FAB" w:rsidRDefault="00EB3FAB" w:rsidP="00E6746A">
            <w:pPr>
              <w:jc w:val="center"/>
              <w:rPr>
                <w:rFonts w:ascii="Bookman Old Style" w:hAnsi="Bookman Old Style"/>
                <w:sz w:val="16"/>
              </w:rPr>
            </w:pPr>
            <w:r>
              <w:rPr>
                <w:rFonts w:ascii="Bookman Old Style" w:hAnsi="Bookman Old Style"/>
                <w:sz w:val="16"/>
              </w:rPr>
              <w:t>2.30</w:t>
            </w:r>
          </w:p>
        </w:tc>
        <w:tc>
          <w:tcPr>
            <w:tcW w:w="1064" w:type="dxa"/>
            <w:tcBorders>
              <w:top w:val="nil"/>
              <w:left w:val="nil"/>
              <w:bottom w:val="nil"/>
              <w:right w:val="nil"/>
            </w:tcBorders>
          </w:tcPr>
          <w:p w14:paraId="3ECCA2BF" w14:textId="2F54651E" w:rsidR="00EB3FAB" w:rsidRPr="00EB3FAB" w:rsidRDefault="00EB3FAB" w:rsidP="00E6746A">
            <w:pPr>
              <w:jc w:val="center"/>
              <w:rPr>
                <w:rFonts w:ascii="Bookman Old Style" w:hAnsi="Bookman Old Style"/>
                <w:sz w:val="16"/>
              </w:rPr>
            </w:pPr>
            <w:r>
              <w:rPr>
                <w:rFonts w:ascii="Bookman Old Style" w:hAnsi="Bookman Old Style"/>
                <w:sz w:val="16"/>
              </w:rPr>
              <w:t>0.62</w:t>
            </w:r>
          </w:p>
        </w:tc>
        <w:tc>
          <w:tcPr>
            <w:tcW w:w="1064" w:type="dxa"/>
            <w:tcBorders>
              <w:top w:val="nil"/>
              <w:left w:val="nil"/>
              <w:bottom w:val="nil"/>
              <w:right w:val="nil"/>
            </w:tcBorders>
          </w:tcPr>
          <w:p w14:paraId="4B8C5985" w14:textId="55A83159" w:rsidR="00EB3FAB" w:rsidRPr="00EB3FAB" w:rsidRDefault="00EB3FAB" w:rsidP="00E6746A">
            <w:pPr>
              <w:jc w:val="center"/>
              <w:rPr>
                <w:rFonts w:ascii="Bookman Old Style" w:hAnsi="Bookman Old Style"/>
                <w:sz w:val="16"/>
              </w:rPr>
            </w:pPr>
            <w:r>
              <w:rPr>
                <w:rFonts w:ascii="Bookman Old Style" w:hAnsi="Bookman Old Style"/>
                <w:sz w:val="16"/>
              </w:rPr>
              <w:t>2.92</w:t>
            </w:r>
          </w:p>
        </w:tc>
        <w:tc>
          <w:tcPr>
            <w:tcW w:w="1064" w:type="dxa"/>
            <w:tcBorders>
              <w:top w:val="nil"/>
              <w:left w:val="nil"/>
              <w:bottom w:val="nil"/>
              <w:right w:val="nil"/>
            </w:tcBorders>
          </w:tcPr>
          <w:p w14:paraId="62531EE1" w14:textId="56ACA7B8" w:rsidR="00EB3FAB" w:rsidRPr="00EB3FAB" w:rsidRDefault="00EB3FAB" w:rsidP="00E6746A">
            <w:pPr>
              <w:jc w:val="center"/>
              <w:rPr>
                <w:rFonts w:ascii="Bookman Old Style" w:hAnsi="Bookman Old Style"/>
                <w:sz w:val="16"/>
              </w:rPr>
            </w:pPr>
            <w:r>
              <w:rPr>
                <w:rFonts w:ascii="Bookman Old Style" w:hAnsi="Bookman Old Style"/>
                <w:sz w:val="16"/>
              </w:rPr>
              <w:t>465</w:t>
            </w:r>
          </w:p>
        </w:tc>
        <w:tc>
          <w:tcPr>
            <w:tcW w:w="1064" w:type="dxa"/>
            <w:tcBorders>
              <w:top w:val="nil"/>
              <w:left w:val="nil"/>
              <w:bottom w:val="nil"/>
              <w:right w:val="nil"/>
            </w:tcBorders>
          </w:tcPr>
          <w:p w14:paraId="29D4763B" w14:textId="189590C8" w:rsidR="00EB3FAB" w:rsidRPr="00EB3FAB" w:rsidRDefault="00EB3FAB" w:rsidP="00E6746A">
            <w:pPr>
              <w:jc w:val="center"/>
              <w:rPr>
                <w:rFonts w:ascii="Bookman Old Style" w:hAnsi="Bookman Old Style"/>
                <w:sz w:val="16"/>
              </w:rPr>
            </w:pPr>
            <w:r>
              <w:rPr>
                <w:rFonts w:ascii="Bookman Old Style" w:hAnsi="Bookman Old Style"/>
                <w:sz w:val="16"/>
              </w:rPr>
              <w:t>1.41</w:t>
            </w:r>
          </w:p>
        </w:tc>
        <w:tc>
          <w:tcPr>
            <w:tcW w:w="1064" w:type="dxa"/>
            <w:tcBorders>
              <w:top w:val="nil"/>
              <w:left w:val="nil"/>
              <w:bottom w:val="nil"/>
              <w:right w:val="nil"/>
            </w:tcBorders>
          </w:tcPr>
          <w:p w14:paraId="56C87CC4" w14:textId="78BE6BAD" w:rsidR="00EB3FAB" w:rsidRPr="00EB3FAB" w:rsidRDefault="00EB3FAB" w:rsidP="00E6746A">
            <w:pPr>
              <w:jc w:val="center"/>
              <w:rPr>
                <w:rFonts w:ascii="Bookman Old Style" w:hAnsi="Bookman Old Style"/>
                <w:sz w:val="16"/>
              </w:rPr>
            </w:pPr>
            <w:r>
              <w:rPr>
                <w:rFonts w:ascii="Bookman Old Style" w:hAnsi="Bookman Old Style"/>
                <w:sz w:val="16"/>
              </w:rPr>
              <w:t>0.57</w:t>
            </w:r>
          </w:p>
        </w:tc>
        <w:tc>
          <w:tcPr>
            <w:tcW w:w="1064" w:type="dxa"/>
            <w:tcBorders>
              <w:top w:val="nil"/>
              <w:left w:val="nil"/>
              <w:bottom w:val="nil"/>
              <w:right w:val="nil"/>
            </w:tcBorders>
          </w:tcPr>
          <w:p w14:paraId="6467420B" w14:textId="7366C88F" w:rsidR="00EB3FAB" w:rsidRPr="00EB3FAB" w:rsidRDefault="00EB3FAB" w:rsidP="00E6746A">
            <w:pPr>
              <w:jc w:val="center"/>
              <w:rPr>
                <w:rFonts w:ascii="Bookman Old Style" w:hAnsi="Bookman Old Style"/>
                <w:sz w:val="16"/>
              </w:rPr>
            </w:pPr>
            <w:r>
              <w:rPr>
                <w:rFonts w:ascii="Bookman Old Style" w:hAnsi="Bookman Old Style"/>
                <w:sz w:val="16"/>
              </w:rPr>
              <w:t>1.98</w:t>
            </w:r>
          </w:p>
        </w:tc>
      </w:tr>
      <w:tr w:rsidR="00EB3FAB" w14:paraId="1CB0B28D" w14:textId="77777777" w:rsidTr="00E6746A">
        <w:tc>
          <w:tcPr>
            <w:tcW w:w="1278" w:type="dxa"/>
            <w:tcBorders>
              <w:top w:val="nil"/>
              <w:left w:val="nil"/>
              <w:bottom w:val="nil"/>
              <w:right w:val="nil"/>
            </w:tcBorders>
          </w:tcPr>
          <w:p w14:paraId="681755E2" w14:textId="77777777" w:rsidR="00EB3FAB" w:rsidRPr="00EB3FAB" w:rsidRDefault="00EB3FAB" w:rsidP="00E6746A">
            <w:pPr>
              <w:rPr>
                <w:rFonts w:ascii="Bookman Old Style" w:hAnsi="Bookman Old Style"/>
                <w:sz w:val="16"/>
              </w:rPr>
            </w:pPr>
            <w:r w:rsidRPr="00EB3FAB">
              <w:rPr>
                <w:rFonts w:ascii="Bookman Old Style" w:hAnsi="Bookman Old Style"/>
                <w:sz w:val="16"/>
              </w:rPr>
              <w:t>100 – 199.99</w:t>
            </w:r>
          </w:p>
        </w:tc>
        <w:tc>
          <w:tcPr>
            <w:tcW w:w="850" w:type="dxa"/>
            <w:tcBorders>
              <w:top w:val="nil"/>
              <w:left w:val="nil"/>
              <w:bottom w:val="nil"/>
              <w:right w:val="nil"/>
            </w:tcBorders>
          </w:tcPr>
          <w:p w14:paraId="6246A4B4" w14:textId="4538AAE3" w:rsidR="00EB3FAB" w:rsidRPr="00EB3FAB" w:rsidRDefault="00EB3FAB" w:rsidP="00EB3FAB">
            <w:pPr>
              <w:jc w:val="center"/>
              <w:rPr>
                <w:rFonts w:ascii="Bookman Old Style" w:hAnsi="Bookman Old Style"/>
                <w:sz w:val="16"/>
              </w:rPr>
            </w:pPr>
            <w:r>
              <w:rPr>
                <w:rFonts w:ascii="Bookman Old Style" w:hAnsi="Bookman Old Style"/>
                <w:sz w:val="16"/>
              </w:rPr>
              <w:t>82</w:t>
            </w:r>
          </w:p>
        </w:tc>
        <w:tc>
          <w:tcPr>
            <w:tcW w:w="1064" w:type="dxa"/>
            <w:tcBorders>
              <w:top w:val="nil"/>
              <w:left w:val="nil"/>
              <w:bottom w:val="nil"/>
              <w:right w:val="nil"/>
            </w:tcBorders>
          </w:tcPr>
          <w:p w14:paraId="4B2972EB" w14:textId="75A53B69" w:rsidR="00EB3FAB" w:rsidRPr="00EB3FAB" w:rsidRDefault="00EB3FAB" w:rsidP="00E6746A">
            <w:pPr>
              <w:jc w:val="center"/>
              <w:rPr>
                <w:rFonts w:ascii="Bookman Old Style" w:hAnsi="Bookman Old Style"/>
                <w:sz w:val="16"/>
              </w:rPr>
            </w:pPr>
            <w:r>
              <w:rPr>
                <w:rFonts w:ascii="Bookman Old Style" w:hAnsi="Bookman Old Style"/>
                <w:sz w:val="16"/>
              </w:rPr>
              <w:t>2.66</w:t>
            </w:r>
          </w:p>
        </w:tc>
        <w:tc>
          <w:tcPr>
            <w:tcW w:w="1064" w:type="dxa"/>
            <w:tcBorders>
              <w:top w:val="nil"/>
              <w:left w:val="nil"/>
              <w:bottom w:val="nil"/>
              <w:right w:val="nil"/>
            </w:tcBorders>
          </w:tcPr>
          <w:p w14:paraId="102A7FEF" w14:textId="15EB4778" w:rsidR="00EB3FAB" w:rsidRPr="00EB3FAB" w:rsidRDefault="00EB3FAB" w:rsidP="00E6746A">
            <w:pPr>
              <w:jc w:val="center"/>
              <w:rPr>
                <w:rFonts w:ascii="Bookman Old Style" w:hAnsi="Bookman Old Style"/>
                <w:sz w:val="16"/>
              </w:rPr>
            </w:pPr>
            <w:r>
              <w:rPr>
                <w:rFonts w:ascii="Bookman Old Style" w:hAnsi="Bookman Old Style"/>
                <w:sz w:val="16"/>
              </w:rPr>
              <w:t>0.42</w:t>
            </w:r>
          </w:p>
        </w:tc>
        <w:tc>
          <w:tcPr>
            <w:tcW w:w="1064" w:type="dxa"/>
            <w:tcBorders>
              <w:top w:val="nil"/>
              <w:left w:val="nil"/>
              <w:bottom w:val="nil"/>
              <w:right w:val="nil"/>
            </w:tcBorders>
          </w:tcPr>
          <w:p w14:paraId="497AB024" w14:textId="650CF971" w:rsidR="00EB3FAB" w:rsidRPr="00EB3FAB" w:rsidRDefault="00EB3FAB" w:rsidP="00E6746A">
            <w:pPr>
              <w:jc w:val="center"/>
              <w:rPr>
                <w:rFonts w:ascii="Bookman Old Style" w:hAnsi="Bookman Old Style"/>
                <w:sz w:val="16"/>
              </w:rPr>
            </w:pPr>
            <w:r>
              <w:rPr>
                <w:rFonts w:ascii="Bookman Old Style" w:hAnsi="Bookman Old Style"/>
                <w:sz w:val="16"/>
              </w:rPr>
              <w:t>3.08</w:t>
            </w:r>
          </w:p>
        </w:tc>
        <w:tc>
          <w:tcPr>
            <w:tcW w:w="1064" w:type="dxa"/>
            <w:tcBorders>
              <w:top w:val="nil"/>
              <w:left w:val="nil"/>
              <w:bottom w:val="nil"/>
              <w:right w:val="nil"/>
            </w:tcBorders>
          </w:tcPr>
          <w:p w14:paraId="02C43763" w14:textId="1697B8C2" w:rsidR="00EB3FAB" w:rsidRPr="00EB3FAB" w:rsidRDefault="00EB3FAB" w:rsidP="00E6746A">
            <w:pPr>
              <w:jc w:val="center"/>
              <w:rPr>
                <w:rFonts w:ascii="Bookman Old Style" w:hAnsi="Bookman Old Style"/>
                <w:sz w:val="16"/>
              </w:rPr>
            </w:pPr>
            <w:r>
              <w:rPr>
                <w:rFonts w:ascii="Bookman Old Style" w:hAnsi="Bookman Old Style"/>
                <w:sz w:val="16"/>
              </w:rPr>
              <w:t>4,949</w:t>
            </w:r>
          </w:p>
        </w:tc>
        <w:tc>
          <w:tcPr>
            <w:tcW w:w="1064" w:type="dxa"/>
            <w:tcBorders>
              <w:top w:val="nil"/>
              <w:left w:val="nil"/>
              <w:bottom w:val="nil"/>
              <w:right w:val="nil"/>
            </w:tcBorders>
          </w:tcPr>
          <w:p w14:paraId="3C8D906E" w14:textId="338AF736" w:rsidR="00EB3FAB" w:rsidRPr="00EB3FAB" w:rsidRDefault="00EB3FAB" w:rsidP="00E6746A">
            <w:pPr>
              <w:jc w:val="center"/>
              <w:rPr>
                <w:rFonts w:ascii="Bookman Old Style" w:hAnsi="Bookman Old Style"/>
                <w:sz w:val="16"/>
              </w:rPr>
            </w:pPr>
            <w:r>
              <w:rPr>
                <w:rFonts w:ascii="Bookman Old Style" w:hAnsi="Bookman Old Style"/>
                <w:sz w:val="16"/>
              </w:rPr>
              <w:t>1.61</w:t>
            </w:r>
          </w:p>
        </w:tc>
        <w:tc>
          <w:tcPr>
            <w:tcW w:w="1064" w:type="dxa"/>
            <w:tcBorders>
              <w:top w:val="nil"/>
              <w:left w:val="nil"/>
              <w:bottom w:val="nil"/>
              <w:right w:val="nil"/>
            </w:tcBorders>
          </w:tcPr>
          <w:p w14:paraId="1DEAA009" w14:textId="66391EB6" w:rsidR="00EB3FAB" w:rsidRPr="00EB3FAB" w:rsidRDefault="00EB3FAB" w:rsidP="00E6746A">
            <w:pPr>
              <w:jc w:val="center"/>
              <w:rPr>
                <w:rFonts w:ascii="Bookman Old Style" w:hAnsi="Bookman Old Style"/>
                <w:sz w:val="16"/>
              </w:rPr>
            </w:pPr>
            <w:r>
              <w:rPr>
                <w:rFonts w:ascii="Bookman Old Style" w:hAnsi="Bookman Old Style"/>
                <w:sz w:val="16"/>
              </w:rPr>
              <w:t>0.52</w:t>
            </w:r>
          </w:p>
        </w:tc>
        <w:tc>
          <w:tcPr>
            <w:tcW w:w="1064" w:type="dxa"/>
            <w:tcBorders>
              <w:top w:val="nil"/>
              <w:left w:val="nil"/>
              <w:bottom w:val="nil"/>
              <w:right w:val="nil"/>
            </w:tcBorders>
          </w:tcPr>
          <w:p w14:paraId="4D0A3C1B" w14:textId="3DD05481" w:rsidR="00EB3FAB" w:rsidRPr="00EB3FAB" w:rsidRDefault="00EB3FAB" w:rsidP="00E6746A">
            <w:pPr>
              <w:jc w:val="center"/>
              <w:rPr>
                <w:rFonts w:ascii="Bookman Old Style" w:hAnsi="Bookman Old Style"/>
                <w:sz w:val="16"/>
              </w:rPr>
            </w:pPr>
            <w:r>
              <w:rPr>
                <w:rFonts w:ascii="Bookman Old Style" w:hAnsi="Bookman Old Style"/>
                <w:sz w:val="16"/>
              </w:rPr>
              <w:t>2.14</w:t>
            </w:r>
          </w:p>
        </w:tc>
      </w:tr>
      <w:tr w:rsidR="00EB3FAB" w14:paraId="58013633" w14:textId="77777777" w:rsidTr="00E6746A">
        <w:tc>
          <w:tcPr>
            <w:tcW w:w="1278" w:type="dxa"/>
            <w:tcBorders>
              <w:top w:val="nil"/>
              <w:left w:val="nil"/>
              <w:bottom w:val="nil"/>
              <w:right w:val="nil"/>
            </w:tcBorders>
          </w:tcPr>
          <w:p w14:paraId="41BE7D6D" w14:textId="77777777" w:rsidR="00EB3FAB" w:rsidRPr="00EB3FAB" w:rsidRDefault="00EB3FAB" w:rsidP="00E6746A">
            <w:pPr>
              <w:rPr>
                <w:rFonts w:ascii="Bookman Old Style" w:hAnsi="Bookman Old Style"/>
                <w:sz w:val="16"/>
              </w:rPr>
            </w:pPr>
            <w:r w:rsidRPr="00EB3FAB">
              <w:rPr>
                <w:rFonts w:ascii="Bookman Old Style" w:hAnsi="Bookman Old Style"/>
                <w:sz w:val="16"/>
              </w:rPr>
              <w:t>200 – 499.99</w:t>
            </w:r>
          </w:p>
        </w:tc>
        <w:tc>
          <w:tcPr>
            <w:tcW w:w="850" w:type="dxa"/>
            <w:tcBorders>
              <w:top w:val="nil"/>
              <w:left w:val="nil"/>
              <w:bottom w:val="nil"/>
              <w:right w:val="nil"/>
            </w:tcBorders>
          </w:tcPr>
          <w:p w14:paraId="43DE8CE6" w14:textId="3D7C497F" w:rsidR="00EB3FAB" w:rsidRPr="00EB3FAB" w:rsidRDefault="00EB3FAB" w:rsidP="00E6746A">
            <w:pPr>
              <w:jc w:val="center"/>
              <w:rPr>
                <w:rFonts w:ascii="Bookman Old Style" w:hAnsi="Bookman Old Style"/>
                <w:sz w:val="16"/>
              </w:rPr>
            </w:pPr>
            <w:r>
              <w:rPr>
                <w:rFonts w:ascii="Bookman Old Style" w:hAnsi="Bookman Old Style"/>
                <w:sz w:val="16"/>
              </w:rPr>
              <w:t>46</w:t>
            </w:r>
          </w:p>
        </w:tc>
        <w:tc>
          <w:tcPr>
            <w:tcW w:w="1064" w:type="dxa"/>
            <w:tcBorders>
              <w:top w:val="nil"/>
              <w:left w:val="nil"/>
              <w:bottom w:val="nil"/>
              <w:right w:val="nil"/>
            </w:tcBorders>
          </w:tcPr>
          <w:p w14:paraId="4BD02646" w14:textId="306DD914" w:rsidR="00EB3FAB" w:rsidRPr="00EB3FAB" w:rsidRDefault="00EB3FAB" w:rsidP="00E6746A">
            <w:pPr>
              <w:jc w:val="center"/>
              <w:rPr>
                <w:rFonts w:ascii="Bookman Old Style" w:hAnsi="Bookman Old Style"/>
                <w:sz w:val="16"/>
              </w:rPr>
            </w:pPr>
            <w:r>
              <w:rPr>
                <w:rFonts w:ascii="Bookman Old Style" w:hAnsi="Bookman Old Style"/>
                <w:sz w:val="16"/>
              </w:rPr>
              <w:t>2.65</w:t>
            </w:r>
          </w:p>
        </w:tc>
        <w:tc>
          <w:tcPr>
            <w:tcW w:w="1064" w:type="dxa"/>
            <w:tcBorders>
              <w:top w:val="nil"/>
              <w:left w:val="nil"/>
              <w:bottom w:val="nil"/>
              <w:right w:val="nil"/>
            </w:tcBorders>
          </w:tcPr>
          <w:p w14:paraId="0B5939A7" w14:textId="51464A6D" w:rsidR="00EB3FAB" w:rsidRPr="00EB3FAB" w:rsidRDefault="00EB3FAB" w:rsidP="00E6746A">
            <w:pPr>
              <w:jc w:val="center"/>
              <w:rPr>
                <w:rFonts w:ascii="Bookman Old Style" w:hAnsi="Bookman Old Style"/>
                <w:sz w:val="16"/>
              </w:rPr>
            </w:pPr>
            <w:r>
              <w:rPr>
                <w:rFonts w:ascii="Bookman Old Style" w:hAnsi="Bookman Old Style"/>
                <w:sz w:val="16"/>
              </w:rPr>
              <w:t>0.33</w:t>
            </w:r>
          </w:p>
        </w:tc>
        <w:tc>
          <w:tcPr>
            <w:tcW w:w="1064" w:type="dxa"/>
            <w:tcBorders>
              <w:top w:val="nil"/>
              <w:left w:val="nil"/>
              <w:bottom w:val="nil"/>
              <w:right w:val="nil"/>
            </w:tcBorders>
          </w:tcPr>
          <w:p w14:paraId="7905768F" w14:textId="3735B3C9" w:rsidR="00EB3FAB" w:rsidRPr="00EB3FAB" w:rsidRDefault="00EB3FAB" w:rsidP="00E6746A">
            <w:pPr>
              <w:jc w:val="center"/>
              <w:rPr>
                <w:rFonts w:ascii="Bookman Old Style" w:hAnsi="Bookman Old Style"/>
                <w:sz w:val="16"/>
              </w:rPr>
            </w:pPr>
            <w:r>
              <w:rPr>
                <w:rFonts w:ascii="Bookman Old Style" w:hAnsi="Bookman Old Style"/>
                <w:sz w:val="16"/>
              </w:rPr>
              <w:t>2.99</w:t>
            </w:r>
          </w:p>
        </w:tc>
        <w:tc>
          <w:tcPr>
            <w:tcW w:w="1064" w:type="dxa"/>
            <w:tcBorders>
              <w:top w:val="nil"/>
              <w:left w:val="nil"/>
              <w:bottom w:val="nil"/>
              <w:right w:val="nil"/>
            </w:tcBorders>
          </w:tcPr>
          <w:p w14:paraId="61A2434F" w14:textId="65E78CB9" w:rsidR="00EB3FAB" w:rsidRPr="00EB3FAB" w:rsidRDefault="00EB3FAB" w:rsidP="00E6746A">
            <w:pPr>
              <w:jc w:val="center"/>
              <w:rPr>
                <w:rFonts w:ascii="Bookman Old Style" w:hAnsi="Bookman Old Style"/>
                <w:sz w:val="16"/>
              </w:rPr>
            </w:pPr>
            <w:r>
              <w:rPr>
                <w:rFonts w:ascii="Bookman Old Style" w:hAnsi="Bookman Old Style"/>
                <w:sz w:val="16"/>
              </w:rPr>
              <w:t>3,305</w:t>
            </w:r>
          </w:p>
        </w:tc>
        <w:tc>
          <w:tcPr>
            <w:tcW w:w="1064" w:type="dxa"/>
            <w:tcBorders>
              <w:top w:val="nil"/>
              <w:left w:val="nil"/>
              <w:bottom w:val="nil"/>
              <w:right w:val="nil"/>
            </w:tcBorders>
          </w:tcPr>
          <w:p w14:paraId="28FD152D" w14:textId="6853CAB1" w:rsidR="00EB3FAB" w:rsidRPr="00EB3FAB" w:rsidRDefault="00EB3FAB" w:rsidP="00E6746A">
            <w:pPr>
              <w:jc w:val="center"/>
              <w:rPr>
                <w:rFonts w:ascii="Bookman Old Style" w:hAnsi="Bookman Old Style"/>
                <w:sz w:val="16"/>
              </w:rPr>
            </w:pPr>
            <w:r>
              <w:rPr>
                <w:rFonts w:ascii="Bookman Old Style" w:hAnsi="Bookman Old Style"/>
                <w:sz w:val="16"/>
              </w:rPr>
              <w:t>1.38</w:t>
            </w:r>
          </w:p>
        </w:tc>
        <w:tc>
          <w:tcPr>
            <w:tcW w:w="1064" w:type="dxa"/>
            <w:tcBorders>
              <w:top w:val="nil"/>
              <w:left w:val="nil"/>
              <w:bottom w:val="nil"/>
              <w:right w:val="nil"/>
            </w:tcBorders>
          </w:tcPr>
          <w:p w14:paraId="10223345" w14:textId="50B900A4" w:rsidR="00EB3FAB" w:rsidRPr="00EB3FAB" w:rsidRDefault="00EB3FAB" w:rsidP="00E6746A">
            <w:pPr>
              <w:jc w:val="center"/>
              <w:rPr>
                <w:rFonts w:ascii="Bookman Old Style" w:hAnsi="Bookman Old Style"/>
                <w:sz w:val="16"/>
              </w:rPr>
            </w:pPr>
            <w:r>
              <w:rPr>
                <w:rFonts w:ascii="Bookman Old Style" w:hAnsi="Bookman Old Style"/>
                <w:sz w:val="16"/>
              </w:rPr>
              <w:t>0.33</w:t>
            </w:r>
          </w:p>
        </w:tc>
        <w:tc>
          <w:tcPr>
            <w:tcW w:w="1064" w:type="dxa"/>
            <w:tcBorders>
              <w:top w:val="nil"/>
              <w:left w:val="nil"/>
              <w:bottom w:val="nil"/>
              <w:right w:val="nil"/>
            </w:tcBorders>
          </w:tcPr>
          <w:p w14:paraId="0B15A254" w14:textId="7C527178" w:rsidR="00EB3FAB" w:rsidRPr="00EB3FAB" w:rsidRDefault="00EB3FAB" w:rsidP="00E6746A">
            <w:pPr>
              <w:jc w:val="center"/>
              <w:rPr>
                <w:rFonts w:ascii="Bookman Old Style" w:hAnsi="Bookman Old Style"/>
                <w:sz w:val="16"/>
              </w:rPr>
            </w:pPr>
            <w:r>
              <w:rPr>
                <w:rFonts w:ascii="Bookman Old Style" w:hAnsi="Bookman Old Style"/>
                <w:sz w:val="16"/>
              </w:rPr>
              <w:t>1.71</w:t>
            </w:r>
          </w:p>
        </w:tc>
      </w:tr>
      <w:tr w:rsidR="00EB3FAB" w14:paraId="30D2A483" w14:textId="77777777" w:rsidTr="00E6746A">
        <w:tc>
          <w:tcPr>
            <w:tcW w:w="1278" w:type="dxa"/>
            <w:tcBorders>
              <w:top w:val="nil"/>
              <w:left w:val="nil"/>
              <w:bottom w:val="nil"/>
              <w:right w:val="nil"/>
            </w:tcBorders>
          </w:tcPr>
          <w:p w14:paraId="41891985" w14:textId="77777777" w:rsidR="00EB3FAB" w:rsidRPr="00EB3FAB" w:rsidRDefault="00EB3FAB" w:rsidP="00E6746A">
            <w:pPr>
              <w:rPr>
                <w:rFonts w:ascii="Bookman Old Style" w:hAnsi="Bookman Old Style"/>
                <w:sz w:val="16"/>
              </w:rPr>
            </w:pPr>
            <w:r w:rsidRPr="00EB3FAB">
              <w:rPr>
                <w:rFonts w:ascii="Bookman Old Style" w:hAnsi="Bookman Old Style"/>
                <w:sz w:val="16"/>
              </w:rPr>
              <w:t>500 and up</w:t>
            </w:r>
          </w:p>
        </w:tc>
        <w:tc>
          <w:tcPr>
            <w:tcW w:w="850" w:type="dxa"/>
            <w:tcBorders>
              <w:top w:val="nil"/>
              <w:left w:val="nil"/>
              <w:bottom w:val="nil"/>
              <w:right w:val="nil"/>
            </w:tcBorders>
          </w:tcPr>
          <w:p w14:paraId="43A4D8BC" w14:textId="5962FA02" w:rsidR="00EB3FAB" w:rsidRPr="00EB3FAB" w:rsidRDefault="00EB3FAB" w:rsidP="00E6746A">
            <w:pPr>
              <w:jc w:val="center"/>
              <w:rPr>
                <w:rFonts w:ascii="Bookman Old Style" w:hAnsi="Bookman Old Style"/>
                <w:sz w:val="16"/>
              </w:rPr>
            </w:pPr>
            <w:r>
              <w:rPr>
                <w:rFonts w:ascii="Bookman Old Style" w:hAnsi="Bookman Old Style"/>
                <w:sz w:val="16"/>
              </w:rPr>
              <w:t>7</w:t>
            </w:r>
          </w:p>
        </w:tc>
        <w:tc>
          <w:tcPr>
            <w:tcW w:w="1064" w:type="dxa"/>
            <w:tcBorders>
              <w:top w:val="nil"/>
              <w:left w:val="nil"/>
              <w:bottom w:val="nil"/>
              <w:right w:val="nil"/>
            </w:tcBorders>
          </w:tcPr>
          <w:p w14:paraId="261B80D6" w14:textId="2BD28476" w:rsidR="00EB3FAB" w:rsidRPr="00EB3FAB" w:rsidRDefault="00EB3FAB" w:rsidP="00E6746A">
            <w:pPr>
              <w:jc w:val="center"/>
              <w:rPr>
                <w:rFonts w:ascii="Bookman Old Style" w:hAnsi="Bookman Old Style"/>
                <w:sz w:val="16"/>
              </w:rPr>
            </w:pPr>
            <w:r>
              <w:rPr>
                <w:rFonts w:ascii="Bookman Old Style" w:hAnsi="Bookman Old Style"/>
                <w:sz w:val="16"/>
              </w:rPr>
              <w:t>2.16</w:t>
            </w:r>
          </w:p>
        </w:tc>
        <w:tc>
          <w:tcPr>
            <w:tcW w:w="1064" w:type="dxa"/>
            <w:tcBorders>
              <w:top w:val="nil"/>
              <w:left w:val="nil"/>
              <w:bottom w:val="nil"/>
              <w:right w:val="nil"/>
            </w:tcBorders>
          </w:tcPr>
          <w:p w14:paraId="082A51BC" w14:textId="4BABCEC1" w:rsidR="00EB3FAB" w:rsidRPr="00EB3FAB" w:rsidRDefault="00EB3FAB" w:rsidP="00E6746A">
            <w:pPr>
              <w:jc w:val="center"/>
              <w:rPr>
                <w:rFonts w:ascii="Bookman Old Style" w:hAnsi="Bookman Old Style"/>
                <w:sz w:val="16"/>
              </w:rPr>
            </w:pPr>
            <w:r>
              <w:rPr>
                <w:rFonts w:ascii="Bookman Old Style" w:hAnsi="Bookman Old Style"/>
                <w:sz w:val="16"/>
              </w:rPr>
              <w:t>0.13</w:t>
            </w:r>
          </w:p>
        </w:tc>
        <w:tc>
          <w:tcPr>
            <w:tcW w:w="1064" w:type="dxa"/>
            <w:tcBorders>
              <w:top w:val="nil"/>
              <w:left w:val="nil"/>
              <w:bottom w:val="nil"/>
              <w:right w:val="nil"/>
            </w:tcBorders>
          </w:tcPr>
          <w:p w14:paraId="5A8E516B" w14:textId="21CA17F7" w:rsidR="00EB3FAB" w:rsidRPr="00EB3FAB" w:rsidRDefault="00EB3FAB" w:rsidP="00E6746A">
            <w:pPr>
              <w:jc w:val="center"/>
              <w:rPr>
                <w:rFonts w:ascii="Bookman Old Style" w:hAnsi="Bookman Old Style"/>
                <w:sz w:val="16"/>
              </w:rPr>
            </w:pPr>
            <w:r>
              <w:rPr>
                <w:rFonts w:ascii="Bookman Old Style" w:hAnsi="Bookman Old Style"/>
                <w:sz w:val="16"/>
              </w:rPr>
              <w:t>2.29</w:t>
            </w:r>
          </w:p>
        </w:tc>
        <w:tc>
          <w:tcPr>
            <w:tcW w:w="1064" w:type="dxa"/>
            <w:tcBorders>
              <w:top w:val="nil"/>
              <w:left w:val="nil"/>
              <w:bottom w:val="nil"/>
              <w:right w:val="nil"/>
            </w:tcBorders>
          </w:tcPr>
          <w:p w14:paraId="20D65196" w14:textId="46534F1C" w:rsidR="00EB3FAB" w:rsidRPr="00EB3FAB" w:rsidRDefault="00EB3FAB" w:rsidP="00E6746A">
            <w:pPr>
              <w:jc w:val="center"/>
              <w:rPr>
                <w:rFonts w:ascii="Bookman Old Style" w:hAnsi="Bookman Old Style"/>
                <w:sz w:val="16"/>
              </w:rPr>
            </w:pPr>
            <w:r>
              <w:rPr>
                <w:rFonts w:ascii="Bookman Old Style" w:hAnsi="Bookman Old Style"/>
                <w:sz w:val="16"/>
              </w:rPr>
              <w:t>1,261</w:t>
            </w:r>
          </w:p>
        </w:tc>
        <w:tc>
          <w:tcPr>
            <w:tcW w:w="1064" w:type="dxa"/>
            <w:tcBorders>
              <w:top w:val="nil"/>
              <w:left w:val="nil"/>
              <w:bottom w:val="nil"/>
              <w:right w:val="nil"/>
            </w:tcBorders>
          </w:tcPr>
          <w:p w14:paraId="5904A78E" w14:textId="2950A95A" w:rsidR="00EB3FAB" w:rsidRPr="00EB3FAB" w:rsidRDefault="00EB3FAB" w:rsidP="00E6746A">
            <w:pPr>
              <w:jc w:val="center"/>
              <w:rPr>
                <w:rFonts w:ascii="Bookman Old Style" w:hAnsi="Bookman Old Style"/>
                <w:sz w:val="16"/>
              </w:rPr>
            </w:pPr>
            <w:r>
              <w:rPr>
                <w:rFonts w:ascii="Bookman Old Style" w:hAnsi="Bookman Old Style"/>
                <w:sz w:val="16"/>
              </w:rPr>
              <w:t>0.61</w:t>
            </w:r>
          </w:p>
        </w:tc>
        <w:tc>
          <w:tcPr>
            <w:tcW w:w="1064" w:type="dxa"/>
            <w:tcBorders>
              <w:top w:val="nil"/>
              <w:left w:val="nil"/>
              <w:bottom w:val="nil"/>
              <w:right w:val="nil"/>
            </w:tcBorders>
          </w:tcPr>
          <w:p w14:paraId="229CD80A" w14:textId="6DD2F37F" w:rsidR="00EB3FAB" w:rsidRPr="00EB3FAB" w:rsidRDefault="00EB3FAB" w:rsidP="00E6746A">
            <w:pPr>
              <w:jc w:val="center"/>
              <w:rPr>
                <w:rFonts w:ascii="Bookman Old Style" w:hAnsi="Bookman Old Style"/>
                <w:sz w:val="16"/>
              </w:rPr>
            </w:pPr>
            <w:r>
              <w:rPr>
                <w:rFonts w:ascii="Bookman Old Style" w:hAnsi="Bookman Old Style"/>
                <w:sz w:val="16"/>
              </w:rPr>
              <w:t>0.15</w:t>
            </w:r>
          </w:p>
        </w:tc>
        <w:tc>
          <w:tcPr>
            <w:tcW w:w="1064" w:type="dxa"/>
            <w:tcBorders>
              <w:top w:val="nil"/>
              <w:left w:val="nil"/>
              <w:bottom w:val="nil"/>
              <w:right w:val="nil"/>
            </w:tcBorders>
          </w:tcPr>
          <w:p w14:paraId="7618CF39" w14:textId="798BFA20" w:rsidR="00EB3FAB" w:rsidRPr="00EB3FAB" w:rsidRDefault="00EB3FAB" w:rsidP="00E6746A">
            <w:pPr>
              <w:jc w:val="center"/>
              <w:rPr>
                <w:rFonts w:ascii="Bookman Old Style" w:hAnsi="Bookman Old Style"/>
                <w:sz w:val="16"/>
              </w:rPr>
            </w:pPr>
            <w:r>
              <w:rPr>
                <w:rFonts w:ascii="Bookman Old Style" w:hAnsi="Bookman Old Style"/>
                <w:sz w:val="16"/>
              </w:rPr>
              <w:t>0.76</w:t>
            </w:r>
          </w:p>
        </w:tc>
      </w:tr>
      <w:tr w:rsidR="00EB3FAB" w14:paraId="2D521168" w14:textId="77777777" w:rsidTr="00E6746A">
        <w:tc>
          <w:tcPr>
            <w:tcW w:w="1278" w:type="dxa"/>
            <w:tcBorders>
              <w:top w:val="nil"/>
              <w:left w:val="nil"/>
              <w:right w:val="nil"/>
            </w:tcBorders>
          </w:tcPr>
          <w:p w14:paraId="1BFDF129" w14:textId="77777777" w:rsidR="00EB3FAB" w:rsidRPr="00EB3FAB" w:rsidRDefault="00EB3FAB" w:rsidP="00E6746A">
            <w:pPr>
              <w:rPr>
                <w:rFonts w:ascii="Bookman Old Style" w:hAnsi="Bookman Old Style"/>
                <w:sz w:val="16"/>
              </w:rPr>
            </w:pPr>
            <w:r w:rsidRPr="00EB3FAB">
              <w:rPr>
                <w:rFonts w:ascii="Bookman Old Style" w:hAnsi="Bookman Old Style"/>
                <w:sz w:val="16"/>
              </w:rPr>
              <w:t>Total</w:t>
            </w:r>
          </w:p>
        </w:tc>
        <w:tc>
          <w:tcPr>
            <w:tcW w:w="850" w:type="dxa"/>
            <w:tcBorders>
              <w:top w:val="nil"/>
              <w:left w:val="nil"/>
              <w:right w:val="nil"/>
            </w:tcBorders>
          </w:tcPr>
          <w:p w14:paraId="781974E1" w14:textId="62FC2BCA" w:rsidR="00EB3FAB" w:rsidRPr="00EB3FAB" w:rsidRDefault="00EB3FAB" w:rsidP="00E6746A">
            <w:pPr>
              <w:jc w:val="center"/>
              <w:rPr>
                <w:rFonts w:ascii="Bookman Old Style" w:hAnsi="Bookman Old Style"/>
                <w:sz w:val="16"/>
              </w:rPr>
            </w:pPr>
            <w:r>
              <w:rPr>
                <w:rFonts w:ascii="Bookman Old Style" w:hAnsi="Bookman Old Style"/>
                <w:sz w:val="16"/>
              </w:rPr>
              <w:t>313</w:t>
            </w:r>
          </w:p>
        </w:tc>
        <w:tc>
          <w:tcPr>
            <w:tcW w:w="1064" w:type="dxa"/>
            <w:tcBorders>
              <w:top w:val="nil"/>
              <w:left w:val="nil"/>
              <w:right w:val="nil"/>
            </w:tcBorders>
          </w:tcPr>
          <w:p w14:paraId="03A5C46B" w14:textId="5D1E53F3" w:rsidR="00EB3FAB" w:rsidRPr="00EB3FAB" w:rsidRDefault="00EB3FAB" w:rsidP="00E6746A">
            <w:pPr>
              <w:jc w:val="center"/>
              <w:rPr>
                <w:rFonts w:ascii="Bookman Old Style" w:hAnsi="Bookman Old Style"/>
                <w:sz w:val="16"/>
              </w:rPr>
            </w:pPr>
            <w:r>
              <w:rPr>
                <w:rFonts w:ascii="Bookman Old Style" w:hAnsi="Bookman Old Style"/>
                <w:sz w:val="16"/>
              </w:rPr>
              <w:t>3.07</w:t>
            </w:r>
          </w:p>
        </w:tc>
        <w:tc>
          <w:tcPr>
            <w:tcW w:w="1064" w:type="dxa"/>
            <w:tcBorders>
              <w:top w:val="nil"/>
              <w:left w:val="nil"/>
              <w:right w:val="nil"/>
            </w:tcBorders>
          </w:tcPr>
          <w:p w14:paraId="096CE6E9" w14:textId="3B97D361" w:rsidR="00EB3FAB" w:rsidRPr="00EB3FAB" w:rsidRDefault="00EB3FAB" w:rsidP="00E6746A">
            <w:pPr>
              <w:jc w:val="center"/>
              <w:rPr>
                <w:rFonts w:ascii="Bookman Old Style" w:hAnsi="Bookman Old Style"/>
                <w:sz w:val="16"/>
              </w:rPr>
            </w:pPr>
            <w:r>
              <w:rPr>
                <w:rFonts w:ascii="Bookman Old Style" w:hAnsi="Bookman Old Style"/>
                <w:sz w:val="16"/>
              </w:rPr>
              <w:t>0.85</w:t>
            </w:r>
          </w:p>
        </w:tc>
        <w:tc>
          <w:tcPr>
            <w:tcW w:w="1064" w:type="dxa"/>
            <w:tcBorders>
              <w:top w:val="nil"/>
              <w:left w:val="nil"/>
              <w:right w:val="nil"/>
            </w:tcBorders>
          </w:tcPr>
          <w:p w14:paraId="31E3284D" w14:textId="50380F63" w:rsidR="00EB3FAB" w:rsidRPr="00EB3FAB" w:rsidRDefault="00EB3FAB" w:rsidP="00E6746A">
            <w:pPr>
              <w:jc w:val="center"/>
              <w:rPr>
                <w:rFonts w:ascii="Bookman Old Style" w:hAnsi="Bookman Old Style"/>
                <w:sz w:val="16"/>
              </w:rPr>
            </w:pPr>
            <w:r>
              <w:rPr>
                <w:rFonts w:ascii="Bookman Old Style" w:hAnsi="Bookman Old Style"/>
                <w:sz w:val="16"/>
              </w:rPr>
              <w:t>3.92</w:t>
            </w:r>
          </w:p>
        </w:tc>
        <w:tc>
          <w:tcPr>
            <w:tcW w:w="1064" w:type="dxa"/>
            <w:tcBorders>
              <w:top w:val="nil"/>
              <w:left w:val="nil"/>
              <w:right w:val="nil"/>
            </w:tcBorders>
          </w:tcPr>
          <w:p w14:paraId="728DD987" w14:textId="23DD2162" w:rsidR="00EB3FAB" w:rsidRPr="00EB3FAB" w:rsidRDefault="00EB3FAB" w:rsidP="00E6746A">
            <w:pPr>
              <w:jc w:val="center"/>
              <w:rPr>
                <w:rFonts w:ascii="Bookman Old Style" w:hAnsi="Bookman Old Style"/>
                <w:sz w:val="16"/>
              </w:rPr>
            </w:pPr>
            <w:r>
              <w:rPr>
                <w:rFonts w:ascii="Bookman Old Style" w:hAnsi="Bookman Old Style"/>
                <w:sz w:val="16"/>
              </w:rPr>
              <w:t>24,268</w:t>
            </w:r>
          </w:p>
        </w:tc>
        <w:tc>
          <w:tcPr>
            <w:tcW w:w="1064" w:type="dxa"/>
            <w:tcBorders>
              <w:top w:val="nil"/>
              <w:left w:val="nil"/>
              <w:right w:val="nil"/>
            </w:tcBorders>
          </w:tcPr>
          <w:p w14:paraId="46DEFBCA" w14:textId="12737A1B" w:rsidR="00EB3FAB" w:rsidRPr="00EB3FAB" w:rsidRDefault="00EB3FAB" w:rsidP="00E6746A">
            <w:pPr>
              <w:jc w:val="center"/>
              <w:rPr>
                <w:rFonts w:ascii="Bookman Old Style" w:hAnsi="Bookman Old Style"/>
                <w:sz w:val="16"/>
              </w:rPr>
            </w:pPr>
            <w:r>
              <w:rPr>
                <w:rFonts w:ascii="Bookman Old Style" w:hAnsi="Bookman Old Style"/>
                <w:sz w:val="16"/>
              </w:rPr>
              <w:t>1.38</w:t>
            </w:r>
          </w:p>
        </w:tc>
        <w:tc>
          <w:tcPr>
            <w:tcW w:w="1064" w:type="dxa"/>
            <w:tcBorders>
              <w:top w:val="nil"/>
              <w:left w:val="nil"/>
              <w:right w:val="nil"/>
            </w:tcBorders>
          </w:tcPr>
          <w:p w14:paraId="736E5603" w14:textId="32D351B5" w:rsidR="00EB3FAB" w:rsidRPr="00EB3FAB" w:rsidRDefault="00EB3FAB" w:rsidP="00E6746A">
            <w:pPr>
              <w:jc w:val="center"/>
              <w:rPr>
                <w:rFonts w:ascii="Bookman Old Style" w:hAnsi="Bookman Old Style"/>
                <w:sz w:val="16"/>
              </w:rPr>
            </w:pPr>
            <w:r>
              <w:rPr>
                <w:rFonts w:ascii="Bookman Old Style" w:hAnsi="Bookman Old Style"/>
                <w:sz w:val="16"/>
              </w:rPr>
              <w:t>0.61</w:t>
            </w:r>
          </w:p>
        </w:tc>
        <w:tc>
          <w:tcPr>
            <w:tcW w:w="1064" w:type="dxa"/>
            <w:tcBorders>
              <w:top w:val="nil"/>
              <w:left w:val="nil"/>
              <w:right w:val="nil"/>
            </w:tcBorders>
          </w:tcPr>
          <w:p w14:paraId="6AE6A4ED" w14:textId="3E76C800" w:rsidR="00EB3FAB" w:rsidRPr="00EB3FAB" w:rsidRDefault="00EB3FAB" w:rsidP="00E6746A">
            <w:pPr>
              <w:jc w:val="center"/>
              <w:rPr>
                <w:rFonts w:ascii="Bookman Old Style" w:hAnsi="Bookman Old Style"/>
                <w:sz w:val="16"/>
              </w:rPr>
            </w:pPr>
            <w:r>
              <w:rPr>
                <w:rFonts w:ascii="Bookman Old Style" w:hAnsi="Bookman Old Style"/>
                <w:sz w:val="16"/>
              </w:rPr>
              <w:t>2.00</w:t>
            </w:r>
          </w:p>
        </w:tc>
      </w:tr>
    </w:tbl>
    <w:p w14:paraId="14555B61" w14:textId="77777777" w:rsidR="00EB3FAB" w:rsidRDefault="00EB3FAB" w:rsidP="006222B0">
      <w:pPr>
        <w:spacing w:after="0" w:line="240" w:lineRule="auto"/>
        <w:jc w:val="both"/>
        <w:rPr>
          <w:rFonts w:ascii="Bookman Old Style" w:hAnsi="Bookman Old Style"/>
        </w:rPr>
      </w:pPr>
    </w:p>
    <w:p w14:paraId="46461545" w14:textId="7840CE97" w:rsidR="00697151" w:rsidRDefault="00697151" w:rsidP="006222B0">
      <w:pPr>
        <w:spacing w:after="0" w:line="240" w:lineRule="auto"/>
        <w:jc w:val="both"/>
        <w:rPr>
          <w:rFonts w:ascii="Bookman Old Style" w:hAnsi="Bookman Old Style"/>
        </w:rPr>
      </w:pPr>
      <w:r>
        <w:rPr>
          <w:rFonts w:ascii="Bookman Old Style" w:hAnsi="Bookman Old Style"/>
        </w:rPr>
        <w:t>The table shows that direct costs alone can be very large, especially for smaller issues (less than $10 million).</w:t>
      </w:r>
    </w:p>
    <w:p w14:paraId="09AACB2A" w14:textId="77777777" w:rsidR="00697151" w:rsidRDefault="00697151" w:rsidP="006222B0">
      <w:pPr>
        <w:spacing w:after="0" w:line="240" w:lineRule="auto"/>
        <w:jc w:val="both"/>
        <w:rPr>
          <w:rFonts w:ascii="Bookman Old Style" w:hAnsi="Bookman Old Style"/>
        </w:rPr>
      </w:pPr>
    </w:p>
    <w:p w14:paraId="694269DE" w14:textId="4DEF7053" w:rsidR="00697151" w:rsidRDefault="00697151" w:rsidP="006222B0">
      <w:pPr>
        <w:spacing w:after="0" w:line="240" w:lineRule="auto"/>
        <w:jc w:val="both"/>
        <w:rPr>
          <w:rFonts w:ascii="Bookman Old Style" w:hAnsi="Bookman Old Style"/>
        </w:rPr>
      </w:pPr>
      <w:r>
        <w:rPr>
          <w:rFonts w:ascii="Bookman Old Style" w:hAnsi="Bookman Old Style"/>
        </w:rPr>
        <w:t>On a smaller IPO, the total direct costs amount to 25.22% of the amount raised. This means that if the company sells $10 million in stock, it will only net about $7.5 million; the other $2.5 million goes to cover the underwriting spread and other direct expenses.</w:t>
      </w:r>
    </w:p>
    <w:p w14:paraId="6CFA006E" w14:textId="77777777" w:rsidR="00697151" w:rsidRDefault="00697151" w:rsidP="006222B0">
      <w:pPr>
        <w:spacing w:after="0" w:line="240" w:lineRule="auto"/>
        <w:jc w:val="both"/>
        <w:rPr>
          <w:rFonts w:ascii="Bookman Old Style" w:hAnsi="Bookman Old Style"/>
        </w:rPr>
      </w:pPr>
    </w:p>
    <w:p w14:paraId="75B4FD6F" w14:textId="2881F2DA" w:rsidR="00697151" w:rsidRDefault="00697151" w:rsidP="006222B0">
      <w:pPr>
        <w:spacing w:after="0" w:line="240" w:lineRule="auto"/>
        <w:jc w:val="both"/>
        <w:rPr>
          <w:rFonts w:ascii="Bookman Old Style" w:hAnsi="Bookman Old Style"/>
        </w:rPr>
      </w:pPr>
      <w:r>
        <w:rPr>
          <w:rFonts w:ascii="Bookman Old Style" w:hAnsi="Bookman Old Style"/>
        </w:rPr>
        <w:t>Typical underwriter spreads on an IPO range from about 5% up to 10% or so. But in the table, the most common spread is exactly 7%.</w:t>
      </w:r>
    </w:p>
    <w:p w14:paraId="49504C0A" w14:textId="77777777" w:rsidR="00697151" w:rsidRDefault="00697151" w:rsidP="006222B0">
      <w:pPr>
        <w:spacing w:after="0" w:line="240" w:lineRule="auto"/>
        <w:jc w:val="both"/>
        <w:rPr>
          <w:rFonts w:ascii="Bookman Old Style" w:hAnsi="Bookman Old Style"/>
        </w:rPr>
      </w:pPr>
    </w:p>
    <w:p w14:paraId="1C4E5928" w14:textId="33C997DE" w:rsidR="00697151" w:rsidRDefault="00697151" w:rsidP="006222B0">
      <w:pPr>
        <w:spacing w:after="0" w:line="240" w:lineRule="auto"/>
        <w:jc w:val="both"/>
        <w:rPr>
          <w:rFonts w:ascii="Bookman Old Style" w:hAnsi="Bookman Old Style"/>
        </w:rPr>
      </w:pPr>
      <w:r>
        <w:rPr>
          <w:rFonts w:ascii="Bookman Old Style" w:hAnsi="Bookman Old Style"/>
        </w:rPr>
        <w:t>Overall, 4 clear patterns emerge from the table.</w:t>
      </w:r>
    </w:p>
    <w:p w14:paraId="04BF23B5" w14:textId="77777777" w:rsidR="00697151" w:rsidRDefault="00697151" w:rsidP="006222B0">
      <w:pPr>
        <w:spacing w:after="0" w:line="240" w:lineRule="auto"/>
        <w:jc w:val="both"/>
        <w:rPr>
          <w:rFonts w:ascii="Bookman Old Style" w:hAnsi="Bookman Old Style"/>
        </w:rPr>
      </w:pPr>
    </w:p>
    <w:p w14:paraId="57D3F391" w14:textId="7D35C576" w:rsidR="00697151" w:rsidRPr="00FC21B4" w:rsidRDefault="00FC21B4" w:rsidP="00FC21B4">
      <w:pPr>
        <w:pStyle w:val="ListParagraph"/>
        <w:numPr>
          <w:ilvl w:val="0"/>
          <w:numId w:val="22"/>
        </w:numPr>
        <w:spacing w:after="0" w:line="240" w:lineRule="auto"/>
        <w:jc w:val="both"/>
        <w:rPr>
          <w:rFonts w:ascii="Bookman Old Style" w:hAnsi="Bookman Old Style"/>
        </w:rPr>
      </w:pPr>
      <w:r w:rsidRPr="00FC21B4">
        <w:rPr>
          <w:rFonts w:ascii="Bookman Old Style" w:hAnsi="Bookman Old Style"/>
        </w:rPr>
        <w:t>With the possible exception of straight debt offerings, there are substantial economies of scale. The underwriter spreads are smaller on larger issues and the other direct costs fall sharply as a percentage of the amount raised.</w:t>
      </w:r>
    </w:p>
    <w:p w14:paraId="1F3C897A" w14:textId="77777777" w:rsidR="00FC21B4" w:rsidRDefault="00FC21B4" w:rsidP="00FC21B4">
      <w:pPr>
        <w:spacing w:after="0" w:line="240" w:lineRule="auto"/>
        <w:jc w:val="both"/>
        <w:rPr>
          <w:rFonts w:ascii="Bookman Old Style" w:hAnsi="Bookman Old Style"/>
        </w:rPr>
      </w:pPr>
    </w:p>
    <w:p w14:paraId="6F69A61F" w14:textId="2CB8FF02" w:rsidR="00FC21B4" w:rsidRPr="00FC21B4" w:rsidRDefault="00FC21B4" w:rsidP="00FC21B4">
      <w:pPr>
        <w:pStyle w:val="ListParagraph"/>
        <w:numPr>
          <w:ilvl w:val="0"/>
          <w:numId w:val="22"/>
        </w:numPr>
        <w:spacing w:after="0" w:line="240" w:lineRule="auto"/>
        <w:jc w:val="both"/>
        <w:rPr>
          <w:rFonts w:ascii="Bookman Old Style" w:hAnsi="Bookman Old Style"/>
        </w:rPr>
      </w:pPr>
      <w:r w:rsidRPr="00FC21B4">
        <w:rPr>
          <w:rFonts w:ascii="Bookman Old Style" w:hAnsi="Bookman Old Style"/>
        </w:rPr>
        <w:t>The costs associated with selling debt are substantially less than the costs of selling equity</w:t>
      </w:r>
    </w:p>
    <w:p w14:paraId="207017F4" w14:textId="77777777" w:rsidR="00FC21B4" w:rsidRPr="00FC21B4" w:rsidRDefault="00FC21B4" w:rsidP="00FC21B4">
      <w:pPr>
        <w:spacing w:after="0" w:line="240" w:lineRule="auto"/>
        <w:jc w:val="both"/>
        <w:rPr>
          <w:rFonts w:ascii="Bookman Old Style" w:hAnsi="Bookman Old Style"/>
        </w:rPr>
      </w:pPr>
    </w:p>
    <w:p w14:paraId="5B92E070" w14:textId="3B3BC5B7" w:rsidR="00FC21B4" w:rsidRDefault="00FC21B4" w:rsidP="00FC21B4">
      <w:pPr>
        <w:pStyle w:val="ListParagraph"/>
        <w:numPr>
          <w:ilvl w:val="0"/>
          <w:numId w:val="22"/>
        </w:numPr>
        <w:spacing w:after="0" w:line="240" w:lineRule="auto"/>
        <w:jc w:val="both"/>
        <w:rPr>
          <w:rFonts w:ascii="Bookman Old Style" w:hAnsi="Bookman Old Style"/>
        </w:rPr>
      </w:pPr>
      <w:r>
        <w:rPr>
          <w:rFonts w:ascii="Bookman Old Style" w:hAnsi="Bookman Old Style"/>
        </w:rPr>
        <w:t>IPOs have higher expenses than SEOs, but the difference isn’t as great as you might guess.</w:t>
      </w:r>
    </w:p>
    <w:p w14:paraId="7F1CC615" w14:textId="77777777" w:rsidR="00FC21B4" w:rsidRPr="00FC21B4" w:rsidRDefault="00FC21B4" w:rsidP="00FC21B4">
      <w:pPr>
        <w:spacing w:after="0" w:line="240" w:lineRule="auto"/>
        <w:jc w:val="both"/>
        <w:rPr>
          <w:rFonts w:ascii="Bookman Old Style" w:hAnsi="Bookman Old Style"/>
        </w:rPr>
      </w:pPr>
    </w:p>
    <w:p w14:paraId="7C6B4B7C" w14:textId="08AAC8D3" w:rsidR="00FC21B4" w:rsidRDefault="00FC21B4" w:rsidP="00FC21B4">
      <w:pPr>
        <w:pStyle w:val="ListParagraph"/>
        <w:numPr>
          <w:ilvl w:val="0"/>
          <w:numId w:val="22"/>
        </w:numPr>
        <w:spacing w:after="0" w:line="240" w:lineRule="auto"/>
        <w:jc w:val="both"/>
        <w:rPr>
          <w:rFonts w:ascii="Bookman Old Style" w:hAnsi="Bookman Old Style"/>
        </w:rPr>
      </w:pPr>
      <w:r>
        <w:rPr>
          <w:rFonts w:ascii="Bookman Old Style" w:hAnsi="Bookman Old Style"/>
        </w:rPr>
        <w:t>Straight bonds are cheaper to float than convertible bonds.</w:t>
      </w:r>
    </w:p>
    <w:p w14:paraId="1AE6E97F" w14:textId="77777777" w:rsidR="00FC21B4" w:rsidRPr="00FC21B4" w:rsidRDefault="00FC21B4" w:rsidP="00FC21B4">
      <w:pPr>
        <w:spacing w:after="0" w:line="240" w:lineRule="auto"/>
        <w:jc w:val="both"/>
        <w:rPr>
          <w:rFonts w:ascii="Bookman Old Style" w:hAnsi="Bookman Old Style"/>
        </w:rPr>
      </w:pPr>
    </w:p>
    <w:p w14:paraId="258C0BBB" w14:textId="37C45F9D" w:rsidR="00FC21B4" w:rsidRDefault="00FC21B4" w:rsidP="00FC21B4">
      <w:pPr>
        <w:spacing w:after="0" w:line="240" w:lineRule="auto"/>
        <w:jc w:val="both"/>
        <w:rPr>
          <w:rFonts w:ascii="Bookman Old Style" w:hAnsi="Bookman Old Style"/>
        </w:rPr>
      </w:pPr>
      <w:r>
        <w:rPr>
          <w:rFonts w:ascii="Bookman Old Style" w:hAnsi="Bookman Old Style"/>
        </w:rPr>
        <w:lastRenderedPageBreak/>
        <w:t>For IPOs, the effective costs can be much greater because of the indirect costs. The table below reports both direct costs of going public in Canada as of 2011.</w:t>
      </w:r>
    </w:p>
    <w:p w14:paraId="419622DD" w14:textId="77777777" w:rsidR="00FC21B4" w:rsidRDefault="00FC21B4" w:rsidP="00FC21B4">
      <w:pPr>
        <w:spacing w:after="0" w:line="240" w:lineRule="auto"/>
        <w:jc w:val="both"/>
        <w:rPr>
          <w:rFonts w:ascii="Bookman Old Style" w:hAnsi="Bookman Old Style"/>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2835"/>
        <w:gridCol w:w="2835"/>
      </w:tblGrid>
      <w:tr w:rsidR="00FC21B4" w14:paraId="343EFE29" w14:textId="77777777" w:rsidTr="00FC21B4">
        <w:trPr>
          <w:jc w:val="center"/>
        </w:trPr>
        <w:tc>
          <w:tcPr>
            <w:tcW w:w="2943" w:type="dxa"/>
            <w:tcBorders>
              <w:top w:val="single" w:sz="4" w:space="0" w:color="auto"/>
              <w:bottom w:val="single" w:sz="4" w:space="0" w:color="auto"/>
            </w:tcBorders>
          </w:tcPr>
          <w:p w14:paraId="041287CB" w14:textId="77777777" w:rsidR="00FC21B4" w:rsidRPr="00FC21B4" w:rsidRDefault="00FC21B4" w:rsidP="00FC21B4">
            <w:pPr>
              <w:jc w:val="both"/>
              <w:rPr>
                <w:rFonts w:ascii="Bookman Old Style" w:hAnsi="Bookman Old Style"/>
                <w:sz w:val="20"/>
              </w:rPr>
            </w:pPr>
          </w:p>
        </w:tc>
        <w:tc>
          <w:tcPr>
            <w:tcW w:w="2835" w:type="dxa"/>
            <w:tcBorders>
              <w:top w:val="single" w:sz="4" w:space="0" w:color="auto"/>
              <w:bottom w:val="single" w:sz="4" w:space="0" w:color="auto"/>
            </w:tcBorders>
          </w:tcPr>
          <w:p w14:paraId="55F0292C" w14:textId="097D7176" w:rsidR="00FC21B4" w:rsidRPr="00FC21B4" w:rsidRDefault="00FC21B4" w:rsidP="00FC21B4">
            <w:pPr>
              <w:jc w:val="center"/>
              <w:rPr>
                <w:rFonts w:ascii="Bookman Old Style" w:hAnsi="Bookman Old Style"/>
                <w:b/>
                <w:sz w:val="20"/>
              </w:rPr>
            </w:pPr>
            <w:r w:rsidRPr="00FC21B4">
              <w:rPr>
                <w:rFonts w:ascii="Bookman Old Style" w:hAnsi="Bookman Old Style"/>
                <w:b/>
                <w:sz w:val="20"/>
              </w:rPr>
              <w:t>Toronto Stock Exchange</w:t>
            </w:r>
          </w:p>
        </w:tc>
        <w:tc>
          <w:tcPr>
            <w:tcW w:w="2835" w:type="dxa"/>
            <w:tcBorders>
              <w:top w:val="single" w:sz="4" w:space="0" w:color="auto"/>
              <w:bottom w:val="single" w:sz="4" w:space="0" w:color="auto"/>
            </w:tcBorders>
          </w:tcPr>
          <w:p w14:paraId="79686030" w14:textId="2C767C28" w:rsidR="00FC21B4" w:rsidRPr="00FC21B4" w:rsidRDefault="00FC21B4" w:rsidP="00FC21B4">
            <w:pPr>
              <w:jc w:val="center"/>
              <w:rPr>
                <w:rFonts w:ascii="Bookman Old Style" w:hAnsi="Bookman Old Style"/>
                <w:b/>
                <w:sz w:val="20"/>
              </w:rPr>
            </w:pPr>
            <w:r w:rsidRPr="00FC21B4">
              <w:rPr>
                <w:rFonts w:ascii="Bookman Old Style" w:hAnsi="Bookman Old Style"/>
                <w:b/>
                <w:sz w:val="20"/>
              </w:rPr>
              <w:t>TSX Venture Exchange</w:t>
            </w:r>
          </w:p>
        </w:tc>
      </w:tr>
      <w:tr w:rsidR="00FC21B4" w14:paraId="56620598" w14:textId="77777777" w:rsidTr="00FC21B4">
        <w:trPr>
          <w:jc w:val="center"/>
        </w:trPr>
        <w:tc>
          <w:tcPr>
            <w:tcW w:w="2943" w:type="dxa"/>
            <w:tcBorders>
              <w:top w:val="single" w:sz="4" w:space="0" w:color="auto"/>
            </w:tcBorders>
          </w:tcPr>
          <w:p w14:paraId="6FA933F2" w14:textId="5885DE86" w:rsidR="00FC21B4" w:rsidRPr="00FC21B4" w:rsidRDefault="00FC21B4" w:rsidP="00FC21B4">
            <w:pPr>
              <w:jc w:val="both"/>
              <w:rPr>
                <w:rFonts w:ascii="Bookman Old Style" w:hAnsi="Bookman Old Style"/>
                <w:sz w:val="20"/>
              </w:rPr>
            </w:pPr>
            <w:r w:rsidRPr="00FC21B4">
              <w:rPr>
                <w:rFonts w:ascii="Bookman Old Style" w:hAnsi="Bookman Old Style"/>
                <w:sz w:val="20"/>
              </w:rPr>
              <w:t>Listing Fees</w:t>
            </w:r>
          </w:p>
        </w:tc>
        <w:tc>
          <w:tcPr>
            <w:tcW w:w="2835" w:type="dxa"/>
            <w:tcBorders>
              <w:top w:val="single" w:sz="4" w:space="0" w:color="auto"/>
            </w:tcBorders>
          </w:tcPr>
          <w:p w14:paraId="493ACEF0" w14:textId="22B6AC46" w:rsidR="00FC21B4" w:rsidRPr="00FC21B4" w:rsidRDefault="00FC21B4" w:rsidP="00FC21B4">
            <w:pPr>
              <w:jc w:val="both"/>
              <w:rPr>
                <w:rFonts w:ascii="Bookman Old Style" w:hAnsi="Bookman Old Style"/>
                <w:sz w:val="20"/>
              </w:rPr>
            </w:pPr>
            <w:r w:rsidRPr="00FC21B4">
              <w:rPr>
                <w:rFonts w:ascii="Bookman Old Style" w:hAnsi="Bookman Old Style"/>
                <w:sz w:val="20"/>
              </w:rPr>
              <w:t>$10,000 - $200,000</w:t>
            </w:r>
          </w:p>
        </w:tc>
        <w:tc>
          <w:tcPr>
            <w:tcW w:w="2835" w:type="dxa"/>
            <w:tcBorders>
              <w:top w:val="single" w:sz="4" w:space="0" w:color="auto"/>
            </w:tcBorders>
          </w:tcPr>
          <w:p w14:paraId="7021A91F" w14:textId="54FBBAFE" w:rsidR="00FC21B4" w:rsidRPr="00FC21B4" w:rsidRDefault="00FC21B4" w:rsidP="00FC21B4">
            <w:pPr>
              <w:jc w:val="both"/>
              <w:rPr>
                <w:rFonts w:ascii="Bookman Old Style" w:hAnsi="Bookman Old Style"/>
                <w:sz w:val="20"/>
              </w:rPr>
            </w:pPr>
            <w:r w:rsidRPr="00FC21B4">
              <w:rPr>
                <w:rFonts w:ascii="Bookman Old Style" w:hAnsi="Bookman Old Style"/>
                <w:sz w:val="20"/>
              </w:rPr>
              <w:t>$7,500 - $40,000</w:t>
            </w:r>
          </w:p>
        </w:tc>
      </w:tr>
      <w:tr w:rsidR="00FC21B4" w14:paraId="26BD3BD2" w14:textId="77777777" w:rsidTr="00FC21B4">
        <w:trPr>
          <w:jc w:val="center"/>
        </w:trPr>
        <w:tc>
          <w:tcPr>
            <w:tcW w:w="2943" w:type="dxa"/>
          </w:tcPr>
          <w:p w14:paraId="737BF979" w14:textId="44AC9E49" w:rsidR="00FC21B4" w:rsidRPr="00FC21B4" w:rsidRDefault="00FC21B4" w:rsidP="00FC21B4">
            <w:pPr>
              <w:jc w:val="both"/>
              <w:rPr>
                <w:rFonts w:ascii="Bookman Old Style" w:hAnsi="Bookman Old Style"/>
                <w:sz w:val="20"/>
              </w:rPr>
            </w:pPr>
            <w:r w:rsidRPr="00FC21B4">
              <w:rPr>
                <w:rFonts w:ascii="Bookman Old Style" w:hAnsi="Bookman Old Style"/>
                <w:sz w:val="20"/>
              </w:rPr>
              <w:t>Accounting &amp; Auditing Fees</w:t>
            </w:r>
          </w:p>
        </w:tc>
        <w:tc>
          <w:tcPr>
            <w:tcW w:w="2835" w:type="dxa"/>
          </w:tcPr>
          <w:p w14:paraId="761E8A45" w14:textId="2D413CCC" w:rsidR="00FC21B4" w:rsidRPr="00FC21B4" w:rsidRDefault="00FC21B4" w:rsidP="00FC21B4">
            <w:pPr>
              <w:jc w:val="both"/>
              <w:rPr>
                <w:rFonts w:ascii="Bookman Old Style" w:hAnsi="Bookman Old Style"/>
                <w:sz w:val="20"/>
              </w:rPr>
            </w:pPr>
            <w:r w:rsidRPr="00FC21B4">
              <w:rPr>
                <w:rFonts w:ascii="Bookman Old Style" w:hAnsi="Bookman Old Style"/>
                <w:sz w:val="20"/>
              </w:rPr>
              <w:t>$75,000 - $100,000</w:t>
            </w:r>
          </w:p>
        </w:tc>
        <w:tc>
          <w:tcPr>
            <w:tcW w:w="2835" w:type="dxa"/>
          </w:tcPr>
          <w:p w14:paraId="0CAB67E4" w14:textId="3AC635A0" w:rsidR="00FC21B4" w:rsidRPr="00FC21B4" w:rsidRDefault="00FC21B4" w:rsidP="00FC21B4">
            <w:pPr>
              <w:jc w:val="both"/>
              <w:rPr>
                <w:rFonts w:ascii="Bookman Old Style" w:hAnsi="Bookman Old Style"/>
                <w:sz w:val="20"/>
              </w:rPr>
            </w:pPr>
            <w:r w:rsidRPr="00FC21B4">
              <w:rPr>
                <w:rFonts w:ascii="Bookman Old Style" w:hAnsi="Bookman Old Style"/>
                <w:sz w:val="20"/>
              </w:rPr>
              <w:t>$25,000 - $100,000</w:t>
            </w:r>
          </w:p>
        </w:tc>
      </w:tr>
      <w:tr w:rsidR="00FC21B4" w14:paraId="16A38AD2" w14:textId="77777777" w:rsidTr="00FC21B4">
        <w:trPr>
          <w:jc w:val="center"/>
        </w:trPr>
        <w:tc>
          <w:tcPr>
            <w:tcW w:w="2943" w:type="dxa"/>
          </w:tcPr>
          <w:p w14:paraId="4F10ACB8" w14:textId="1B115017" w:rsidR="00FC21B4" w:rsidRPr="00FC21B4" w:rsidRDefault="00FC21B4" w:rsidP="00FC21B4">
            <w:pPr>
              <w:jc w:val="both"/>
              <w:rPr>
                <w:rFonts w:ascii="Bookman Old Style" w:hAnsi="Bookman Old Style"/>
                <w:sz w:val="20"/>
              </w:rPr>
            </w:pPr>
            <w:r w:rsidRPr="00FC21B4">
              <w:rPr>
                <w:rFonts w:ascii="Bookman Old Style" w:hAnsi="Bookman Old Style"/>
                <w:sz w:val="20"/>
              </w:rPr>
              <w:t>Legal Fees</w:t>
            </w:r>
          </w:p>
        </w:tc>
        <w:tc>
          <w:tcPr>
            <w:tcW w:w="2835" w:type="dxa"/>
          </w:tcPr>
          <w:p w14:paraId="4DBEFAD1" w14:textId="023A45DF" w:rsidR="00FC21B4" w:rsidRPr="00FC21B4" w:rsidRDefault="00FC21B4" w:rsidP="00FC21B4">
            <w:pPr>
              <w:jc w:val="both"/>
              <w:rPr>
                <w:rFonts w:ascii="Bookman Old Style" w:hAnsi="Bookman Old Style"/>
                <w:sz w:val="20"/>
              </w:rPr>
            </w:pPr>
            <w:r w:rsidRPr="00FC21B4">
              <w:rPr>
                <w:rFonts w:ascii="Bookman Old Style" w:hAnsi="Bookman Old Style"/>
                <w:sz w:val="20"/>
              </w:rPr>
              <w:t>$400,000 - $750,000</w:t>
            </w:r>
          </w:p>
        </w:tc>
        <w:tc>
          <w:tcPr>
            <w:tcW w:w="2835" w:type="dxa"/>
          </w:tcPr>
          <w:p w14:paraId="32A8F3F3" w14:textId="10972261" w:rsidR="00FC21B4" w:rsidRPr="00FC21B4" w:rsidRDefault="00FC21B4" w:rsidP="00FC21B4">
            <w:pPr>
              <w:jc w:val="both"/>
              <w:rPr>
                <w:rFonts w:ascii="Bookman Old Style" w:hAnsi="Bookman Old Style"/>
                <w:sz w:val="20"/>
              </w:rPr>
            </w:pPr>
            <w:r w:rsidRPr="00FC21B4">
              <w:rPr>
                <w:rFonts w:ascii="Bookman Old Style" w:hAnsi="Bookman Old Style"/>
                <w:sz w:val="20"/>
              </w:rPr>
              <w:t>Above $75,000</w:t>
            </w:r>
          </w:p>
        </w:tc>
      </w:tr>
      <w:tr w:rsidR="00FC21B4" w14:paraId="2469AC65" w14:textId="77777777" w:rsidTr="00FC21B4">
        <w:trPr>
          <w:jc w:val="center"/>
        </w:trPr>
        <w:tc>
          <w:tcPr>
            <w:tcW w:w="2943" w:type="dxa"/>
          </w:tcPr>
          <w:p w14:paraId="1C7B219C" w14:textId="02ED06DA" w:rsidR="00FC21B4" w:rsidRPr="00FC21B4" w:rsidRDefault="00FC21B4" w:rsidP="00FC21B4">
            <w:pPr>
              <w:jc w:val="both"/>
              <w:rPr>
                <w:rFonts w:ascii="Bookman Old Style" w:hAnsi="Bookman Old Style"/>
                <w:sz w:val="20"/>
              </w:rPr>
            </w:pPr>
            <w:r w:rsidRPr="00FC21B4">
              <w:rPr>
                <w:rFonts w:ascii="Bookman Old Style" w:hAnsi="Bookman Old Style"/>
                <w:sz w:val="20"/>
              </w:rPr>
              <w:t>Underwriters’ Commission</w:t>
            </w:r>
          </w:p>
        </w:tc>
        <w:tc>
          <w:tcPr>
            <w:tcW w:w="2835" w:type="dxa"/>
          </w:tcPr>
          <w:p w14:paraId="3AC5295A" w14:textId="5A2C7DAF" w:rsidR="00FC21B4" w:rsidRPr="00FC21B4" w:rsidRDefault="00FC21B4" w:rsidP="00FC21B4">
            <w:pPr>
              <w:jc w:val="both"/>
              <w:rPr>
                <w:rFonts w:ascii="Bookman Old Style" w:hAnsi="Bookman Old Style"/>
                <w:sz w:val="20"/>
              </w:rPr>
            </w:pPr>
            <w:r w:rsidRPr="00FC21B4">
              <w:rPr>
                <w:rFonts w:ascii="Bookman Old Style" w:hAnsi="Bookman Old Style"/>
                <w:sz w:val="20"/>
              </w:rPr>
              <w:t>4-6%</w:t>
            </w:r>
          </w:p>
        </w:tc>
        <w:tc>
          <w:tcPr>
            <w:tcW w:w="2835" w:type="dxa"/>
          </w:tcPr>
          <w:p w14:paraId="38D026B4" w14:textId="77DE8E05" w:rsidR="00FC21B4" w:rsidRPr="00FC21B4" w:rsidRDefault="00FC21B4" w:rsidP="00FC21B4">
            <w:pPr>
              <w:jc w:val="both"/>
              <w:rPr>
                <w:rFonts w:ascii="Bookman Old Style" w:hAnsi="Bookman Old Style"/>
                <w:sz w:val="20"/>
              </w:rPr>
            </w:pPr>
            <w:r w:rsidRPr="00FC21B4">
              <w:rPr>
                <w:rFonts w:ascii="Bookman Old Style" w:hAnsi="Bookman Old Style"/>
                <w:sz w:val="20"/>
              </w:rPr>
              <w:t>Up to 12%</w:t>
            </w:r>
          </w:p>
        </w:tc>
      </w:tr>
    </w:tbl>
    <w:p w14:paraId="0394D006" w14:textId="77777777" w:rsidR="00FC21B4" w:rsidRDefault="00FC21B4" w:rsidP="00FC21B4">
      <w:pPr>
        <w:spacing w:after="0" w:line="240" w:lineRule="auto"/>
        <w:jc w:val="both"/>
        <w:rPr>
          <w:rFonts w:ascii="Bookman Old Style" w:hAnsi="Bookman Old Style"/>
        </w:rPr>
      </w:pPr>
    </w:p>
    <w:p w14:paraId="6DC4461D" w14:textId="736ADAA1" w:rsidR="00FC21B4" w:rsidRDefault="00FC21B4" w:rsidP="00FC21B4">
      <w:pPr>
        <w:spacing w:after="0" w:line="240" w:lineRule="auto"/>
        <w:jc w:val="both"/>
        <w:rPr>
          <w:rFonts w:ascii="Bookman Old Style" w:hAnsi="Bookman Old Style"/>
        </w:rPr>
      </w:pPr>
      <w:r>
        <w:rPr>
          <w:rFonts w:ascii="Bookman Old Style" w:hAnsi="Bookman Old Style"/>
        </w:rPr>
        <w:t>These figures understate the total cost because the study didn’t consider indirect expenses or the overallotment option – but we see again that the cost of issuing securities can be considerable.</w:t>
      </w:r>
    </w:p>
    <w:p w14:paraId="56BB885A" w14:textId="77777777" w:rsidR="00FC21B4" w:rsidRDefault="00FC21B4" w:rsidP="00FC21B4">
      <w:pPr>
        <w:spacing w:after="0" w:line="240" w:lineRule="auto"/>
        <w:jc w:val="both"/>
        <w:rPr>
          <w:rFonts w:ascii="Bookman Old Style" w:hAnsi="Bookman Old Style"/>
        </w:rPr>
      </w:pPr>
    </w:p>
    <w:p w14:paraId="65524EF1" w14:textId="47D5582F" w:rsidR="00FC21B4" w:rsidRDefault="00FC21B4" w:rsidP="00FC21B4">
      <w:pPr>
        <w:spacing w:after="0" w:line="240" w:lineRule="auto"/>
        <w:jc w:val="both"/>
        <w:rPr>
          <w:rFonts w:ascii="Bookman Old Style" w:hAnsi="Bookman Old Style"/>
        </w:rPr>
      </w:pPr>
      <w:r>
        <w:rPr>
          <w:rFonts w:ascii="Bookman Old Style" w:hAnsi="Bookman Old Style"/>
        </w:rPr>
        <w:t>3 conclusions emerge from our discussion of underwriting:</w:t>
      </w:r>
    </w:p>
    <w:p w14:paraId="21AB6884" w14:textId="77777777" w:rsidR="00FC21B4" w:rsidRDefault="00FC21B4" w:rsidP="00FC21B4">
      <w:pPr>
        <w:spacing w:after="0" w:line="240" w:lineRule="auto"/>
        <w:jc w:val="both"/>
        <w:rPr>
          <w:rFonts w:ascii="Bookman Old Style" w:hAnsi="Bookman Old Style"/>
        </w:rPr>
      </w:pPr>
    </w:p>
    <w:p w14:paraId="5EA4E0CF" w14:textId="345AA6CA" w:rsidR="00FC21B4" w:rsidRPr="00FC21B4" w:rsidRDefault="00FC21B4" w:rsidP="00FC21B4">
      <w:pPr>
        <w:pStyle w:val="ListParagraph"/>
        <w:numPr>
          <w:ilvl w:val="0"/>
          <w:numId w:val="23"/>
        </w:numPr>
        <w:spacing w:after="0" w:line="240" w:lineRule="auto"/>
        <w:jc w:val="both"/>
        <w:rPr>
          <w:rFonts w:ascii="Bookman Old Style" w:hAnsi="Bookman Old Style"/>
        </w:rPr>
      </w:pPr>
      <w:r w:rsidRPr="00FC21B4">
        <w:rPr>
          <w:rFonts w:ascii="Bookman Old Style" w:hAnsi="Bookman Old Style"/>
        </w:rPr>
        <w:t>Substantial economies of size are evident. Larger firms can raise equity more easily.</w:t>
      </w:r>
    </w:p>
    <w:p w14:paraId="765147F4" w14:textId="77777777" w:rsidR="00FC21B4" w:rsidRDefault="00FC21B4" w:rsidP="00FC21B4">
      <w:pPr>
        <w:spacing w:after="0" w:line="240" w:lineRule="auto"/>
        <w:jc w:val="both"/>
        <w:rPr>
          <w:rFonts w:ascii="Bookman Old Style" w:hAnsi="Bookman Old Style"/>
        </w:rPr>
      </w:pPr>
    </w:p>
    <w:p w14:paraId="1152B050" w14:textId="0686D3AB" w:rsidR="00FC21B4" w:rsidRPr="00FC21B4" w:rsidRDefault="00FC21B4" w:rsidP="00FC21B4">
      <w:pPr>
        <w:pStyle w:val="ListParagraph"/>
        <w:numPr>
          <w:ilvl w:val="0"/>
          <w:numId w:val="23"/>
        </w:numPr>
        <w:spacing w:after="0" w:line="240" w:lineRule="auto"/>
        <w:jc w:val="both"/>
        <w:rPr>
          <w:rFonts w:ascii="Bookman Old Style" w:hAnsi="Bookman Old Style"/>
        </w:rPr>
      </w:pPr>
      <w:r w:rsidRPr="00FC21B4">
        <w:rPr>
          <w:rFonts w:ascii="Bookman Old Style" w:hAnsi="Bookman Old Style"/>
        </w:rPr>
        <w:t>The cost associated with underpricing can be substantial and can exceed the direct costs</w:t>
      </w:r>
    </w:p>
    <w:p w14:paraId="6AC65C50" w14:textId="77777777" w:rsidR="00FC21B4" w:rsidRPr="00FC21B4" w:rsidRDefault="00FC21B4" w:rsidP="00FC21B4">
      <w:pPr>
        <w:spacing w:after="0" w:line="240" w:lineRule="auto"/>
        <w:jc w:val="both"/>
        <w:rPr>
          <w:rFonts w:ascii="Bookman Old Style" w:hAnsi="Bookman Old Style"/>
        </w:rPr>
      </w:pPr>
    </w:p>
    <w:p w14:paraId="2C42A03D" w14:textId="631B3CE5" w:rsidR="00FC21B4" w:rsidRPr="00FC21B4" w:rsidRDefault="00FC21B4" w:rsidP="00FC21B4">
      <w:pPr>
        <w:pStyle w:val="ListParagraph"/>
        <w:numPr>
          <w:ilvl w:val="0"/>
          <w:numId w:val="23"/>
        </w:numPr>
        <w:spacing w:after="0" w:line="240" w:lineRule="auto"/>
        <w:jc w:val="both"/>
        <w:rPr>
          <w:rFonts w:ascii="Bookman Old Style" w:hAnsi="Bookman Old Style"/>
        </w:rPr>
      </w:pPr>
      <w:r>
        <w:rPr>
          <w:rFonts w:ascii="Bookman Old Style" w:hAnsi="Bookman Old Style"/>
        </w:rPr>
        <w:t>The issue costs are higher for initial public offering than for a seasoned offer.</w:t>
      </w:r>
    </w:p>
    <w:p w14:paraId="6DE36E5B" w14:textId="77777777" w:rsidR="00EB3FAB" w:rsidRDefault="00EB3FAB" w:rsidP="00FC21B4">
      <w:pPr>
        <w:spacing w:after="0" w:line="240" w:lineRule="auto"/>
        <w:jc w:val="center"/>
        <w:rPr>
          <w:rFonts w:ascii="Bookman Old Style" w:hAnsi="Bookman Old Style"/>
          <w:b/>
          <w:u w:val="single"/>
        </w:rPr>
      </w:pPr>
    </w:p>
    <w:p w14:paraId="490D8867" w14:textId="77777777" w:rsidR="00EB3FAB" w:rsidRDefault="00EB3FAB" w:rsidP="00FC21B4">
      <w:pPr>
        <w:spacing w:after="0" w:line="240" w:lineRule="auto"/>
        <w:jc w:val="center"/>
        <w:rPr>
          <w:rFonts w:ascii="Bookman Old Style" w:hAnsi="Bookman Old Style"/>
          <w:b/>
          <w:u w:val="single"/>
        </w:rPr>
      </w:pPr>
    </w:p>
    <w:p w14:paraId="7108637A" w14:textId="2ADE06C2" w:rsidR="00A75CBA" w:rsidRPr="00FC21B4" w:rsidRDefault="00FC21B4" w:rsidP="00FC21B4">
      <w:pPr>
        <w:spacing w:after="0" w:line="240" w:lineRule="auto"/>
        <w:jc w:val="center"/>
        <w:rPr>
          <w:rFonts w:ascii="Bookman Old Style" w:hAnsi="Bookman Old Style"/>
          <w:b/>
          <w:u w:val="single"/>
        </w:rPr>
      </w:pPr>
      <w:r>
        <w:rPr>
          <w:rFonts w:ascii="Bookman Old Style" w:hAnsi="Bookman Old Style"/>
          <w:b/>
          <w:u w:val="single"/>
        </w:rPr>
        <w:t>ISSUING LONG-TERM DEBT</w:t>
      </w:r>
    </w:p>
    <w:p w14:paraId="64097565" w14:textId="77777777" w:rsidR="00A75CBA" w:rsidRDefault="00A75CBA" w:rsidP="006222B0">
      <w:pPr>
        <w:spacing w:after="0" w:line="240" w:lineRule="auto"/>
        <w:jc w:val="both"/>
        <w:rPr>
          <w:rFonts w:ascii="Bookman Old Style" w:hAnsi="Bookman Old Style"/>
        </w:rPr>
      </w:pPr>
    </w:p>
    <w:p w14:paraId="40C3F7A5" w14:textId="4353AA7C" w:rsidR="00430483" w:rsidRDefault="00430483" w:rsidP="006222B0">
      <w:pPr>
        <w:spacing w:after="0" w:line="240" w:lineRule="auto"/>
        <w:jc w:val="both"/>
        <w:rPr>
          <w:rFonts w:ascii="Bookman Old Style" w:hAnsi="Bookman Old Style"/>
        </w:rPr>
      </w:pPr>
      <w:r>
        <w:rPr>
          <w:rFonts w:ascii="Bookman Old Style" w:hAnsi="Bookman Old Style"/>
        </w:rPr>
        <w:t xml:space="preserve">The procedure followed in a public issue of bonds is the same as those for stocks. The issue should be registered with the OSC and any other relevant </w:t>
      </w:r>
      <w:r w:rsidR="001F281F">
        <w:rPr>
          <w:rFonts w:ascii="Bookman Old Style" w:hAnsi="Bookman Old Style"/>
        </w:rPr>
        <w:t>provincial</w:t>
      </w:r>
      <w:r>
        <w:rPr>
          <w:rFonts w:ascii="Bookman Old Style" w:hAnsi="Bookman Old Style"/>
        </w:rPr>
        <w:t xml:space="preserve"> securities </w:t>
      </w:r>
      <w:r w:rsidR="001F281F">
        <w:rPr>
          <w:rFonts w:ascii="Bookman Old Style" w:hAnsi="Bookman Old Style"/>
        </w:rPr>
        <w:t>commissions – there must also be a prospectus.</w:t>
      </w:r>
    </w:p>
    <w:p w14:paraId="7BC03D3F" w14:textId="77777777" w:rsidR="001F281F" w:rsidRDefault="001F281F" w:rsidP="006222B0">
      <w:pPr>
        <w:spacing w:after="0" w:line="240" w:lineRule="auto"/>
        <w:jc w:val="both"/>
        <w:rPr>
          <w:rFonts w:ascii="Bookman Old Style" w:hAnsi="Bookman Old Style"/>
        </w:rPr>
      </w:pPr>
    </w:p>
    <w:p w14:paraId="18FA90CD" w14:textId="75594A3F" w:rsidR="001F281F" w:rsidRDefault="001F281F" w:rsidP="006222B0">
      <w:pPr>
        <w:spacing w:after="0" w:line="240" w:lineRule="auto"/>
        <w:jc w:val="both"/>
        <w:rPr>
          <w:rFonts w:ascii="Bookman Old Style" w:hAnsi="Bookman Old Style"/>
        </w:rPr>
      </w:pPr>
      <w:r>
        <w:rPr>
          <w:rFonts w:ascii="Bookman Old Style" w:hAnsi="Bookman Old Style"/>
        </w:rPr>
        <w:t>The registration statement is different though – it should contain an indenture.</w:t>
      </w:r>
    </w:p>
    <w:p w14:paraId="19553830" w14:textId="77777777" w:rsidR="001F281F" w:rsidRDefault="001F281F" w:rsidP="006222B0">
      <w:pPr>
        <w:spacing w:after="0" w:line="240" w:lineRule="auto"/>
        <w:jc w:val="both"/>
        <w:rPr>
          <w:rFonts w:ascii="Bookman Old Style" w:hAnsi="Bookman Old Style"/>
        </w:rPr>
      </w:pPr>
    </w:p>
    <w:p w14:paraId="7D8257A8" w14:textId="50700056" w:rsidR="001F281F" w:rsidRDefault="001F281F" w:rsidP="006222B0">
      <w:pPr>
        <w:spacing w:after="0" w:line="240" w:lineRule="auto"/>
        <w:jc w:val="both"/>
        <w:rPr>
          <w:rFonts w:ascii="Bookman Old Style" w:hAnsi="Bookman Old Style"/>
        </w:rPr>
      </w:pPr>
      <w:r>
        <w:rPr>
          <w:rFonts w:ascii="Bookman Old Style" w:hAnsi="Bookman Old Style"/>
        </w:rPr>
        <w:t>Another difference is that debt is more likely to be issued privately. There are 2 basic forms of direct private long-term financing:</w:t>
      </w:r>
    </w:p>
    <w:p w14:paraId="0C69C324" w14:textId="77777777" w:rsidR="001F281F" w:rsidRDefault="001F281F" w:rsidP="006222B0">
      <w:pPr>
        <w:spacing w:after="0" w:line="240" w:lineRule="auto"/>
        <w:jc w:val="both"/>
        <w:rPr>
          <w:rFonts w:ascii="Bookman Old Style" w:hAnsi="Bookman Old Style"/>
        </w:rPr>
      </w:pPr>
    </w:p>
    <w:p w14:paraId="73C9CF49" w14:textId="2A985628" w:rsidR="001F281F" w:rsidRPr="001F281F" w:rsidRDefault="001F281F" w:rsidP="001F281F">
      <w:pPr>
        <w:pStyle w:val="ListParagraph"/>
        <w:numPr>
          <w:ilvl w:val="0"/>
          <w:numId w:val="14"/>
        </w:numPr>
        <w:spacing w:after="0" w:line="240" w:lineRule="auto"/>
        <w:jc w:val="both"/>
        <w:rPr>
          <w:rFonts w:ascii="Bookman Old Style" w:hAnsi="Bookman Old Style"/>
        </w:rPr>
      </w:pPr>
      <w:r w:rsidRPr="001F281F">
        <w:rPr>
          <w:rFonts w:ascii="Bookman Old Style" w:hAnsi="Bookman Old Style"/>
        </w:rPr>
        <w:t>TERM LOANS</w:t>
      </w:r>
    </w:p>
    <w:p w14:paraId="202220E0" w14:textId="7D2F44BE" w:rsidR="001F281F" w:rsidRDefault="001F281F" w:rsidP="001F281F">
      <w:pPr>
        <w:pStyle w:val="ListParagraph"/>
        <w:numPr>
          <w:ilvl w:val="0"/>
          <w:numId w:val="14"/>
        </w:numPr>
        <w:spacing w:after="0" w:line="240" w:lineRule="auto"/>
        <w:jc w:val="both"/>
        <w:rPr>
          <w:rFonts w:ascii="Bookman Old Style" w:hAnsi="Bookman Old Style"/>
        </w:rPr>
      </w:pPr>
      <w:r>
        <w:rPr>
          <w:rFonts w:ascii="Bookman Old Style" w:hAnsi="Bookman Old Style"/>
        </w:rPr>
        <w:t>PRIVATE PLACEMENT</w:t>
      </w:r>
    </w:p>
    <w:p w14:paraId="2A864C71" w14:textId="77777777" w:rsidR="001F281F" w:rsidRDefault="001F281F" w:rsidP="001F281F">
      <w:pPr>
        <w:spacing w:after="0" w:line="240" w:lineRule="auto"/>
        <w:jc w:val="both"/>
        <w:rPr>
          <w:rFonts w:ascii="Bookman Old Style" w:hAnsi="Bookman Old Style"/>
        </w:rPr>
      </w:pPr>
    </w:p>
    <w:p w14:paraId="46BBF79E" w14:textId="749E116D" w:rsidR="001F281F" w:rsidRPr="001F281F" w:rsidRDefault="001F281F" w:rsidP="001F281F">
      <w:pPr>
        <w:spacing w:after="0" w:line="240" w:lineRule="auto"/>
        <w:jc w:val="both"/>
        <w:rPr>
          <w:rFonts w:ascii="Bookman Old Style" w:hAnsi="Bookman Old Style"/>
        </w:rPr>
      </w:pPr>
      <w:r>
        <w:rPr>
          <w:rFonts w:ascii="Bookman Old Style" w:hAnsi="Bookman Old Style"/>
          <w:b/>
        </w:rPr>
        <w:t>Term loans</w:t>
      </w:r>
      <w:r>
        <w:rPr>
          <w:rFonts w:ascii="Bookman Old Style" w:hAnsi="Bookman Old Style"/>
        </w:rPr>
        <w:t xml:space="preserve"> are direct business loans. They have maturities between 1-5 years and most are repayable during the life of the loan; the interest rate could be a fixed or floating rate. Lenders include chartered banks, insurance companies, trust companies and other lenders that specialize in corporate finance. </w:t>
      </w:r>
    </w:p>
    <w:p w14:paraId="30BF49A9" w14:textId="77777777" w:rsidR="00A75CBA" w:rsidRDefault="00A75CBA" w:rsidP="006222B0">
      <w:pPr>
        <w:spacing w:after="0" w:line="240" w:lineRule="auto"/>
        <w:jc w:val="both"/>
        <w:rPr>
          <w:rFonts w:ascii="Bookman Old Style" w:hAnsi="Bookman Old Style"/>
        </w:rPr>
      </w:pPr>
    </w:p>
    <w:tbl>
      <w:tblPr>
        <w:tblStyle w:val="TableGrid"/>
        <w:tblW w:w="0" w:type="auto"/>
        <w:jc w:val="center"/>
        <w:tblInd w:w="2943" w:type="dxa"/>
        <w:tblBorders>
          <w:top w:val="thickThinLargeGap" w:sz="24" w:space="0" w:color="auto"/>
          <w:left w:val="thickThinLargeGap" w:sz="24" w:space="0" w:color="auto"/>
          <w:bottom w:val="thinThickLargeGap" w:sz="24" w:space="0" w:color="auto"/>
          <w:right w:val="thinThickLargeGap" w:sz="24" w:space="0" w:color="auto"/>
          <w:insideH w:val="none" w:sz="0" w:space="0" w:color="auto"/>
          <w:insideV w:val="none" w:sz="0" w:space="0" w:color="auto"/>
        </w:tblBorders>
        <w:tblLook w:val="04A0" w:firstRow="1" w:lastRow="0" w:firstColumn="1" w:lastColumn="0" w:noHBand="0" w:noVBand="1"/>
      </w:tblPr>
      <w:tblGrid>
        <w:gridCol w:w="6633"/>
      </w:tblGrid>
      <w:tr w:rsidR="001F281F" w14:paraId="430C9640" w14:textId="77777777" w:rsidTr="001F281F">
        <w:trPr>
          <w:jc w:val="center"/>
        </w:trPr>
        <w:tc>
          <w:tcPr>
            <w:tcW w:w="6633" w:type="dxa"/>
          </w:tcPr>
          <w:p w14:paraId="54ECDF0E" w14:textId="77777777" w:rsidR="001F281F" w:rsidRDefault="001F281F" w:rsidP="006222B0">
            <w:pPr>
              <w:jc w:val="both"/>
              <w:rPr>
                <w:rFonts w:ascii="Bookman Old Style" w:hAnsi="Bookman Old Style"/>
              </w:rPr>
            </w:pPr>
          </w:p>
          <w:p w14:paraId="1E35F2B5" w14:textId="20D65050" w:rsidR="001F281F" w:rsidRPr="001F281F" w:rsidRDefault="001F281F" w:rsidP="006222B0">
            <w:pPr>
              <w:jc w:val="both"/>
              <w:rPr>
                <w:rFonts w:ascii="Bookman Old Style" w:hAnsi="Bookman Old Style"/>
              </w:rPr>
            </w:pPr>
            <w:r>
              <w:rPr>
                <w:rFonts w:ascii="Bookman Old Style" w:hAnsi="Bookman Old Style"/>
                <w:b/>
              </w:rPr>
              <w:t>Term Loans</w:t>
            </w:r>
            <w:r>
              <w:rPr>
                <w:rFonts w:ascii="Bookman Old Style" w:hAnsi="Bookman Old Style"/>
              </w:rPr>
              <w:t xml:space="preserve"> – Direct business loans of typically 1 -5 years</w:t>
            </w:r>
          </w:p>
          <w:p w14:paraId="447B2378" w14:textId="77777777" w:rsidR="001F281F" w:rsidRDefault="001F281F" w:rsidP="006222B0">
            <w:pPr>
              <w:jc w:val="both"/>
              <w:rPr>
                <w:rFonts w:ascii="Bookman Old Style" w:hAnsi="Bookman Old Style"/>
              </w:rPr>
            </w:pPr>
          </w:p>
        </w:tc>
      </w:tr>
    </w:tbl>
    <w:p w14:paraId="6F0F6700" w14:textId="77777777" w:rsidR="001F281F" w:rsidRDefault="001F281F" w:rsidP="006222B0">
      <w:pPr>
        <w:spacing w:after="0" w:line="240" w:lineRule="auto"/>
        <w:jc w:val="both"/>
        <w:rPr>
          <w:rFonts w:ascii="Bookman Old Style" w:hAnsi="Bookman Old Style"/>
        </w:rPr>
      </w:pPr>
    </w:p>
    <w:p w14:paraId="58D3BFA3" w14:textId="258AB1C5" w:rsidR="001F281F" w:rsidRDefault="001F281F" w:rsidP="006222B0">
      <w:pPr>
        <w:spacing w:after="0" w:line="240" w:lineRule="auto"/>
        <w:jc w:val="both"/>
        <w:rPr>
          <w:rFonts w:ascii="Bookman Old Style" w:hAnsi="Bookman Old Style"/>
        </w:rPr>
      </w:pPr>
      <w:r>
        <w:rPr>
          <w:rFonts w:ascii="Bookman Old Style" w:hAnsi="Bookman Old Style"/>
          <w:b/>
        </w:rPr>
        <w:t>Syndicated loans</w:t>
      </w:r>
      <w:r>
        <w:rPr>
          <w:rFonts w:ascii="Bookman Old Style" w:hAnsi="Bookman Old Style"/>
        </w:rPr>
        <w:t xml:space="preserve"> are loans made by a group (or syndicate) of banks or other institutional investors. They’re used because large banks (like Citigroup &amp; RBC) </w:t>
      </w:r>
      <w:r>
        <w:rPr>
          <w:rFonts w:ascii="Bookman Old Style" w:hAnsi="Bookman Old Style"/>
        </w:rPr>
        <w:lastRenderedPageBreak/>
        <w:t>usually have a larger demand for loans that they can supply and smaller banks usually have more funds on hand that they can profitably lend to existing customers.</w:t>
      </w:r>
    </w:p>
    <w:p w14:paraId="5FAA5BA5" w14:textId="77777777" w:rsidR="001F281F" w:rsidRDefault="001F281F" w:rsidP="006222B0">
      <w:pPr>
        <w:spacing w:after="0" w:line="240" w:lineRule="auto"/>
        <w:jc w:val="both"/>
        <w:rPr>
          <w:rFonts w:ascii="Bookman Old Style" w:hAnsi="Bookman Old Style"/>
        </w:rPr>
      </w:pPr>
    </w:p>
    <w:p w14:paraId="54D28A76" w14:textId="3510C253" w:rsidR="001F281F" w:rsidRDefault="001F281F" w:rsidP="006222B0">
      <w:pPr>
        <w:spacing w:after="0" w:line="240" w:lineRule="auto"/>
        <w:jc w:val="both"/>
        <w:rPr>
          <w:rFonts w:ascii="Bookman Old Style" w:hAnsi="Bookman Old Style"/>
        </w:rPr>
      </w:pPr>
      <w:r>
        <w:rPr>
          <w:rFonts w:ascii="Bookman Old Style" w:hAnsi="Bookman Old Style"/>
        </w:rPr>
        <w:t>So a very large bank might arrange a loan with a firm or country and then sell portions of it to a syndicate of other banks. With a syndicated loan, each bank has a separate loan agreement with the borrowers.</w:t>
      </w:r>
    </w:p>
    <w:p w14:paraId="14C06C8B" w14:textId="77777777" w:rsidR="001F281F" w:rsidRDefault="001F281F" w:rsidP="006222B0">
      <w:pPr>
        <w:spacing w:after="0" w:line="240" w:lineRule="auto"/>
        <w:jc w:val="both"/>
        <w:rPr>
          <w:rFonts w:ascii="Bookman Old Style" w:hAnsi="Bookman Old Style"/>
        </w:rPr>
      </w:pPr>
    </w:p>
    <w:p w14:paraId="5EFBBBF9" w14:textId="2E5CE9F2" w:rsidR="001F281F" w:rsidRDefault="001F281F" w:rsidP="006222B0">
      <w:pPr>
        <w:spacing w:after="0" w:line="240" w:lineRule="auto"/>
        <w:jc w:val="both"/>
        <w:rPr>
          <w:rFonts w:ascii="Bookman Old Style" w:hAnsi="Bookman Old Style"/>
        </w:rPr>
      </w:pPr>
      <w:r>
        <w:rPr>
          <w:rFonts w:ascii="Bookman Old Style" w:hAnsi="Bookman Old Style"/>
        </w:rPr>
        <w:t>A syndica</w:t>
      </w:r>
      <w:r w:rsidR="0040266F">
        <w:rPr>
          <w:rFonts w:ascii="Bookman Old Style" w:hAnsi="Bookman Old Style"/>
        </w:rPr>
        <w:t>ted loan may be traded publicly – it can be a line of credit and be “undrawn” or it may be drawn and used by the firm.</w:t>
      </w:r>
    </w:p>
    <w:p w14:paraId="33CBD952" w14:textId="77777777" w:rsidR="0040266F" w:rsidRDefault="0040266F" w:rsidP="006222B0">
      <w:pPr>
        <w:spacing w:after="0" w:line="240" w:lineRule="auto"/>
        <w:jc w:val="both"/>
        <w:rPr>
          <w:rFonts w:ascii="Bookman Old Style" w:hAnsi="Bookman Old Style"/>
        </w:rPr>
      </w:pPr>
    </w:p>
    <w:p w14:paraId="3D87A382" w14:textId="75936E01" w:rsidR="0040266F" w:rsidRDefault="0040266F" w:rsidP="006222B0">
      <w:pPr>
        <w:spacing w:after="0" w:line="240" w:lineRule="auto"/>
        <w:jc w:val="both"/>
        <w:rPr>
          <w:rFonts w:ascii="Bookman Old Style" w:hAnsi="Bookman Old Style"/>
        </w:rPr>
      </w:pPr>
      <w:r>
        <w:rPr>
          <w:rFonts w:ascii="Bookman Old Style" w:hAnsi="Bookman Old Style"/>
        </w:rPr>
        <w:t xml:space="preserve">Syndicated loans are always rates investment grade – but a </w:t>
      </w:r>
      <w:r>
        <w:rPr>
          <w:rFonts w:ascii="Bookman Old Style" w:hAnsi="Bookman Old Style"/>
          <w:b/>
          <w:i/>
        </w:rPr>
        <w:t>leveraged</w:t>
      </w:r>
      <w:r>
        <w:rPr>
          <w:rFonts w:ascii="Bookman Old Style" w:hAnsi="Bookman Old Style"/>
        </w:rPr>
        <w:t xml:space="preserve"> syndicated loan is rate speculative grade (i.e. its “junk”). </w:t>
      </w:r>
    </w:p>
    <w:p w14:paraId="7AAD7072" w14:textId="77777777" w:rsidR="0040266F" w:rsidRDefault="0040266F" w:rsidP="006222B0">
      <w:pPr>
        <w:spacing w:after="0" w:line="240" w:lineRule="auto"/>
        <w:jc w:val="both"/>
        <w:rPr>
          <w:rFonts w:ascii="Bookman Old Style" w:hAnsi="Bookman Old Style"/>
        </w:rPr>
      </w:pPr>
    </w:p>
    <w:p w14:paraId="6ABFC0F8" w14:textId="7685E304" w:rsidR="0040266F" w:rsidRDefault="0040266F" w:rsidP="006222B0">
      <w:pPr>
        <w:spacing w:after="0" w:line="240" w:lineRule="auto"/>
        <w:jc w:val="both"/>
        <w:rPr>
          <w:rFonts w:ascii="Bookman Old Style" w:hAnsi="Bookman Old Style"/>
        </w:rPr>
      </w:pPr>
      <w:r>
        <w:rPr>
          <w:rFonts w:ascii="Bookman Old Style" w:hAnsi="Bookman Old Style"/>
        </w:rPr>
        <w:t>Research finds slightly higher default rates for syndicated loans when compared to corporate bonds.</w:t>
      </w:r>
    </w:p>
    <w:p w14:paraId="19E16254" w14:textId="77777777" w:rsidR="0040266F" w:rsidRDefault="0040266F" w:rsidP="006222B0">
      <w:pPr>
        <w:spacing w:after="0" w:line="240" w:lineRule="auto"/>
        <w:jc w:val="both"/>
        <w:rPr>
          <w:rFonts w:ascii="Bookman Old Style" w:hAnsi="Bookman Old Style"/>
        </w:rPr>
      </w:pPr>
    </w:p>
    <w:p w14:paraId="0962FAA1" w14:textId="5F436253" w:rsidR="0040266F" w:rsidRDefault="0040266F" w:rsidP="006222B0">
      <w:pPr>
        <w:spacing w:after="0" w:line="240" w:lineRule="auto"/>
        <w:jc w:val="both"/>
        <w:rPr>
          <w:rFonts w:ascii="Bookman Old Style" w:hAnsi="Bookman Old Style"/>
        </w:rPr>
      </w:pPr>
      <w:r>
        <w:rPr>
          <w:rFonts w:ascii="Bookman Old Style" w:hAnsi="Bookman Old Style"/>
        </w:rPr>
        <w:t>There’s no market for the public trading of syndicated loans, commercial and investment banks in the US have created loan trading desks and a secondary loan market for syndicated loans.</w:t>
      </w:r>
    </w:p>
    <w:p w14:paraId="4FE42000" w14:textId="77777777" w:rsidR="0040266F" w:rsidRDefault="0040266F" w:rsidP="006222B0">
      <w:pPr>
        <w:spacing w:after="0" w:line="240" w:lineRule="auto"/>
        <w:jc w:val="both"/>
        <w:rPr>
          <w:rFonts w:ascii="Bookman Old Style" w:hAnsi="Bookman Old Style"/>
        </w:rPr>
      </w:pPr>
    </w:p>
    <w:p w14:paraId="371FF1C7" w14:textId="77777777" w:rsidR="0040266F" w:rsidRDefault="0040266F" w:rsidP="006222B0">
      <w:pPr>
        <w:spacing w:after="0" w:line="240" w:lineRule="auto"/>
        <w:jc w:val="both"/>
        <w:rPr>
          <w:rFonts w:ascii="Bookman Old Style" w:hAnsi="Bookman Old Style"/>
        </w:rPr>
      </w:pPr>
    </w:p>
    <w:p w14:paraId="5F8B4126" w14:textId="13EAEAFB" w:rsidR="0040266F" w:rsidRDefault="0040266F" w:rsidP="006222B0">
      <w:pPr>
        <w:spacing w:after="0" w:line="240" w:lineRule="auto"/>
        <w:jc w:val="both"/>
        <w:rPr>
          <w:rFonts w:ascii="Bookman Old Style" w:hAnsi="Bookman Old Style"/>
        </w:rPr>
      </w:pPr>
      <w:r>
        <w:rPr>
          <w:rFonts w:ascii="Bookman Old Style" w:hAnsi="Bookman Old Style"/>
          <w:b/>
        </w:rPr>
        <w:t>Private placements</w:t>
      </w:r>
      <w:r>
        <w:rPr>
          <w:rFonts w:ascii="Bookman Old Style" w:hAnsi="Bookman Old Style"/>
        </w:rPr>
        <w:t xml:space="preserve"> are similar to term loans except that the maturity is longer. Unlike terms loans, privately placed debt usually employs an investment dealer who facilitates the process but doesn’t underwrite the issue.</w:t>
      </w:r>
    </w:p>
    <w:p w14:paraId="1C249D6A" w14:textId="77777777" w:rsidR="0040266F" w:rsidRDefault="0040266F" w:rsidP="006222B0">
      <w:pPr>
        <w:spacing w:after="0" w:line="240" w:lineRule="auto"/>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40266F" w14:paraId="64AD1203" w14:textId="77777777" w:rsidTr="0040266F">
        <w:tc>
          <w:tcPr>
            <w:tcW w:w="9576" w:type="dxa"/>
          </w:tcPr>
          <w:p w14:paraId="5E98DFC5" w14:textId="2497F7B7" w:rsidR="0040266F" w:rsidRDefault="0040266F" w:rsidP="006222B0">
            <w:pPr>
              <w:jc w:val="both"/>
              <w:rPr>
                <w:rFonts w:ascii="Bookman Old Style" w:hAnsi="Bookman Old Style"/>
              </w:rPr>
            </w:pPr>
          </w:p>
          <w:p w14:paraId="11988E4E" w14:textId="77777777" w:rsidR="0040266F" w:rsidRDefault="0040266F" w:rsidP="006222B0">
            <w:pPr>
              <w:jc w:val="both"/>
              <w:rPr>
                <w:rFonts w:ascii="Bookman Old Style" w:hAnsi="Bookman Old Style"/>
              </w:rPr>
            </w:pPr>
            <w:r>
              <w:rPr>
                <w:rFonts w:ascii="Bookman Old Style" w:hAnsi="Bookman Old Style"/>
                <w:b/>
              </w:rPr>
              <w:t xml:space="preserve">Private Placement – </w:t>
            </w:r>
            <w:r>
              <w:rPr>
                <w:rFonts w:ascii="Bookman Old Style" w:hAnsi="Bookman Old Style"/>
              </w:rPr>
              <w:t>Loans, usually long term in nature, provided directly by a limited number of investors.</w:t>
            </w:r>
          </w:p>
          <w:p w14:paraId="74867114" w14:textId="0C78CE8C" w:rsidR="0040266F" w:rsidRPr="0040266F" w:rsidRDefault="0040266F" w:rsidP="006222B0">
            <w:pPr>
              <w:jc w:val="both"/>
              <w:rPr>
                <w:rFonts w:ascii="Bookman Old Style" w:hAnsi="Bookman Old Style"/>
              </w:rPr>
            </w:pPr>
          </w:p>
        </w:tc>
      </w:tr>
    </w:tbl>
    <w:p w14:paraId="7829C665" w14:textId="77777777" w:rsidR="0040266F" w:rsidRDefault="0040266F" w:rsidP="006222B0">
      <w:pPr>
        <w:spacing w:after="0" w:line="240" w:lineRule="auto"/>
        <w:jc w:val="both"/>
        <w:rPr>
          <w:rFonts w:ascii="Bookman Old Style" w:hAnsi="Bookman Old Style"/>
        </w:rPr>
      </w:pPr>
    </w:p>
    <w:p w14:paraId="36456B3D" w14:textId="43C0A6C6" w:rsidR="0040266F" w:rsidRDefault="0040266F" w:rsidP="006222B0">
      <w:pPr>
        <w:spacing w:after="0" w:line="240" w:lineRule="auto"/>
        <w:jc w:val="both"/>
        <w:rPr>
          <w:rFonts w:ascii="Bookman Old Style" w:hAnsi="Bookman Old Style"/>
        </w:rPr>
      </w:pPr>
      <w:r>
        <w:rPr>
          <w:rFonts w:ascii="Bookman Old Style" w:hAnsi="Bookman Old Style"/>
        </w:rPr>
        <w:t>A private</w:t>
      </w:r>
      <w:r w:rsidR="00660E55">
        <w:rPr>
          <w:rFonts w:ascii="Bookman Old Style" w:hAnsi="Bookman Old Style"/>
        </w:rPr>
        <w:t xml:space="preserve"> placement doesn’t require a full prospectus – instead, the firm and its investment dealer only draw up an offering memorandum describing the issuer and the issue.</w:t>
      </w:r>
    </w:p>
    <w:p w14:paraId="50CAD33E" w14:textId="77777777" w:rsidR="00660E55" w:rsidRDefault="00660E55" w:rsidP="006222B0">
      <w:pPr>
        <w:spacing w:after="0" w:line="240" w:lineRule="auto"/>
        <w:jc w:val="both"/>
        <w:rPr>
          <w:rFonts w:ascii="Bookman Old Style" w:hAnsi="Bookman Old Style"/>
        </w:rPr>
      </w:pPr>
    </w:p>
    <w:p w14:paraId="1016DF26" w14:textId="5A3D5232" w:rsidR="00660E55" w:rsidRDefault="00660E55" w:rsidP="006222B0">
      <w:pPr>
        <w:spacing w:after="0" w:line="240" w:lineRule="auto"/>
        <w:jc w:val="both"/>
        <w:rPr>
          <w:rFonts w:ascii="Bookman Old Style" w:hAnsi="Bookman Old Style"/>
        </w:rPr>
      </w:pPr>
      <w:r>
        <w:rPr>
          <w:rFonts w:ascii="Bookman Old Style" w:hAnsi="Bookman Old Style"/>
        </w:rPr>
        <w:t>Most privately placed debt is sold to exempt purchasers – these are large insurance companies, pension funds and other institutions which don’t require the protection provided by studying the full prospectus because they’re sophisticated market participants.</w:t>
      </w:r>
    </w:p>
    <w:p w14:paraId="31C47EB2" w14:textId="77777777" w:rsidR="00660E55" w:rsidRDefault="00660E55" w:rsidP="006222B0">
      <w:pPr>
        <w:spacing w:after="0" w:line="240" w:lineRule="auto"/>
        <w:jc w:val="both"/>
        <w:rPr>
          <w:rFonts w:ascii="Bookman Old Style" w:hAnsi="Bookman Old Style"/>
        </w:rPr>
      </w:pPr>
    </w:p>
    <w:p w14:paraId="7D8738B4" w14:textId="2719BBF4" w:rsidR="00660E55" w:rsidRDefault="00660E55" w:rsidP="006222B0">
      <w:pPr>
        <w:spacing w:after="0" w:line="240" w:lineRule="auto"/>
        <w:jc w:val="both"/>
        <w:rPr>
          <w:rFonts w:ascii="Bookman Old Style" w:hAnsi="Bookman Old Style"/>
        </w:rPr>
      </w:pPr>
      <w:r>
        <w:rPr>
          <w:rFonts w:ascii="Bookman Old Style" w:hAnsi="Bookman Old Style"/>
        </w:rPr>
        <w:t>The important difference between direct private long-term financing – term loans and private debt placements – and public issues of debt are:</w:t>
      </w:r>
    </w:p>
    <w:p w14:paraId="22F83519" w14:textId="77777777" w:rsidR="00660E55" w:rsidRDefault="00660E55" w:rsidP="006222B0">
      <w:pPr>
        <w:spacing w:after="0" w:line="240" w:lineRule="auto"/>
        <w:jc w:val="both"/>
        <w:rPr>
          <w:rFonts w:ascii="Bookman Old Style" w:hAnsi="Bookman Old Style"/>
        </w:rPr>
      </w:pPr>
    </w:p>
    <w:p w14:paraId="214C3824" w14:textId="29ED95F1" w:rsidR="00660E55" w:rsidRDefault="00660E55" w:rsidP="00660E55">
      <w:pPr>
        <w:pStyle w:val="ListParagraph"/>
        <w:numPr>
          <w:ilvl w:val="0"/>
          <w:numId w:val="24"/>
        </w:numPr>
        <w:spacing w:after="0" w:line="240" w:lineRule="auto"/>
        <w:jc w:val="both"/>
        <w:rPr>
          <w:rFonts w:ascii="Bookman Old Style" w:hAnsi="Bookman Old Style"/>
        </w:rPr>
      </w:pPr>
      <w:r>
        <w:rPr>
          <w:rFonts w:ascii="Bookman Old Style" w:hAnsi="Bookman Old Style"/>
        </w:rPr>
        <w:t>Registration costs are lower for direct financing. A term loan avoids the cost of OSC registration. Private debt placements require an offering memorandum, but this is cheaper than preparing a full prospectus.</w:t>
      </w:r>
    </w:p>
    <w:p w14:paraId="0CF83A9F" w14:textId="77777777" w:rsidR="00660E55" w:rsidRDefault="00660E55" w:rsidP="00660E55">
      <w:pPr>
        <w:spacing w:after="0" w:line="240" w:lineRule="auto"/>
        <w:jc w:val="both"/>
        <w:rPr>
          <w:rFonts w:ascii="Bookman Old Style" w:hAnsi="Bookman Old Style"/>
        </w:rPr>
      </w:pPr>
    </w:p>
    <w:p w14:paraId="61A88868" w14:textId="7DCE9D28" w:rsidR="00660E55" w:rsidRDefault="00660E55" w:rsidP="00660E55">
      <w:pPr>
        <w:pStyle w:val="ListParagraph"/>
        <w:numPr>
          <w:ilvl w:val="0"/>
          <w:numId w:val="24"/>
        </w:numPr>
        <w:spacing w:after="0" w:line="240" w:lineRule="auto"/>
        <w:jc w:val="both"/>
        <w:rPr>
          <w:rFonts w:ascii="Bookman Old Style" w:hAnsi="Bookman Old Style"/>
        </w:rPr>
      </w:pPr>
      <w:r>
        <w:rPr>
          <w:rFonts w:ascii="Bookman Old Style" w:hAnsi="Bookman Old Style"/>
        </w:rPr>
        <w:t>Direct placement is likely to have more restrictive covenants.</w:t>
      </w:r>
    </w:p>
    <w:p w14:paraId="0E7A2F1A" w14:textId="77777777" w:rsidR="00660E55" w:rsidRPr="00660E55" w:rsidRDefault="00660E55" w:rsidP="00660E55">
      <w:pPr>
        <w:pStyle w:val="ListParagraph"/>
        <w:rPr>
          <w:rFonts w:ascii="Bookman Old Style" w:hAnsi="Bookman Old Style"/>
        </w:rPr>
      </w:pPr>
    </w:p>
    <w:p w14:paraId="06BB8539" w14:textId="61A7F1C4" w:rsidR="00660E55" w:rsidRDefault="00660E55" w:rsidP="00660E55">
      <w:pPr>
        <w:pStyle w:val="ListParagraph"/>
        <w:numPr>
          <w:ilvl w:val="0"/>
          <w:numId w:val="24"/>
        </w:numPr>
        <w:spacing w:after="0" w:line="240" w:lineRule="auto"/>
        <w:jc w:val="both"/>
        <w:rPr>
          <w:rFonts w:ascii="Bookman Old Style" w:hAnsi="Bookman Old Style"/>
        </w:rPr>
      </w:pPr>
      <w:r>
        <w:rPr>
          <w:rFonts w:ascii="Bookman Old Style" w:hAnsi="Bookman Old Style"/>
        </w:rPr>
        <w:lastRenderedPageBreak/>
        <w:t>It’s easier to renegotiate a term loan or a private placement in the event of a default. It’s harder to renegotiate a public issue because hundreds of holders are usually involved.</w:t>
      </w:r>
    </w:p>
    <w:p w14:paraId="02F2D675" w14:textId="77777777" w:rsidR="00660E55" w:rsidRPr="00660E55" w:rsidRDefault="00660E55" w:rsidP="00660E55">
      <w:pPr>
        <w:pStyle w:val="ListParagraph"/>
        <w:rPr>
          <w:rFonts w:ascii="Bookman Old Style" w:hAnsi="Bookman Old Style"/>
        </w:rPr>
      </w:pPr>
    </w:p>
    <w:p w14:paraId="621F3102" w14:textId="7F9F4EEC" w:rsidR="00660E55" w:rsidRDefault="00660E55" w:rsidP="00660E55">
      <w:pPr>
        <w:pStyle w:val="ListParagraph"/>
        <w:numPr>
          <w:ilvl w:val="0"/>
          <w:numId w:val="24"/>
        </w:numPr>
        <w:spacing w:after="0" w:line="240" w:lineRule="auto"/>
        <w:jc w:val="both"/>
        <w:rPr>
          <w:rFonts w:ascii="Bookman Old Style" w:hAnsi="Bookman Old Style"/>
        </w:rPr>
      </w:pPr>
      <w:r>
        <w:rPr>
          <w:rFonts w:ascii="Bookman Old Style" w:hAnsi="Bookman Old Style"/>
        </w:rPr>
        <w:t>Life insurance companies and pension funds dominate the private-placement segment of t</w:t>
      </w:r>
      <w:bookmarkStart w:id="0" w:name="_GoBack"/>
      <w:bookmarkEnd w:id="0"/>
      <w:r>
        <w:rPr>
          <w:rFonts w:ascii="Bookman Old Style" w:hAnsi="Bookman Old Style"/>
        </w:rPr>
        <w:t>he bond market. Chartered banks are significant participants in the term loan market.</w:t>
      </w:r>
    </w:p>
    <w:p w14:paraId="2915F426" w14:textId="77777777" w:rsidR="00660E55" w:rsidRPr="00660E55" w:rsidRDefault="00660E55" w:rsidP="00660E55">
      <w:pPr>
        <w:pStyle w:val="ListParagraph"/>
        <w:rPr>
          <w:rFonts w:ascii="Bookman Old Style" w:hAnsi="Bookman Old Style"/>
        </w:rPr>
      </w:pPr>
    </w:p>
    <w:p w14:paraId="1DA39EF6" w14:textId="45145440" w:rsidR="00660E55" w:rsidRDefault="00660E55" w:rsidP="00660E55">
      <w:pPr>
        <w:pStyle w:val="ListParagraph"/>
        <w:numPr>
          <w:ilvl w:val="0"/>
          <w:numId w:val="24"/>
        </w:numPr>
        <w:spacing w:after="0" w:line="240" w:lineRule="auto"/>
        <w:jc w:val="both"/>
        <w:rPr>
          <w:rFonts w:ascii="Bookman Old Style" w:hAnsi="Bookman Old Style"/>
        </w:rPr>
      </w:pPr>
      <w:r>
        <w:rPr>
          <w:rFonts w:ascii="Bookman Old Style" w:hAnsi="Bookman Old Style"/>
        </w:rPr>
        <w:t>The costs of distributing bonds are lower in the private market because fewer buyers are involved and the issue isn’t underwritten.</w:t>
      </w:r>
    </w:p>
    <w:p w14:paraId="342D3343" w14:textId="77777777" w:rsidR="00660E55" w:rsidRDefault="00660E55" w:rsidP="00660E55">
      <w:pPr>
        <w:spacing w:after="0" w:line="240" w:lineRule="auto"/>
        <w:jc w:val="both"/>
        <w:rPr>
          <w:rFonts w:ascii="Bookman Old Style" w:hAnsi="Bookman Old Style"/>
        </w:rPr>
      </w:pPr>
    </w:p>
    <w:p w14:paraId="62D049A2" w14:textId="77777777" w:rsidR="00660E55" w:rsidRDefault="00660E55" w:rsidP="00660E55">
      <w:pPr>
        <w:spacing w:after="0" w:line="240" w:lineRule="auto"/>
        <w:jc w:val="both"/>
        <w:rPr>
          <w:rFonts w:ascii="Bookman Old Style" w:hAnsi="Bookman Old Style"/>
        </w:rPr>
      </w:pPr>
      <w:r>
        <w:rPr>
          <w:rFonts w:ascii="Bookman Old Style" w:hAnsi="Bookman Old Style"/>
        </w:rPr>
        <w:t>The interest rates on term loans and private placements are usually higher than those on an equivalent public issue. This reflects the trade-off between a higher interest rate and more flexible arrangements in the event of financial distress as well as the lower costs associated with private placements.</w:t>
      </w:r>
    </w:p>
    <w:p w14:paraId="4CF4C76C" w14:textId="77777777" w:rsidR="00660E55" w:rsidRDefault="00660E55" w:rsidP="00660E55">
      <w:pPr>
        <w:spacing w:after="0" w:line="240" w:lineRule="auto"/>
        <w:jc w:val="both"/>
        <w:rPr>
          <w:rFonts w:ascii="Bookman Old Style" w:hAnsi="Bookman Old Style"/>
        </w:rPr>
      </w:pPr>
    </w:p>
    <w:p w14:paraId="130C1EFE" w14:textId="659348AF" w:rsidR="00660E55" w:rsidRPr="00660E55" w:rsidRDefault="00660E55" w:rsidP="00660E55">
      <w:pPr>
        <w:spacing w:after="0" w:line="240" w:lineRule="auto"/>
        <w:jc w:val="both"/>
        <w:rPr>
          <w:rFonts w:ascii="Bookman Old Style" w:hAnsi="Bookman Old Style"/>
        </w:rPr>
      </w:pPr>
      <w:r>
        <w:rPr>
          <w:rFonts w:ascii="Bookman Old Style" w:hAnsi="Bookman Old Style"/>
        </w:rPr>
        <w:t xml:space="preserve">An important consideration is that the flotation costs associated with selling debt are much less than the costs associated with selling equity. </w:t>
      </w:r>
    </w:p>
    <w:sectPr w:rsidR="00660E55" w:rsidRPr="00660E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406F"/>
    <w:multiLevelType w:val="hybridMultilevel"/>
    <w:tmpl w:val="1194C09A"/>
    <w:lvl w:ilvl="0" w:tplc="BF047E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14158C"/>
    <w:multiLevelType w:val="hybridMultilevel"/>
    <w:tmpl w:val="D2521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C7AF4"/>
    <w:multiLevelType w:val="hybridMultilevel"/>
    <w:tmpl w:val="12BAB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B760E6"/>
    <w:multiLevelType w:val="hybridMultilevel"/>
    <w:tmpl w:val="FD5C4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E57C50"/>
    <w:multiLevelType w:val="hybridMultilevel"/>
    <w:tmpl w:val="7522F4BA"/>
    <w:lvl w:ilvl="0" w:tplc="CF101C28">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392522"/>
    <w:multiLevelType w:val="hybridMultilevel"/>
    <w:tmpl w:val="E2A67470"/>
    <w:lvl w:ilvl="0" w:tplc="BB78A0A8">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BD424F"/>
    <w:multiLevelType w:val="hybridMultilevel"/>
    <w:tmpl w:val="D97AA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08294F"/>
    <w:multiLevelType w:val="hybridMultilevel"/>
    <w:tmpl w:val="45CC19E8"/>
    <w:lvl w:ilvl="0" w:tplc="17B4B25E">
      <w:numFmt w:val="bullet"/>
      <w:lvlText w:val="-"/>
      <w:lvlJc w:val="left"/>
      <w:pPr>
        <w:ind w:left="720" w:hanging="360"/>
      </w:pPr>
      <w:rPr>
        <w:rFonts w:ascii="Bookman Old Style" w:eastAsiaTheme="minorEastAsia" w:hAnsi="Bookman Old Style"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200768"/>
    <w:multiLevelType w:val="hybridMultilevel"/>
    <w:tmpl w:val="8C423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D5585B"/>
    <w:multiLevelType w:val="hybridMultilevel"/>
    <w:tmpl w:val="BCC8C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DF4458"/>
    <w:multiLevelType w:val="hybridMultilevel"/>
    <w:tmpl w:val="4824E4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792947"/>
    <w:multiLevelType w:val="hybridMultilevel"/>
    <w:tmpl w:val="72E661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8149ED"/>
    <w:multiLevelType w:val="hybridMultilevel"/>
    <w:tmpl w:val="DBDC2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2D1E46"/>
    <w:multiLevelType w:val="hybridMultilevel"/>
    <w:tmpl w:val="11E24E6E"/>
    <w:lvl w:ilvl="0" w:tplc="13E6AB4C">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734C49"/>
    <w:multiLevelType w:val="hybridMultilevel"/>
    <w:tmpl w:val="BA9EE0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6B574F"/>
    <w:multiLevelType w:val="hybridMultilevel"/>
    <w:tmpl w:val="81866B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3E07C5"/>
    <w:multiLevelType w:val="hybridMultilevel"/>
    <w:tmpl w:val="D0B68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E62BF3"/>
    <w:multiLevelType w:val="hybridMultilevel"/>
    <w:tmpl w:val="6ED8D366"/>
    <w:lvl w:ilvl="0" w:tplc="00E23CBC">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175EE1"/>
    <w:multiLevelType w:val="hybridMultilevel"/>
    <w:tmpl w:val="EF1CC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2830798"/>
    <w:multiLevelType w:val="hybridMultilevel"/>
    <w:tmpl w:val="E886E9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4B76F2"/>
    <w:multiLevelType w:val="hybridMultilevel"/>
    <w:tmpl w:val="EF3EC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B81754"/>
    <w:multiLevelType w:val="hybridMultilevel"/>
    <w:tmpl w:val="6D3C154C"/>
    <w:lvl w:ilvl="0" w:tplc="EF8ECFE8">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3016C9"/>
    <w:multiLevelType w:val="hybridMultilevel"/>
    <w:tmpl w:val="080CF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ECE687F"/>
    <w:multiLevelType w:val="hybridMultilevel"/>
    <w:tmpl w:val="39827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8"/>
  </w:num>
  <w:num w:numId="4">
    <w:abstractNumId w:val="0"/>
  </w:num>
  <w:num w:numId="5">
    <w:abstractNumId w:val="16"/>
  </w:num>
  <w:num w:numId="6">
    <w:abstractNumId w:val="3"/>
  </w:num>
  <w:num w:numId="7">
    <w:abstractNumId w:val="11"/>
  </w:num>
  <w:num w:numId="8">
    <w:abstractNumId w:val="12"/>
  </w:num>
  <w:num w:numId="9">
    <w:abstractNumId w:val="14"/>
  </w:num>
  <w:num w:numId="10">
    <w:abstractNumId w:val="7"/>
  </w:num>
  <w:num w:numId="11">
    <w:abstractNumId w:val="13"/>
  </w:num>
  <w:num w:numId="12">
    <w:abstractNumId w:val="21"/>
  </w:num>
  <w:num w:numId="13">
    <w:abstractNumId w:val="19"/>
  </w:num>
  <w:num w:numId="14">
    <w:abstractNumId w:val="5"/>
  </w:num>
  <w:num w:numId="15">
    <w:abstractNumId w:val="18"/>
  </w:num>
  <w:num w:numId="16">
    <w:abstractNumId w:val="2"/>
  </w:num>
  <w:num w:numId="17">
    <w:abstractNumId w:val="23"/>
  </w:num>
  <w:num w:numId="18">
    <w:abstractNumId w:val="10"/>
  </w:num>
  <w:num w:numId="19">
    <w:abstractNumId w:val="15"/>
  </w:num>
  <w:num w:numId="20">
    <w:abstractNumId w:val="22"/>
  </w:num>
  <w:num w:numId="21">
    <w:abstractNumId w:val="9"/>
  </w:num>
  <w:num w:numId="22">
    <w:abstractNumId w:val="4"/>
  </w:num>
  <w:num w:numId="23">
    <w:abstractNumId w:val="6"/>
  </w:num>
  <w:num w:numId="24">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35"/>
    <w:rsid w:val="00003328"/>
    <w:rsid w:val="000137D6"/>
    <w:rsid w:val="00021D09"/>
    <w:rsid w:val="00030B77"/>
    <w:rsid w:val="00030B87"/>
    <w:rsid w:val="00030EDF"/>
    <w:rsid w:val="00043B35"/>
    <w:rsid w:val="000450B2"/>
    <w:rsid w:val="0004552A"/>
    <w:rsid w:val="00050D96"/>
    <w:rsid w:val="00053932"/>
    <w:rsid w:val="00056D38"/>
    <w:rsid w:val="000715A0"/>
    <w:rsid w:val="000743C1"/>
    <w:rsid w:val="00082014"/>
    <w:rsid w:val="00085AF7"/>
    <w:rsid w:val="000865CA"/>
    <w:rsid w:val="000867BD"/>
    <w:rsid w:val="000918BC"/>
    <w:rsid w:val="00095171"/>
    <w:rsid w:val="000A0BDB"/>
    <w:rsid w:val="000B5BD5"/>
    <w:rsid w:val="000C1DAF"/>
    <w:rsid w:val="000C7F7A"/>
    <w:rsid w:val="000D3D37"/>
    <w:rsid w:val="000D64B9"/>
    <w:rsid w:val="000E7341"/>
    <w:rsid w:val="000F2146"/>
    <w:rsid w:val="000F45ED"/>
    <w:rsid w:val="00112CB0"/>
    <w:rsid w:val="00124B3D"/>
    <w:rsid w:val="00127CD6"/>
    <w:rsid w:val="00130014"/>
    <w:rsid w:val="00135DCA"/>
    <w:rsid w:val="00136A1D"/>
    <w:rsid w:val="00150FCD"/>
    <w:rsid w:val="00160779"/>
    <w:rsid w:val="0016127D"/>
    <w:rsid w:val="00162A97"/>
    <w:rsid w:val="00166C75"/>
    <w:rsid w:val="0017434D"/>
    <w:rsid w:val="00177B23"/>
    <w:rsid w:val="001801B4"/>
    <w:rsid w:val="00181087"/>
    <w:rsid w:val="001840EF"/>
    <w:rsid w:val="0019279C"/>
    <w:rsid w:val="001935C9"/>
    <w:rsid w:val="0019430A"/>
    <w:rsid w:val="001A2702"/>
    <w:rsid w:val="001A39CF"/>
    <w:rsid w:val="001A7861"/>
    <w:rsid w:val="001A7CB7"/>
    <w:rsid w:val="001B27A2"/>
    <w:rsid w:val="001B52F6"/>
    <w:rsid w:val="001C5003"/>
    <w:rsid w:val="001C7B4E"/>
    <w:rsid w:val="001D0501"/>
    <w:rsid w:val="001D0726"/>
    <w:rsid w:val="001D31E8"/>
    <w:rsid w:val="001E2C6E"/>
    <w:rsid w:val="001E31A6"/>
    <w:rsid w:val="001E34FB"/>
    <w:rsid w:val="001E3ECC"/>
    <w:rsid w:val="001F281F"/>
    <w:rsid w:val="001F79F8"/>
    <w:rsid w:val="00206244"/>
    <w:rsid w:val="002146E2"/>
    <w:rsid w:val="00225C8F"/>
    <w:rsid w:val="00227792"/>
    <w:rsid w:val="00231906"/>
    <w:rsid w:val="0023262C"/>
    <w:rsid w:val="00241C2C"/>
    <w:rsid w:val="00261752"/>
    <w:rsid w:val="00263D28"/>
    <w:rsid w:val="00274AF5"/>
    <w:rsid w:val="00286AC7"/>
    <w:rsid w:val="00296DFF"/>
    <w:rsid w:val="002A38C3"/>
    <w:rsid w:val="002A6A13"/>
    <w:rsid w:val="002B2D30"/>
    <w:rsid w:val="002B4C00"/>
    <w:rsid w:val="002B5431"/>
    <w:rsid w:val="002C317F"/>
    <w:rsid w:val="002C3191"/>
    <w:rsid w:val="002D045E"/>
    <w:rsid w:val="002D6249"/>
    <w:rsid w:val="002E2FB6"/>
    <w:rsid w:val="002E6628"/>
    <w:rsid w:val="002F5B54"/>
    <w:rsid w:val="00304098"/>
    <w:rsid w:val="003206F4"/>
    <w:rsid w:val="00322B52"/>
    <w:rsid w:val="00324282"/>
    <w:rsid w:val="003262D8"/>
    <w:rsid w:val="00335B91"/>
    <w:rsid w:val="003364A3"/>
    <w:rsid w:val="00345D0F"/>
    <w:rsid w:val="003555E1"/>
    <w:rsid w:val="0035742F"/>
    <w:rsid w:val="00362538"/>
    <w:rsid w:val="0038081B"/>
    <w:rsid w:val="003869E2"/>
    <w:rsid w:val="003872F6"/>
    <w:rsid w:val="003C6440"/>
    <w:rsid w:val="003D0CE8"/>
    <w:rsid w:val="003D2B36"/>
    <w:rsid w:val="003D6F63"/>
    <w:rsid w:val="003E04C0"/>
    <w:rsid w:val="003E4309"/>
    <w:rsid w:val="003E653F"/>
    <w:rsid w:val="003F7150"/>
    <w:rsid w:val="003F7226"/>
    <w:rsid w:val="0040266F"/>
    <w:rsid w:val="00407E05"/>
    <w:rsid w:val="00407F62"/>
    <w:rsid w:val="00420F88"/>
    <w:rsid w:val="00430483"/>
    <w:rsid w:val="0043637F"/>
    <w:rsid w:val="00443711"/>
    <w:rsid w:val="00451EAF"/>
    <w:rsid w:val="00456C34"/>
    <w:rsid w:val="00457F0C"/>
    <w:rsid w:val="00475D59"/>
    <w:rsid w:val="004921A1"/>
    <w:rsid w:val="00492BEB"/>
    <w:rsid w:val="004942A8"/>
    <w:rsid w:val="0049782B"/>
    <w:rsid w:val="004A0E2C"/>
    <w:rsid w:val="004C5574"/>
    <w:rsid w:val="004D0503"/>
    <w:rsid w:val="004D39A1"/>
    <w:rsid w:val="004D5709"/>
    <w:rsid w:val="004E052C"/>
    <w:rsid w:val="004E3BC3"/>
    <w:rsid w:val="004E6F43"/>
    <w:rsid w:val="0051134C"/>
    <w:rsid w:val="00521234"/>
    <w:rsid w:val="00522293"/>
    <w:rsid w:val="00522542"/>
    <w:rsid w:val="00527F68"/>
    <w:rsid w:val="00531FE5"/>
    <w:rsid w:val="005451CD"/>
    <w:rsid w:val="00552AF2"/>
    <w:rsid w:val="00553BED"/>
    <w:rsid w:val="00562B40"/>
    <w:rsid w:val="005665D0"/>
    <w:rsid w:val="0056739B"/>
    <w:rsid w:val="005712A7"/>
    <w:rsid w:val="00572648"/>
    <w:rsid w:val="00573B12"/>
    <w:rsid w:val="005823C2"/>
    <w:rsid w:val="0058397F"/>
    <w:rsid w:val="005840DD"/>
    <w:rsid w:val="00587348"/>
    <w:rsid w:val="00592B18"/>
    <w:rsid w:val="005A4019"/>
    <w:rsid w:val="005A71F2"/>
    <w:rsid w:val="005B6F9F"/>
    <w:rsid w:val="005C42E6"/>
    <w:rsid w:val="005C4C23"/>
    <w:rsid w:val="005D2064"/>
    <w:rsid w:val="005E2395"/>
    <w:rsid w:val="005F4DAF"/>
    <w:rsid w:val="005F5770"/>
    <w:rsid w:val="0060310B"/>
    <w:rsid w:val="00603F3D"/>
    <w:rsid w:val="00615A12"/>
    <w:rsid w:val="006222B0"/>
    <w:rsid w:val="00643A83"/>
    <w:rsid w:val="00644DAF"/>
    <w:rsid w:val="00646785"/>
    <w:rsid w:val="00646C7D"/>
    <w:rsid w:val="00647AC5"/>
    <w:rsid w:val="006520B9"/>
    <w:rsid w:val="00652162"/>
    <w:rsid w:val="00660E55"/>
    <w:rsid w:val="00665999"/>
    <w:rsid w:val="00665A61"/>
    <w:rsid w:val="00666B7D"/>
    <w:rsid w:val="00671272"/>
    <w:rsid w:val="00673661"/>
    <w:rsid w:val="00673DA7"/>
    <w:rsid w:val="00675511"/>
    <w:rsid w:val="00675943"/>
    <w:rsid w:val="00676320"/>
    <w:rsid w:val="0069482C"/>
    <w:rsid w:val="00697151"/>
    <w:rsid w:val="006978AE"/>
    <w:rsid w:val="006A0CDF"/>
    <w:rsid w:val="006A2427"/>
    <w:rsid w:val="006A47F6"/>
    <w:rsid w:val="006A565F"/>
    <w:rsid w:val="006B0B3E"/>
    <w:rsid w:val="006B1FD6"/>
    <w:rsid w:val="006B6EB7"/>
    <w:rsid w:val="006C2882"/>
    <w:rsid w:val="006D3052"/>
    <w:rsid w:val="006E2B76"/>
    <w:rsid w:val="006F2196"/>
    <w:rsid w:val="006F2D3A"/>
    <w:rsid w:val="006F3F5D"/>
    <w:rsid w:val="00710DDB"/>
    <w:rsid w:val="00712E8C"/>
    <w:rsid w:val="00715D30"/>
    <w:rsid w:val="007214D7"/>
    <w:rsid w:val="00722018"/>
    <w:rsid w:val="00726E8B"/>
    <w:rsid w:val="00731A20"/>
    <w:rsid w:val="0074421F"/>
    <w:rsid w:val="00751599"/>
    <w:rsid w:val="00756F18"/>
    <w:rsid w:val="007570C0"/>
    <w:rsid w:val="0078016B"/>
    <w:rsid w:val="00781219"/>
    <w:rsid w:val="007856EA"/>
    <w:rsid w:val="00786345"/>
    <w:rsid w:val="00795FC1"/>
    <w:rsid w:val="007978EB"/>
    <w:rsid w:val="007A04F2"/>
    <w:rsid w:val="007A0EA4"/>
    <w:rsid w:val="007A3069"/>
    <w:rsid w:val="007A6FF0"/>
    <w:rsid w:val="007B0572"/>
    <w:rsid w:val="007C309D"/>
    <w:rsid w:val="007C4295"/>
    <w:rsid w:val="007C52C9"/>
    <w:rsid w:val="007C7CDA"/>
    <w:rsid w:val="007D2311"/>
    <w:rsid w:val="007E2AB7"/>
    <w:rsid w:val="007E369A"/>
    <w:rsid w:val="007F08FF"/>
    <w:rsid w:val="008001CA"/>
    <w:rsid w:val="00804768"/>
    <w:rsid w:val="00804DBB"/>
    <w:rsid w:val="00805586"/>
    <w:rsid w:val="00805926"/>
    <w:rsid w:val="008120BC"/>
    <w:rsid w:val="00820988"/>
    <w:rsid w:val="00822249"/>
    <w:rsid w:val="008250CD"/>
    <w:rsid w:val="00830328"/>
    <w:rsid w:val="0083090D"/>
    <w:rsid w:val="00837A05"/>
    <w:rsid w:val="008419A3"/>
    <w:rsid w:val="008436B7"/>
    <w:rsid w:val="008530A3"/>
    <w:rsid w:val="00884F6B"/>
    <w:rsid w:val="0089276B"/>
    <w:rsid w:val="008975D7"/>
    <w:rsid w:val="008A171A"/>
    <w:rsid w:val="008A2F17"/>
    <w:rsid w:val="008A7F56"/>
    <w:rsid w:val="008B2607"/>
    <w:rsid w:val="008B3149"/>
    <w:rsid w:val="008B6189"/>
    <w:rsid w:val="008B725D"/>
    <w:rsid w:val="008C2B41"/>
    <w:rsid w:val="008C379C"/>
    <w:rsid w:val="008C3D84"/>
    <w:rsid w:val="008D6A64"/>
    <w:rsid w:val="008E09D1"/>
    <w:rsid w:val="008F4F87"/>
    <w:rsid w:val="00902983"/>
    <w:rsid w:val="00904467"/>
    <w:rsid w:val="00916ED4"/>
    <w:rsid w:val="00922519"/>
    <w:rsid w:val="00922B24"/>
    <w:rsid w:val="00923D8E"/>
    <w:rsid w:val="0092457E"/>
    <w:rsid w:val="00930F34"/>
    <w:rsid w:val="00930FB5"/>
    <w:rsid w:val="009310A1"/>
    <w:rsid w:val="00934F38"/>
    <w:rsid w:val="00936ACD"/>
    <w:rsid w:val="00943FD5"/>
    <w:rsid w:val="00945DB5"/>
    <w:rsid w:val="00950CCD"/>
    <w:rsid w:val="009550BA"/>
    <w:rsid w:val="0095640A"/>
    <w:rsid w:val="00960D1F"/>
    <w:rsid w:val="00964B18"/>
    <w:rsid w:val="00971525"/>
    <w:rsid w:val="009738EB"/>
    <w:rsid w:val="009A78B3"/>
    <w:rsid w:val="009B4EAC"/>
    <w:rsid w:val="009C2F80"/>
    <w:rsid w:val="009C39D2"/>
    <w:rsid w:val="009C4033"/>
    <w:rsid w:val="009D3DFC"/>
    <w:rsid w:val="009D467B"/>
    <w:rsid w:val="009D577E"/>
    <w:rsid w:val="009E10A1"/>
    <w:rsid w:val="009E28C1"/>
    <w:rsid w:val="009E36DC"/>
    <w:rsid w:val="009F19BF"/>
    <w:rsid w:val="009F51FE"/>
    <w:rsid w:val="009F5499"/>
    <w:rsid w:val="00A00559"/>
    <w:rsid w:val="00A1012D"/>
    <w:rsid w:val="00A12228"/>
    <w:rsid w:val="00A1310B"/>
    <w:rsid w:val="00A2567D"/>
    <w:rsid w:val="00A259F7"/>
    <w:rsid w:val="00A67530"/>
    <w:rsid w:val="00A75A0E"/>
    <w:rsid w:val="00A75CBA"/>
    <w:rsid w:val="00A762F1"/>
    <w:rsid w:val="00A77EDF"/>
    <w:rsid w:val="00A83AA1"/>
    <w:rsid w:val="00A84BCD"/>
    <w:rsid w:val="00A86709"/>
    <w:rsid w:val="00A911EA"/>
    <w:rsid w:val="00A92B06"/>
    <w:rsid w:val="00A9723A"/>
    <w:rsid w:val="00AA211D"/>
    <w:rsid w:val="00AA5EC6"/>
    <w:rsid w:val="00AB63EC"/>
    <w:rsid w:val="00AC1BF3"/>
    <w:rsid w:val="00AC413A"/>
    <w:rsid w:val="00AD0DAE"/>
    <w:rsid w:val="00AE06E8"/>
    <w:rsid w:val="00AE730F"/>
    <w:rsid w:val="00AF0166"/>
    <w:rsid w:val="00AF0A0A"/>
    <w:rsid w:val="00B160A1"/>
    <w:rsid w:val="00B20672"/>
    <w:rsid w:val="00B20CFD"/>
    <w:rsid w:val="00B22003"/>
    <w:rsid w:val="00B25518"/>
    <w:rsid w:val="00B265B1"/>
    <w:rsid w:val="00B2707B"/>
    <w:rsid w:val="00B279DF"/>
    <w:rsid w:val="00B27B9D"/>
    <w:rsid w:val="00B34929"/>
    <w:rsid w:val="00B40799"/>
    <w:rsid w:val="00B42ADB"/>
    <w:rsid w:val="00B54FDE"/>
    <w:rsid w:val="00B617A6"/>
    <w:rsid w:val="00B66019"/>
    <w:rsid w:val="00B72C33"/>
    <w:rsid w:val="00B86ED0"/>
    <w:rsid w:val="00BA5DD9"/>
    <w:rsid w:val="00BD1B17"/>
    <w:rsid w:val="00BD25CE"/>
    <w:rsid w:val="00BD431F"/>
    <w:rsid w:val="00BD659F"/>
    <w:rsid w:val="00BE311A"/>
    <w:rsid w:val="00BF01B4"/>
    <w:rsid w:val="00BF4FEE"/>
    <w:rsid w:val="00C17ADF"/>
    <w:rsid w:val="00C22463"/>
    <w:rsid w:val="00C320E5"/>
    <w:rsid w:val="00C34AC7"/>
    <w:rsid w:val="00C403EB"/>
    <w:rsid w:val="00C43310"/>
    <w:rsid w:val="00C44ED8"/>
    <w:rsid w:val="00C52295"/>
    <w:rsid w:val="00C53E29"/>
    <w:rsid w:val="00C57114"/>
    <w:rsid w:val="00C57D93"/>
    <w:rsid w:val="00C60BAC"/>
    <w:rsid w:val="00C60E3E"/>
    <w:rsid w:val="00C628DD"/>
    <w:rsid w:val="00C63B7C"/>
    <w:rsid w:val="00C70671"/>
    <w:rsid w:val="00C70A72"/>
    <w:rsid w:val="00C70AF4"/>
    <w:rsid w:val="00C84978"/>
    <w:rsid w:val="00C8735E"/>
    <w:rsid w:val="00C92D81"/>
    <w:rsid w:val="00CC3FB6"/>
    <w:rsid w:val="00CD595C"/>
    <w:rsid w:val="00CD75D5"/>
    <w:rsid w:val="00CE29FC"/>
    <w:rsid w:val="00CE65C0"/>
    <w:rsid w:val="00CE7F30"/>
    <w:rsid w:val="00CF1C67"/>
    <w:rsid w:val="00CF32D5"/>
    <w:rsid w:val="00CF48DB"/>
    <w:rsid w:val="00CF64CB"/>
    <w:rsid w:val="00D06B9C"/>
    <w:rsid w:val="00D158E7"/>
    <w:rsid w:val="00D15BD4"/>
    <w:rsid w:val="00D22728"/>
    <w:rsid w:val="00D25143"/>
    <w:rsid w:val="00D35666"/>
    <w:rsid w:val="00D45477"/>
    <w:rsid w:val="00D513CA"/>
    <w:rsid w:val="00D54E35"/>
    <w:rsid w:val="00D54F77"/>
    <w:rsid w:val="00D55EFD"/>
    <w:rsid w:val="00D63CE9"/>
    <w:rsid w:val="00D679B9"/>
    <w:rsid w:val="00D70209"/>
    <w:rsid w:val="00D778FD"/>
    <w:rsid w:val="00D841D7"/>
    <w:rsid w:val="00D95807"/>
    <w:rsid w:val="00D97540"/>
    <w:rsid w:val="00D97605"/>
    <w:rsid w:val="00DA121F"/>
    <w:rsid w:val="00DA129F"/>
    <w:rsid w:val="00DA23ED"/>
    <w:rsid w:val="00DB24DA"/>
    <w:rsid w:val="00DB6316"/>
    <w:rsid w:val="00DC229A"/>
    <w:rsid w:val="00DD2F77"/>
    <w:rsid w:val="00DD6984"/>
    <w:rsid w:val="00DE20DE"/>
    <w:rsid w:val="00DE77A7"/>
    <w:rsid w:val="00DF1ED5"/>
    <w:rsid w:val="00DF3A11"/>
    <w:rsid w:val="00DF6019"/>
    <w:rsid w:val="00E1518E"/>
    <w:rsid w:val="00E2653B"/>
    <w:rsid w:val="00E322B3"/>
    <w:rsid w:val="00E34781"/>
    <w:rsid w:val="00E373BB"/>
    <w:rsid w:val="00E4627E"/>
    <w:rsid w:val="00E47DCF"/>
    <w:rsid w:val="00E516AC"/>
    <w:rsid w:val="00E63F39"/>
    <w:rsid w:val="00E741F7"/>
    <w:rsid w:val="00E74969"/>
    <w:rsid w:val="00E75DE2"/>
    <w:rsid w:val="00E75F37"/>
    <w:rsid w:val="00E80091"/>
    <w:rsid w:val="00E8143D"/>
    <w:rsid w:val="00E83A2B"/>
    <w:rsid w:val="00E92D36"/>
    <w:rsid w:val="00E93778"/>
    <w:rsid w:val="00EA3BAF"/>
    <w:rsid w:val="00EB3231"/>
    <w:rsid w:val="00EB3FAB"/>
    <w:rsid w:val="00EB615E"/>
    <w:rsid w:val="00EB7A27"/>
    <w:rsid w:val="00EC5838"/>
    <w:rsid w:val="00EC7C59"/>
    <w:rsid w:val="00ED085F"/>
    <w:rsid w:val="00ED2503"/>
    <w:rsid w:val="00EE09D2"/>
    <w:rsid w:val="00EE2BDE"/>
    <w:rsid w:val="00EF5712"/>
    <w:rsid w:val="00EF6336"/>
    <w:rsid w:val="00EF7FCA"/>
    <w:rsid w:val="00F06AED"/>
    <w:rsid w:val="00F23F38"/>
    <w:rsid w:val="00F25DB5"/>
    <w:rsid w:val="00F44E50"/>
    <w:rsid w:val="00F65B22"/>
    <w:rsid w:val="00F66B97"/>
    <w:rsid w:val="00F70134"/>
    <w:rsid w:val="00F83EAA"/>
    <w:rsid w:val="00FA1E01"/>
    <w:rsid w:val="00FA28AC"/>
    <w:rsid w:val="00FA6EA6"/>
    <w:rsid w:val="00FB1659"/>
    <w:rsid w:val="00FB2029"/>
    <w:rsid w:val="00FB3790"/>
    <w:rsid w:val="00FC21B4"/>
    <w:rsid w:val="00FC67C8"/>
    <w:rsid w:val="00FE4594"/>
    <w:rsid w:val="00FE46F6"/>
    <w:rsid w:val="00FE5350"/>
    <w:rsid w:val="00FE73AB"/>
    <w:rsid w:val="00FF59FF"/>
    <w:rsid w:val="00FF74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08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2">
    <w:name w:val="Medium Grid 1 Accent 2"/>
    <w:basedOn w:val="TableNormal"/>
    <w:uiPriority w:val="67"/>
    <w:rsid w:val="00CF1C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Caption">
    <w:name w:val="caption"/>
    <w:basedOn w:val="Normal"/>
    <w:next w:val="Normal"/>
    <w:uiPriority w:val="35"/>
    <w:unhideWhenUsed/>
    <w:qFormat/>
    <w:rsid w:val="00231906"/>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B35"/>
    <w:pPr>
      <w:ind w:left="720"/>
      <w:contextualSpacing/>
    </w:pPr>
  </w:style>
  <w:style w:type="table" w:styleId="TableGrid">
    <w:name w:val="Table Grid"/>
    <w:basedOn w:val="TableNormal"/>
    <w:uiPriority w:val="59"/>
    <w:rsid w:val="00043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
    <w:name w:val="Medium Shading 1"/>
    <w:basedOn w:val="TableNormal"/>
    <w:uiPriority w:val="63"/>
    <w:rsid w:val="00043B3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Grid1-Accent5">
    <w:name w:val="Medium Grid 1 Accent 5"/>
    <w:basedOn w:val="TableNormal"/>
    <w:uiPriority w:val="67"/>
    <w:rsid w:val="00FE459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DarkList-Accent3">
    <w:name w:val="Dark List Accent 3"/>
    <w:basedOn w:val="TableNormal"/>
    <w:uiPriority w:val="70"/>
    <w:rsid w:val="009550BA"/>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olorfulShading">
    <w:name w:val="Colorful Shading"/>
    <w:basedOn w:val="TableNormal"/>
    <w:uiPriority w:val="71"/>
    <w:rsid w:val="009550BA"/>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Grid-Accent5">
    <w:name w:val="Colorful Grid Accent 5"/>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3">
    <w:name w:val="Colorful Grid Accent 3"/>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Grid-Accent1">
    <w:name w:val="Colorful Grid Accent 1"/>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
    <w:name w:val="Colorful Grid"/>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2">
    <w:name w:val="Colorful Grid Accent 2"/>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4">
    <w:name w:val="Colorful Grid Accent 4"/>
    <w:basedOn w:val="TableNormal"/>
    <w:uiPriority w:val="73"/>
    <w:rsid w:val="009550B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F7013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character" w:styleId="Strong">
    <w:name w:val="Strong"/>
    <w:basedOn w:val="DefaultParagraphFont"/>
    <w:uiPriority w:val="22"/>
    <w:qFormat/>
    <w:rsid w:val="00E516AC"/>
    <w:rPr>
      <w:b/>
      <w:bCs/>
    </w:rPr>
  </w:style>
  <w:style w:type="table" w:styleId="LightShading-Accent5">
    <w:name w:val="Light Shading Accent 5"/>
    <w:basedOn w:val="TableNormal"/>
    <w:uiPriority w:val="60"/>
    <w:rsid w:val="00B20CF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Shading2-Accent6">
    <w:name w:val="Medium Shading 2 Accent 6"/>
    <w:basedOn w:val="TableNormal"/>
    <w:uiPriority w:val="64"/>
    <w:rsid w:val="00B20CF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Accent4">
    <w:name w:val="Medium Grid 1 Accent 4"/>
    <w:basedOn w:val="TableNormal"/>
    <w:uiPriority w:val="67"/>
    <w:rsid w:val="00B20CFD"/>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BalloonText">
    <w:name w:val="Balloon Text"/>
    <w:basedOn w:val="Normal"/>
    <w:link w:val="BalloonTextChar"/>
    <w:uiPriority w:val="99"/>
    <w:semiHidden/>
    <w:unhideWhenUsed/>
    <w:rsid w:val="00B20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CFD"/>
    <w:rPr>
      <w:rFonts w:ascii="Tahoma" w:hAnsi="Tahoma" w:cs="Tahoma"/>
      <w:sz w:val="16"/>
      <w:szCs w:val="16"/>
    </w:rPr>
  </w:style>
  <w:style w:type="table" w:styleId="MediumShading2-Accent5">
    <w:name w:val="Medium Shading 2 Accent 5"/>
    <w:basedOn w:val="TableNormal"/>
    <w:uiPriority w:val="64"/>
    <w:rsid w:val="007A6F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Accent6">
    <w:name w:val="Light Grid Accent 6"/>
    <w:basedOn w:val="TableNormal"/>
    <w:uiPriority w:val="62"/>
    <w:rsid w:val="00C403EB"/>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List1-Accent6">
    <w:name w:val="Medium List 1 Accent 6"/>
    <w:basedOn w:val="TableNormal"/>
    <w:uiPriority w:val="65"/>
    <w:rsid w:val="00C403EB"/>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Accent6">
    <w:name w:val="Medium List 2 Accent 6"/>
    <w:basedOn w:val="TableNormal"/>
    <w:uiPriority w:val="66"/>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rsid w:val="00C403E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Accent6">
    <w:name w:val="Medium Grid 2 Accent 6"/>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403E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1">
    <w:name w:val="Medium Grid 1"/>
    <w:basedOn w:val="TableNormal"/>
    <w:uiPriority w:val="67"/>
    <w:rsid w:val="002146E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styleId="PlaceholderText">
    <w:name w:val="Placeholder Text"/>
    <w:basedOn w:val="DefaultParagraphFont"/>
    <w:uiPriority w:val="99"/>
    <w:semiHidden/>
    <w:rsid w:val="00923D8E"/>
    <w:rPr>
      <w:color w:val="808080"/>
    </w:rPr>
  </w:style>
  <w:style w:type="table" w:styleId="LightShading-Accent2">
    <w:name w:val="Light Shading Accent 2"/>
    <w:basedOn w:val="TableNormal"/>
    <w:uiPriority w:val="60"/>
    <w:rsid w:val="007978EB"/>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0B5B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0B5B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2">
    <w:name w:val="Light List Accent 2"/>
    <w:basedOn w:val="TableNormal"/>
    <w:uiPriority w:val="61"/>
    <w:rsid w:val="000B5B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
    <w:name w:val="Light Shading"/>
    <w:basedOn w:val="TableNormal"/>
    <w:uiPriority w:val="60"/>
    <w:rsid w:val="001E31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9D577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Accent4">
    <w:name w:val="Light Shading Accent 4"/>
    <w:basedOn w:val="TableNormal"/>
    <w:uiPriority w:val="60"/>
    <w:rsid w:val="00B617A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Grid1-Accent3">
    <w:name w:val="Medium Grid 1 Accent 3"/>
    <w:basedOn w:val="TableNormal"/>
    <w:uiPriority w:val="67"/>
    <w:rsid w:val="00B617A6"/>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LightList-Accent1">
    <w:name w:val="Light List Accent 1"/>
    <w:basedOn w:val="TableNormal"/>
    <w:uiPriority w:val="61"/>
    <w:rsid w:val="0008201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1-Accent2">
    <w:name w:val="Medium Grid 1 Accent 2"/>
    <w:basedOn w:val="TableNormal"/>
    <w:uiPriority w:val="67"/>
    <w:rsid w:val="00CF1C6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styleId="Caption">
    <w:name w:val="caption"/>
    <w:basedOn w:val="Normal"/>
    <w:next w:val="Normal"/>
    <w:uiPriority w:val="35"/>
    <w:unhideWhenUsed/>
    <w:qFormat/>
    <w:rsid w:val="00231906"/>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40970">
      <w:bodyDiv w:val="1"/>
      <w:marLeft w:val="0"/>
      <w:marRight w:val="0"/>
      <w:marTop w:val="0"/>
      <w:marBottom w:val="0"/>
      <w:divBdr>
        <w:top w:val="none" w:sz="0" w:space="0" w:color="auto"/>
        <w:left w:val="none" w:sz="0" w:space="0" w:color="auto"/>
        <w:bottom w:val="none" w:sz="0" w:space="0" w:color="auto"/>
        <w:right w:val="none" w:sz="0" w:space="0" w:color="auto"/>
      </w:divBdr>
    </w:div>
    <w:div w:id="354120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F2DF9-DDC2-4741-9A40-98D95CA13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6116</Words>
  <Characters>34866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Domes</dc:creator>
  <cp:lastModifiedBy>Andrea Domes</cp:lastModifiedBy>
  <cp:revision>2</cp:revision>
  <dcterms:created xsi:type="dcterms:W3CDTF">2014-11-21T19:41:00Z</dcterms:created>
  <dcterms:modified xsi:type="dcterms:W3CDTF">2014-11-21T19:41:00Z</dcterms:modified>
</cp:coreProperties>
</file>