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173CEE5C" w:rsidR="00043B35" w:rsidRDefault="00D35666" w:rsidP="00322B52">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1F79F8">
        <w:rPr>
          <w:rFonts w:ascii="Bookman Old Style" w:hAnsi="Bookman Old Style"/>
          <w:b/>
          <w:sz w:val="24"/>
          <w:u w:val="single"/>
        </w:rPr>
        <w:t>14</w:t>
      </w:r>
    </w:p>
    <w:p w14:paraId="4503D167" w14:textId="329D26DE" w:rsidR="00552AF2" w:rsidRDefault="001F79F8" w:rsidP="00322B52">
      <w:pPr>
        <w:spacing w:after="0" w:line="240" w:lineRule="auto"/>
        <w:contextualSpacing/>
        <w:jc w:val="center"/>
        <w:rPr>
          <w:rFonts w:ascii="Bookman Old Style" w:hAnsi="Bookman Old Style"/>
          <w:b/>
          <w:sz w:val="24"/>
          <w:u w:val="single"/>
        </w:rPr>
      </w:pPr>
      <w:r>
        <w:rPr>
          <w:rFonts w:ascii="Bookman Old Style" w:hAnsi="Bookman Old Style"/>
          <w:b/>
          <w:sz w:val="24"/>
          <w:u w:val="single"/>
        </w:rPr>
        <w:t>Cost of Capital</w:t>
      </w:r>
    </w:p>
    <w:p w14:paraId="4DAD8FCA" w14:textId="77777777" w:rsidR="00241C2C" w:rsidRDefault="00241C2C" w:rsidP="00322B52">
      <w:pPr>
        <w:spacing w:after="0" w:line="240" w:lineRule="auto"/>
        <w:contextualSpacing/>
        <w:jc w:val="center"/>
        <w:rPr>
          <w:rFonts w:ascii="Bookman Old Style" w:hAnsi="Bookman Old Style"/>
          <w:b/>
          <w:sz w:val="24"/>
          <w:u w:val="single"/>
        </w:rPr>
      </w:pPr>
    </w:p>
    <w:p w14:paraId="5D70DB76" w14:textId="3D1F2167" w:rsidR="00712E8C" w:rsidRDefault="00712E8C" w:rsidP="00322B52">
      <w:pPr>
        <w:spacing w:after="0" w:line="240" w:lineRule="auto"/>
        <w:contextualSpacing/>
        <w:jc w:val="both"/>
        <w:rPr>
          <w:rFonts w:ascii="Bookman Old Style" w:hAnsi="Bookman Old Style"/>
        </w:rPr>
      </w:pPr>
      <w:r>
        <w:rPr>
          <w:rFonts w:ascii="Bookman Old Style" w:hAnsi="Bookman Old Style"/>
        </w:rPr>
        <w:t>You’re the president of a large company – the first decision you face is whether or not to go ahead with a plan to renovate the company’s warehouse distribution system.</w:t>
      </w:r>
    </w:p>
    <w:p w14:paraId="1BB9AC99" w14:textId="57CA060A" w:rsidR="00712E8C" w:rsidRDefault="00712E8C" w:rsidP="00322B52">
      <w:pPr>
        <w:spacing w:after="0" w:line="240" w:lineRule="auto"/>
        <w:contextualSpacing/>
        <w:jc w:val="both"/>
        <w:rPr>
          <w:rFonts w:ascii="Bookman Old Style" w:hAnsi="Bookman Old Style"/>
        </w:rPr>
      </w:pPr>
      <w:r>
        <w:rPr>
          <w:rFonts w:ascii="Bookman Old Style" w:hAnsi="Bookman Old Style"/>
        </w:rPr>
        <w:br/>
        <w:t>This plan will cost the company $50 million and it’s expected to save $12 million per year after taxes over the next 6 years.</w:t>
      </w:r>
    </w:p>
    <w:p w14:paraId="6E23358B" w14:textId="77777777" w:rsidR="00712E8C" w:rsidRDefault="00712E8C" w:rsidP="00322B52">
      <w:pPr>
        <w:spacing w:after="0" w:line="240" w:lineRule="auto"/>
        <w:contextualSpacing/>
        <w:jc w:val="both"/>
        <w:rPr>
          <w:rFonts w:ascii="Bookman Old Style" w:hAnsi="Bookman Old Style"/>
        </w:rPr>
      </w:pPr>
    </w:p>
    <w:p w14:paraId="7C5680E0" w14:textId="792BB0ED" w:rsidR="00712E8C" w:rsidRDefault="00712E8C" w:rsidP="00322B52">
      <w:pPr>
        <w:spacing w:after="0" w:line="240" w:lineRule="auto"/>
        <w:contextualSpacing/>
        <w:jc w:val="both"/>
        <w:rPr>
          <w:rFonts w:ascii="Bookman Old Style" w:hAnsi="Bookman Old Style"/>
        </w:rPr>
      </w:pPr>
      <w:r>
        <w:rPr>
          <w:rFonts w:ascii="Bookman Old Style" w:hAnsi="Bookman Old Style"/>
        </w:rPr>
        <w:t xml:space="preserve">This is a capital budgeting problem – to address it, you’d determine the relevant </w:t>
      </w:r>
      <w:r w:rsidRPr="00712E8C">
        <w:rPr>
          <w:rFonts w:ascii="Bookman Old Style" w:hAnsi="Bookman Old Style"/>
          <w:i/>
        </w:rPr>
        <w:t>cash flows</w:t>
      </w:r>
      <w:r>
        <w:rPr>
          <w:rFonts w:ascii="Bookman Old Style" w:hAnsi="Bookman Old Style"/>
        </w:rPr>
        <w:t xml:space="preserve">, discount them and if the </w:t>
      </w:r>
      <w:r w:rsidRPr="00712E8C">
        <w:rPr>
          <w:rFonts w:ascii="Bookman Old Style" w:hAnsi="Bookman Old Style"/>
          <w:i/>
        </w:rPr>
        <w:t>NPV</w:t>
      </w:r>
      <w:r>
        <w:rPr>
          <w:rFonts w:ascii="Bookman Old Style" w:hAnsi="Bookman Old Style"/>
        </w:rPr>
        <w:t xml:space="preserve"> is positive, you’d take on the project. What should you use as the discount rate?</w:t>
      </w:r>
    </w:p>
    <w:p w14:paraId="1CB8D0B7" w14:textId="77777777" w:rsidR="00712E8C" w:rsidRDefault="00712E8C" w:rsidP="00322B52">
      <w:pPr>
        <w:spacing w:after="0" w:line="240" w:lineRule="auto"/>
        <w:contextualSpacing/>
        <w:jc w:val="both"/>
        <w:rPr>
          <w:rFonts w:ascii="Bookman Old Style" w:hAnsi="Bookman Old Style"/>
        </w:rPr>
      </w:pPr>
    </w:p>
    <w:p w14:paraId="1C2F79FF" w14:textId="6158705D" w:rsidR="00712E8C" w:rsidRDefault="00712E8C" w:rsidP="00322B52">
      <w:pPr>
        <w:spacing w:after="0" w:line="240" w:lineRule="auto"/>
        <w:contextualSpacing/>
        <w:jc w:val="both"/>
        <w:rPr>
          <w:rFonts w:ascii="Bookman Old Style" w:hAnsi="Bookman Old Style"/>
        </w:rPr>
      </w:pPr>
      <w:r>
        <w:rPr>
          <w:rFonts w:ascii="Bookman Old Style" w:hAnsi="Bookman Old Style"/>
        </w:rPr>
        <w:t xml:space="preserve">From risk &amp; return, you know the correct discount rate depends on the riskiness of the warehouse distribution </w:t>
      </w:r>
      <w:bookmarkStart w:id="0" w:name="_GoBack"/>
      <w:bookmarkEnd w:id="0"/>
      <w:r>
        <w:rPr>
          <w:rFonts w:ascii="Bookman Old Style" w:hAnsi="Bookman Old Style"/>
        </w:rPr>
        <w:t xml:space="preserve">system. The new project would only have a positive NPV is its returns exceed what the financial market offers of investments of similar risk – this is called </w:t>
      </w:r>
      <w:r>
        <w:rPr>
          <w:rFonts w:ascii="Bookman Old Style" w:hAnsi="Bookman Old Style"/>
          <w:u w:val="single"/>
        </w:rPr>
        <w:t>minimum required return the cost of capital</w:t>
      </w:r>
      <w:r>
        <w:rPr>
          <w:rFonts w:ascii="Bookman Old Style" w:hAnsi="Bookman Old Style"/>
        </w:rPr>
        <w:t xml:space="preserve"> associated with the project.</w:t>
      </w:r>
    </w:p>
    <w:p w14:paraId="66518B43" w14:textId="77777777" w:rsidR="00712E8C" w:rsidRDefault="00712E8C" w:rsidP="00322B52">
      <w:pPr>
        <w:spacing w:after="0" w:line="240" w:lineRule="auto"/>
        <w:contextualSpacing/>
        <w:jc w:val="both"/>
        <w:rPr>
          <w:rFonts w:ascii="Bookman Old Style" w:hAnsi="Bookman Old Style"/>
        </w:rPr>
      </w:pPr>
    </w:p>
    <w:p w14:paraId="18DB96A0" w14:textId="7E28BC62" w:rsidR="00712E8C" w:rsidRDefault="00712E8C" w:rsidP="00322B52">
      <w:pPr>
        <w:spacing w:after="0" w:line="240" w:lineRule="auto"/>
        <w:contextualSpacing/>
        <w:jc w:val="both"/>
        <w:rPr>
          <w:rFonts w:ascii="Bookman Old Style" w:hAnsi="Bookman Old Style"/>
        </w:rPr>
      </w:pPr>
      <w:r>
        <w:rPr>
          <w:rFonts w:ascii="Bookman Old Style" w:hAnsi="Bookman Old Style"/>
        </w:rPr>
        <w:t>So, as president, you have to look at the returns that investors expect to earn on</w:t>
      </w:r>
      <w:r w:rsidR="0060310B">
        <w:rPr>
          <w:rFonts w:ascii="Bookman Old Style" w:hAnsi="Bookman Old Style"/>
        </w:rPr>
        <w:t xml:space="preserve"> the securities represented in the pool of funds that would finance the project. Then you’d use this information to come to an estimate of the project’s cost of capital.</w:t>
      </w:r>
    </w:p>
    <w:p w14:paraId="23D28AC1" w14:textId="77777777" w:rsidR="0060310B" w:rsidRDefault="0060310B" w:rsidP="00322B52">
      <w:pPr>
        <w:spacing w:after="0" w:line="240" w:lineRule="auto"/>
        <w:contextualSpacing/>
        <w:jc w:val="both"/>
        <w:rPr>
          <w:rFonts w:ascii="Bookman Old Style" w:hAnsi="Bookman Old Style"/>
        </w:rPr>
      </w:pPr>
    </w:p>
    <w:p w14:paraId="4F40A5E2" w14:textId="3CEDEFCE" w:rsidR="0060310B" w:rsidRDefault="0060310B" w:rsidP="00322B52">
      <w:pPr>
        <w:spacing w:after="0" w:line="240" w:lineRule="auto"/>
        <w:contextualSpacing/>
        <w:jc w:val="both"/>
        <w:rPr>
          <w:rFonts w:ascii="Bookman Old Style" w:hAnsi="Bookman Old Style"/>
        </w:rPr>
      </w:pPr>
      <w:r>
        <w:rPr>
          <w:rFonts w:ascii="Bookman Old Style" w:hAnsi="Bookman Old Style"/>
        </w:rPr>
        <w:t>We have to examine different concepts – the most important being the weighted average cost of capital (WACC) – this is the cost of capital for the firm as a whole and it can be interpreted as the required return on the overall firm.</w:t>
      </w:r>
    </w:p>
    <w:p w14:paraId="183B7B17" w14:textId="77777777" w:rsidR="0060310B" w:rsidRDefault="0060310B" w:rsidP="00322B52">
      <w:pPr>
        <w:spacing w:after="0" w:line="240" w:lineRule="auto"/>
        <w:contextualSpacing/>
        <w:jc w:val="both"/>
        <w:rPr>
          <w:rFonts w:ascii="Bookman Old Style" w:hAnsi="Bookman Old Style"/>
        </w:rPr>
      </w:pPr>
    </w:p>
    <w:p w14:paraId="0F15927F" w14:textId="0FAB2698" w:rsidR="0060310B" w:rsidRDefault="0060310B" w:rsidP="00322B52">
      <w:pPr>
        <w:spacing w:after="0" w:line="240" w:lineRule="auto"/>
        <w:contextualSpacing/>
        <w:jc w:val="both"/>
        <w:rPr>
          <w:rFonts w:ascii="Bookman Old Style" w:hAnsi="Bookman Old Style"/>
        </w:rPr>
      </w:pPr>
      <w:r>
        <w:rPr>
          <w:rFonts w:ascii="Bookman Old Style" w:hAnsi="Bookman Old Style"/>
        </w:rPr>
        <w:t>In looking at WACC, we know that a firm can raise capital in many differ ways and that these different forms of raising capital can have different costs associated with them.</w:t>
      </w:r>
    </w:p>
    <w:p w14:paraId="602F3FB0" w14:textId="77777777" w:rsidR="0060310B" w:rsidRDefault="0060310B" w:rsidP="00322B52">
      <w:pPr>
        <w:spacing w:after="0" w:line="240" w:lineRule="auto"/>
        <w:contextualSpacing/>
        <w:jc w:val="both"/>
        <w:rPr>
          <w:rFonts w:ascii="Bookman Old Style" w:hAnsi="Bookman Old Style"/>
        </w:rPr>
      </w:pPr>
    </w:p>
    <w:p w14:paraId="33F45F06" w14:textId="2AF6296F" w:rsidR="0060310B" w:rsidRDefault="0060310B" w:rsidP="00322B52">
      <w:pPr>
        <w:spacing w:after="0" w:line="240" w:lineRule="auto"/>
        <w:contextualSpacing/>
        <w:jc w:val="both"/>
        <w:rPr>
          <w:rFonts w:ascii="Bookman Old Style" w:hAnsi="Bookman Old Style"/>
        </w:rPr>
      </w:pPr>
      <w:r>
        <w:rPr>
          <w:rFonts w:ascii="Bookman Old Style" w:hAnsi="Bookman Old Style"/>
        </w:rPr>
        <w:t>Taxes are also an important consideration in determining the required return on an investment – we always want to value the after-tax cash flows from projects.</w:t>
      </w:r>
    </w:p>
    <w:p w14:paraId="7052939F" w14:textId="77777777" w:rsidR="0060310B" w:rsidRDefault="0060310B" w:rsidP="00322B52">
      <w:pPr>
        <w:spacing w:after="0" w:line="240" w:lineRule="auto"/>
        <w:contextualSpacing/>
        <w:jc w:val="both"/>
        <w:rPr>
          <w:rFonts w:ascii="Bookman Old Style" w:hAnsi="Bookman Old Style"/>
        </w:rPr>
      </w:pPr>
    </w:p>
    <w:p w14:paraId="40A045BD" w14:textId="77777777" w:rsidR="0060310B" w:rsidRDefault="0060310B" w:rsidP="00322B52">
      <w:pPr>
        <w:spacing w:after="0" w:line="240" w:lineRule="auto"/>
        <w:contextualSpacing/>
        <w:jc w:val="both"/>
        <w:rPr>
          <w:rFonts w:ascii="Bookman Old Style" w:hAnsi="Bookman Old Style"/>
        </w:rPr>
      </w:pPr>
    </w:p>
    <w:p w14:paraId="5FA04943" w14:textId="232774DF" w:rsidR="0060310B" w:rsidRDefault="0060310B" w:rsidP="00322B52">
      <w:pPr>
        <w:spacing w:after="0" w:line="240" w:lineRule="auto"/>
        <w:contextualSpacing/>
        <w:jc w:val="center"/>
        <w:rPr>
          <w:rFonts w:ascii="Bookman Old Style" w:hAnsi="Bookman Old Style"/>
        </w:rPr>
      </w:pPr>
      <w:r>
        <w:rPr>
          <w:rFonts w:ascii="Bookman Old Style" w:hAnsi="Bookman Old Style"/>
          <w:b/>
          <w:u w:val="single"/>
        </w:rPr>
        <w:t>THE COST OF CAPITAL: PRELIMINARIES</w:t>
      </w:r>
    </w:p>
    <w:p w14:paraId="3BBB4735" w14:textId="77777777" w:rsidR="0060310B" w:rsidRDefault="0060310B" w:rsidP="00322B52">
      <w:pPr>
        <w:spacing w:after="0" w:line="240" w:lineRule="auto"/>
        <w:contextualSpacing/>
        <w:jc w:val="both"/>
        <w:rPr>
          <w:rFonts w:ascii="Bookman Old Style" w:hAnsi="Bookman Old Style"/>
        </w:rPr>
      </w:pPr>
    </w:p>
    <w:p w14:paraId="1AA79EF0" w14:textId="25D1270A" w:rsidR="0060310B" w:rsidRDefault="0060310B" w:rsidP="00322B52">
      <w:pPr>
        <w:spacing w:after="0" w:line="240" w:lineRule="auto"/>
        <w:contextualSpacing/>
        <w:jc w:val="both"/>
        <w:rPr>
          <w:rFonts w:ascii="Bookman Old Style" w:hAnsi="Bookman Old Style"/>
        </w:rPr>
      </w:pPr>
      <w:r>
        <w:rPr>
          <w:rFonts w:ascii="Bookman Old Style" w:hAnsi="Bookman Old Style"/>
        </w:rPr>
        <w:t>We looked at the SML line and how it related expected returns on securities and their systematic risk. We also concentrated on how the risky returns from buying securities looked from an investor’s/shareholder’s viewpoint – this helped us understand more about the alternatives available to an investor in the capital markets.</w:t>
      </w:r>
    </w:p>
    <w:p w14:paraId="28B0E86B" w14:textId="77777777" w:rsidR="0060310B" w:rsidRDefault="0060310B" w:rsidP="00322B52">
      <w:pPr>
        <w:spacing w:after="0" w:line="240" w:lineRule="auto"/>
        <w:contextualSpacing/>
        <w:jc w:val="both"/>
        <w:rPr>
          <w:rFonts w:ascii="Bookman Old Style" w:hAnsi="Bookman Old Style"/>
        </w:rPr>
      </w:pPr>
    </w:p>
    <w:p w14:paraId="63D38020" w14:textId="79894C73" w:rsidR="0060310B" w:rsidRDefault="0060310B" w:rsidP="00322B52">
      <w:pPr>
        <w:spacing w:after="0" w:line="240" w:lineRule="auto"/>
        <w:contextualSpacing/>
        <w:jc w:val="both"/>
        <w:rPr>
          <w:rFonts w:ascii="Bookman Old Style" w:hAnsi="Bookman Old Style"/>
        </w:rPr>
      </w:pPr>
      <w:r>
        <w:rPr>
          <w:rFonts w:ascii="Bookman Old Style" w:hAnsi="Bookman Old Style"/>
        </w:rPr>
        <w:t>Now we look closer at the other side of the problem – how these returns and securities look from the companies viewpoint.</w:t>
      </w:r>
    </w:p>
    <w:p w14:paraId="5D7F5914" w14:textId="77777777" w:rsidR="0060310B" w:rsidRDefault="0060310B" w:rsidP="00322B52">
      <w:pPr>
        <w:spacing w:after="0" w:line="240" w:lineRule="auto"/>
        <w:contextualSpacing/>
        <w:jc w:val="both"/>
        <w:rPr>
          <w:rFonts w:ascii="Bookman Old Style" w:hAnsi="Bookman Old Style"/>
        </w:rPr>
      </w:pPr>
    </w:p>
    <w:p w14:paraId="2346BF1B" w14:textId="2CEFCCD4" w:rsidR="0060310B" w:rsidRDefault="0060310B" w:rsidP="006F2196">
      <w:pPr>
        <w:pStyle w:val="ListParagraph"/>
        <w:numPr>
          <w:ilvl w:val="0"/>
          <w:numId w:val="1"/>
        </w:numPr>
        <w:spacing w:after="0" w:line="240" w:lineRule="auto"/>
        <w:jc w:val="both"/>
        <w:rPr>
          <w:rFonts w:ascii="Bookman Old Style" w:hAnsi="Bookman Old Style"/>
        </w:rPr>
      </w:pPr>
      <w:r>
        <w:rPr>
          <w:rFonts w:ascii="Bookman Old Style" w:hAnsi="Bookman Old Style"/>
        </w:rPr>
        <w:t>The return that an investor in a security receives is the cost of that security to the company that issued it</w:t>
      </w:r>
    </w:p>
    <w:p w14:paraId="26D74E9E" w14:textId="77777777" w:rsidR="0060310B" w:rsidRDefault="0060310B" w:rsidP="00322B52">
      <w:pPr>
        <w:spacing w:after="0" w:line="240" w:lineRule="auto"/>
        <w:jc w:val="both"/>
        <w:rPr>
          <w:rFonts w:ascii="Bookman Old Style" w:hAnsi="Bookman Old Style"/>
        </w:rPr>
      </w:pPr>
    </w:p>
    <w:p w14:paraId="34F1D161" w14:textId="77777777" w:rsidR="0060310B" w:rsidRDefault="0060310B" w:rsidP="00322B52">
      <w:pPr>
        <w:spacing w:after="0" w:line="240" w:lineRule="auto"/>
        <w:jc w:val="both"/>
        <w:rPr>
          <w:rFonts w:ascii="Bookman Old Style" w:hAnsi="Bookman Old Style"/>
        </w:rPr>
      </w:pPr>
    </w:p>
    <w:p w14:paraId="6850CB82" w14:textId="77777777" w:rsidR="0060310B" w:rsidRDefault="0060310B" w:rsidP="00322B52">
      <w:pPr>
        <w:spacing w:after="0" w:line="240" w:lineRule="auto"/>
        <w:jc w:val="both"/>
        <w:rPr>
          <w:rFonts w:ascii="Bookman Old Style" w:hAnsi="Bookman Old Style"/>
          <w:b/>
          <w:u w:val="single"/>
        </w:rPr>
      </w:pPr>
    </w:p>
    <w:p w14:paraId="3BFA3840" w14:textId="094CCA11" w:rsidR="0060310B" w:rsidRDefault="0060310B" w:rsidP="00322B52">
      <w:pPr>
        <w:spacing w:after="0" w:line="240" w:lineRule="auto"/>
        <w:jc w:val="both"/>
        <w:rPr>
          <w:rFonts w:ascii="Bookman Old Style" w:hAnsi="Bookman Old Style"/>
        </w:rPr>
      </w:pPr>
      <w:r>
        <w:rPr>
          <w:rFonts w:ascii="Bookman Old Style" w:hAnsi="Bookman Old Style"/>
          <w:b/>
          <w:u w:val="single"/>
        </w:rPr>
        <w:lastRenderedPageBreak/>
        <w:t>REQUIRED RETURN VS COST OF CAPITAL</w:t>
      </w:r>
    </w:p>
    <w:p w14:paraId="61F0A758" w14:textId="4977AB46" w:rsidR="0060310B" w:rsidRDefault="0060310B" w:rsidP="00322B52">
      <w:pPr>
        <w:spacing w:after="0" w:line="240" w:lineRule="auto"/>
        <w:jc w:val="both"/>
        <w:rPr>
          <w:rFonts w:ascii="Bookman Old Style" w:hAnsi="Bookman Old Style"/>
        </w:rPr>
      </w:pPr>
      <w:r>
        <w:rPr>
          <w:rFonts w:ascii="Bookman Old Style" w:hAnsi="Bookman Old Style"/>
        </w:rPr>
        <w:t>When we say the required return on an investment is 10%, we mean that the investment has a positive NPV only if its returns exceed 10%.</w:t>
      </w:r>
    </w:p>
    <w:p w14:paraId="7E9C33AF" w14:textId="77777777" w:rsidR="0060310B" w:rsidRDefault="0060310B" w:rsidP="00322B52">
      <w:pPr>
        <w:spacing w:after="0" w:line="240" w:lineRule="auto"/>
        <w:jc w:val="both"/>
        <w:rPr>
          <w:rFonts w:ascii="Bookman Old Style" w:hAnsi="Bookman Old Style"/>
        </w:rPr>
      </w:pPr>
    </w:p>
    <w:p w14:paraId="0EF26916" w14:textId="26D9684F" w:rsidR="0060310B" w:rsidRDefault="0060310B" w:rsidP="00322B52">
      <w:pPr>
        <w:spacing w:after="0" w:line="240" w:lineRule="auto"/>
        <w:jc w:val="both"/>
        <w:rPr>
          <w:rFonts w:ascii="Bookman Old Style" w:hAnsi="Bookman Old Style"/>
        </w:rPr>
      </w:pPr>
      <w:r>
        <w:rPr>
          <w:rFonts w:ascii="Bookman Old Style" w:hAnsi="Bookman Old Style"/>
        </w:rPr>
        <w:t xml:space="preserve">Another way to interpret the required return is to see that the firm has to earn 10% on the investment just to compensate their investors for using the capital that was needed to finance the project </w:t>
      </w:r>
      <w:r w:rsidRPr="0060310B">
        <w:rPr>
          <w:rFonts w:ascii="Bookman Old Style" w:hAnsi="Bookman Old Style"/>
        </w:rPr>
        <w:sym w:font="Wingdings" w:char="F0E0"/>
      </w:r>
      <w:r>
        <w:rPr>
          <w:rFonts w:ascii="Bookman Old Style" w:hAnsi="Bookman Old Style"/>
        </w:rPr>
        <w:t xml:space="preserve"> this is why we can also say that 10% is the cost of capital associated with the investment.</w:t>
      </w:r>
    </w:p>
    <w:p w14:paraId="28D24CCF" w14:textId="77777777" w:rsidR="0060310B" w:rsidRDefault="0060310B" w:rsidP="00322B52">
      <w:pPr>
        <w:spacing w:after="0" w:line="240" w:lineRule="auto"/>
        <w:jc w:val="both"/>
        <w:rPr>
          <w:rFonts w:ascii="Bookman Old Style" w:hAnsi="Bookman Old Style"/>
        </w:rPr>
      </w:pPr>
    </w:p>
    <w:p w14:paraId="7D8360A2" w14:textId="341F2110" w:rsidR="0060310B" w:rsidRDefault="0060310B" w:rsidP="00322B52">
      <w:pPr>
        <w:spacing w:after="0" w:line="240" w:lineRule="auto"/>
        <w:jc w:val="both"/>
        <w:rPr>
          <w:rFonts w:ascii="Bookman Old Style" w:hAnsi="Bookman Old Style"/>
        </w:rPr>
      </w:pPr>
      <w:r>
        <w:rPr>
          <w:rFonts w:ascii="Bookman Old Style" w:hAnsi="Bookman Old Style"/>
          <w:i/>
          <w:u w:val="single"/>
        </w:rPr>
        <w:t>Ex.:</w:t>
      </w:r>
    </w:p>
    <w:p w14:paraId="2944202E" w14:textId="7228F369" w:rsidR="0060310B" w:rsidRDefault="0060310B" w:rsidP="00322B52">
      <w:pPr>
        <w:spacing w:after="0" w:line="240" w:lineRule="auto"/>
        <w:jc w:val="both"/>
        <w:rPr>
          <w:rFonts w:ascii="Bookman Old Style" w:hAnsi="Bookman Old Style"/>
        </w:rPr>
      </w:pPr>
      <w:r>
        <w:rPr>
          <w:rFonts w:ascii="Bookman Old Style" w:hAnsi="Bookman Old Style"/>
        </w:rPr>
        <w:t>We’re evaluating a risk-free project</w:t>
      </w:r>
      <w:r w:rsidR="007570C0">
        <w:rPr>
          <w:rFonts w:ascii="Bookman Old Style" w:hAnsi="Bookman Old Style"/>
        </w:rPr>
        <w:t xml:space="preserve">. To determine the required rate, we have to look at the capital markets and observe the current rate offered by risk-free investments; we use this rate to </w:t>
      </w:r>
      <w:r w:rsidR="007570C0">
        <w:rPr>
          <w:rFonts w:ascii="Bookman Old Style" w:hAnsi="Bookman Old Style"/>
          <w:i/>
        </w:rPr>
        <w:t>discount</w:t>
      </w:r>
      <w:r w:rsidR="007570C0">
        <w:rPr>
          <w:rFonts w:ascii="Bookman Old Style" w:hAnsi="Bookman Old Style"/>
        </w:rPr>
        <w:t xml:space="preserve"> the project’s cash flows.</w:t>
      </w:r>
    </w:p>
    <w:p w14:paraId="63709C4C" w14:textId="77777777" w:rsidR="007570C0" w:rsidRDefault="007570C0" w:rsidP="00322B52">
      <w:pPr>
        <w:spacing w:after="0" w:line="240" w:lineRule="auto"/>
        <w:jc w:val="both"/>
        <w:rPr>
          <w:rFonts w:ascii="Bookman Old Style" w:hAnsi="Bookman Old Style"/>
        </w:rPr>
      </w:pPr>
    </w:p>
    <w:p w14:paraId="280F0140" w14:textId="0E3B91BB" w:rsidR="007570C0" w:rsidRDefault="007570C0" w:rsidP="00322B52">
      <w:pPr>
        <w:spacing w:after="0" w:line="240" w:lineRule="auto"/>
        <w:jc w:val="both"/>
        <w:rPr>
          <w:rFonts w:ascii="Bookman Old Style" w:hAnsi="Bookman Old Style"/>
        </w:rPr>
      </w:pPr>
      <w:r>
        <w:rPr>
          <w:rFonts w:ascii="Bookman Old Style" w:hAnsi="Bookman Old Style"/>
        </w:rPr>
        <w:t>So, the cost of capital for a risk-free investment is the risk-free rate.</w:t>
      </w:r>
    </w:p>
    <w:p w14:paraId="4360EA85" w14:textId="77777777" w:rsidR="007570C0" w:rsidRDefault="007570C0" w:rsidP="00322B52">
      <w:pPr>
        <w:spacing w:after="0" w:line="240" w:lineRule="auto"/>
        <w:jc w:val="both"/>
        <w:rPr>
          <w:rFonts w:ascii="Bookman Old Style" w:hAnsi="Bookman Old Style"/>
        </w:rPr>
      </w:pPr>
    </w:p>
    <w:p w14:paraId="1E527027" w14:textId="22A465F0" w:rsidR="007570C0" w:rsidRDefault="007570C0" w:rsidP="00322B52">
      <w:pPr>
        <w:spacing w:after="0" w:line="240" w:lineRule="auto"/>
        <w:jc w:val="both"/>
        <w:rPr>
          <w:rFonts w:ascii="Bookman Old Style" w:hAnsi="Bookman Old Style"/>
        </w:rPr>
      </w:pPr>
      <w:r>
        <w:rPr>
          <w:rFonts w:ascii="Bookman Old Style" w:hAnsi="Bookman Old Style"/>
        </w:rPr>
        <w:t>If the project were risky, assuming all other information is unchanged; the required return will be higher. In other words:</w:t>
      </w:r>
    </w:p>
    <w:p w14:paraId="52B7C05C" w14:textId="77777777" w:rsidR="007570C0" w:rsidRDefault="007570C0" w:rsidP="00322B52">
      <w:pPr>
        <w:spacing w:after="0" w:line="240" w:lineRule="auto"/>
        <w:jc w:val="both"/>
        <w:rPr>
          <w:rFonts w:ascii="Bookman Old Style" w:hAnsi="Bookman Old Style"/>
        </w:rPr>
      </w:pPr>
    </w:p>
    <w:p w14:paraId="443804C9" w14:textId="341C7374" w:rsidR="007570C0" w:rsidRDefault="007570C0" w:rsidP="00322B52">
      <w:pPr>
        <w:spacing w:after="0" w:line="240" w:lineRule="auto"/>
        <w:jc w:val="both"/>
        <w:rPr>
          <w:rFonts w:ascii="Bookman Old Style" w:hAnsi="Bookman Old Style"/>
        </w:rPr>
      </w:pPr>
      <w:r>
        <w:rPr>
          <w:rFonts w:ascii="Bookman Old Style" w:hAnsi="Bookman Old Style"/>
        </w:rPr>
        <w:t>The cost of capital for a risky project is greater than the risk-free rate and the appropriate discount rate would exceed the risk-free rate.</w:t>
      </w:r>
    </w:p>
    <w:p w14:paraId="21FF1712" w14:textId="77777777" w:rsidR="007570C0" w:rsidRDefault="007570C0" w:rsidP="00322B52">
      <w:pPr>
        <w:spacing w:after="0" w:line="240" w:lineRule="auto"/>
        <w:jc w:val="both"/>
        <w:rPr>
          <w:rFonts w:ascii="Bookman Old Style" w:hAnsi="Bookman Old Style"/>
        </w:rPr>
      </w:pPr>
    </w:p>
    <w:p w14:paraId="5C2C41B9" w14:textId="13529FDE" w:rsidR="007570C0" w:rsidRDefault="007570C0" w:rsidP="00322B52">
      <w:pPr>
        <w:spacing w:after="0" w:line="240" w:lineRule="auto"/>
        <w:jc w:val="both"/>
        <w:rPr>
          <w:rFonts w:ascii="Bookman Old Style" w:hAnsi="Bookman Old Style"/>
        </w:rPr>
      </w:pPr>
      <w:r>
        <w:rPr>
          <w:rFonts w:ascii="Bookman Old Style" w:hAnsi="Bookman Old Style"/>
        </w:rPr>
        <w:t>So these terms are used interchangeably:</w:t>
      </w:r>
    </w:p>
    <w:p w14:paraId="63CBB85A" w14:textId="77777777" w:rsidR="007570C0" w:rsidRDefault="007570C0" w:rsidP="00322B52">
      <w:pPr>
        <w:spacing w:after="0" w:line="240" w:lineRule="auto"/>
        <w:jc w:val="both"/>
        <w:rPr>
          <w:rFonts w:ascii="Bookman Old Style" w:hAnsi="Bookman Old Style"/>
        </w:rPr>
      </w:pPr>
    </w:p>
    <w:p w14:paraId="196C3116" w14:textId="7E668DCE" w:rsidR="007570C0" w:rsidRDefault="007570C0" w:rsidP="00322B52">
      <w:pPr>
        <w:spacing w:after="0" w:line="240" w:lineRule="auto"/>
        <w:jc w:val="center"/>
        <w:rPr>
          <w:rFonts w:ascii="Bookman Old Style" w:hAnsi="Bookman Old Style"/>
          <w:i/>
        </w:rPr>
      </w:pPr>
      <w:r>
        <w:rPr>
          <w:rFonts w:ascii="Bookman Old Style" w:hAnsi="Bookman Old Style"/>
          <w:i/>
        </w:rPr>
        <w:t>Required Return = Appropriate Discount Rate = Cost of Capital</w:t>
      </w:r>
    </w:p>
    <w:p w14:paraId="3F5B1E1C" w14:textId="77777777" w:rsidR="007570C0" w:rsidRDefault="007570C0" w:rsidP="00322B52">
      <w:pPr>
        <w:spacing w:after="0" w:line="240" w:lineRule="auto"/>
        <w:jc w:val="center"/>
        <w:rPr>
          <w:rFonts w:ascii="Bookman Old Style" w:hAnsi="Bookman Old Style"/>
          <w:i/>
        </w:rPr>
      </w:pPr>
    </w:p>
    <w:p w14:paraId="259EDED5" w14:textId="321D7688" w:rsidR="007570C0" w:rsidRDefault="007570C0" w:rsidP="00322B52">
      <w:pPr>
        <w:spacing w:after="0" w:line="240" w:lineRule="auto"/>
        <w:jc w:val="both"/>
        <w:rPr>
          <w:rFonts w:ascii="Bookman Old Style" w:hAnsi="Bookman Old Style"/>
        </w:rPr>
      </w:pPr>
      <w:r>
        <w:rPr>
          <w:rFonts w:ascii="Bookman Old Style" w:hAnsi="Bookman Old Style"/>
        </w:rPr>
        <w:t xml:space="preserve">The important concept is </w:t>
      </w:r>
      <w:r w:rsidRPr="007570C0">
        <w:rPr>
          <w:rFonts w:ascii="Bookman Old Style" w:hAnsi="Bookman Old Style"/>
        </w:rPr>
        <w:sym w:font="Wingdings" w:char="F0E0"/>
      </w:r>
      <w:r>
        <w:rPr>
          <w:rFonts w:ascii="Bookman Old Style" w:hAnsi="Bookman Old Style"/>
        </w:rPr>
        <w:t xml:space="preserve"> the cost of capital associated with an investment depends on the risk of that investment.</w:t>
      </w:r>
    </w:p>
    <w:p w14:paraId="7FD27ABB" w14:textId="77777777" w:rsidR="007570C0" w:rsidRDefault="007570C0" w:rsidP="00322B52">
      <w:pPr>
        <w:spacing w:after="0" w:line="240" w:lineRule="auto"/>
        <w:jc w:val="center"/>
        <w:rPr>
          <w:rFonts w:ascii="Bookman Old Style" w:hAnsi="Bookman Old Style"/>
        </w:rPr>
      </w:pPr>
    </w:p>
    <w:p w14:paraId="55E64BD3" w14:textId="19B61A27" w:rsidR="007570C0" w:rsidRDefault="007570C0" w:rsidP="00322B52">
      <w:pPr>
        <w:spacing w:after="0" w:line="240" w:lineRule="auto"/>
        <w:jc w:val="center"/>
        <w:rPr>
          <w:rFonts w:ascii="Bookman Old Style" w:hAnsi="Bookman Old Style"/>
          <w:i/>
        </w:rPr>
      </w:pPr>
      <w:r>
        <w:rPr>
          <w:rFonts w:ascii="Bookman Old Style" w:hAnsi="Bookman Old Style"/>
        </w:rPr>
        <w:t>“</w:t>
      </w:r>
      <w:proofErr w:type="gramStart"/>
      <w:r>
        <w:rPr>
          <w:rFonts w:ascii="Bookman Old Style" w:hAnsi="Bookman Old Style"/>
          <w:i/>
        </w:rPr>
        <w:t>the</w:t>
      </w:r>
      <w:proofErr w:type="gramEnd"/>
      <w:r>
        <w:rPr>
          <w:rFonts w:ascii="Bookman Old Style" w:hAnsi="Bookman Old Style"/>
          <w:i/>
        </w:rPr>
        <w:t xml:space="preserve"> cost of capital depends primarily on the use of the funds, not the source. The use of the funds refers to risk associated with the investment”</w:t>
      </w:r>
    </w:p>
    <w:p w14:paraId="2F58FCC6" w14:textId="77777777" w:rsidR="007570C0" w:rsidRDefault="007570C0" w:rsidP="00322B52">
      <w:pPr>
        <w:spacing w:after="0" w:line="240" w:lineRule="auto"/>
        <w:jc w:val="center"/>
        <w:rPr>
          <w:rFonts w:ascii="Bookman Old Style" w:hAnsi="Bookman Old Style"/>
          <w:i/>
        </w:rPr>
      </w:pPr>
    </w:p>
    <w:p w14:paraId="03E608B5" w14:textId="516947E1" w:rsidR="007570C0" w:rsidRDefault="007570C0" w:rsidP="00322B52">
      <w:pPr>
        <w:spacing w:after="0" w:line="240" w:lineRule="auto"/>
        <w:jc w:val="both"/>
        <w:rPr>
          <w:rFonts w:ascii="Bookman Old Style" w:hAnsi="Bookman Old Style"/>
        </w:rPr>
      </w:pPr>
      <w:r>
        <w:rPr>
          <w:rFonts w:ascii="Bookman Old Style" w:hAnsi="Bookman Old Style"/>
        </w:rPr>
        <w:t xml:space="preserve">The cost of capital </w:t>
      </w:r>
      <w:r w:rsidRPr="007570C0">
        <w:rPr>
          <w:rFonts w:ascii="Bookman Old Style" w:hAnsi="Bookman Old Style"/>
          <w:u w:val="double"/>
        </w:rPr>
        <w:t>does not</w:t>
      </w:r>
      <w:r>
        <w:rPr>
          <w:rFonts w:ascii="Bookman Old Style" w:hAnsi="Bookman Old Style"/>
        </w:rPr>
        <w:t xml:space="preserve"> depend primarily on how &amp; where the capital is raised.</w:t>
      </w:r>
    </w:p>
    <w:p w14:paraId="79DA93E9" w14:textId="77777777" w:rsidR="007570C0" w:rsidRDefault="007570C0" w:rsidP="00322B52">
      <w:pPr>
        <w:spacing w:after="0" w:line="240" w:lineRule="auto"/>
        <w:jc w:val="both"/>
        <w:rPr>
          <w:rFonts w:ascii="Bookman Old Style" w:hAnsi="Bookman Old Style"/>
        </w:rPr>
      </w:pPr>
    </w:p>
    <w:p w14:paraId="4EF774DA" w14:textId="77777777" w:rsidR="007570C0" w:rsidRDefault="007570C0" w:rsidP="00322B52">
      <w:pPr>
        <w:spacing w:after="0" w:line="240" w:lineRule="auto"/>
        <w:jc w:val="both"/>
        <w:rPr>
          <w:rFonts w:ascii="Bookman Old Style" w:hAnsi="Bookman Old Style"/>
        </w:rPr>
      </w:pPr>
    </w:p>
    <w:p w14:paraId="425E07B5" w14:textId="27A34CA2" w:rsidR="007570C0" w:rsidRDefault="007570C0" w:rsidP="00322B52">
      <w:pPr>
        <w:spacing w:after="0" w:line="240" w:lineRule="auto"/>
        <w:jc w:val="both"/>
        <w:rPr>
          <w:rFonts w:ascii="Bookman Old Style" w:hAnsi="Bookman Old Style"/>
          <w:b/>
          <w:u w:val="single"/>
        </w:rPr>
      </w:pPr>
      <w:r>
        <w:rPr>
          <w:rFonts w:ascii="Bookman Old Style" w:hAnsi="Bookman Old Style"/>
          <w:b/>
          <w:u w:val="single"/>
        </w:rPr>
        <w:t>FINANCIAL POLICY &amp; COST OF CAPITAL</w:t>
      </w:r>
    </w:p>
    <w:p w14:paraId="2C5A84BF" w14:textId="19E17986" w:rsidR="007570C0" w:rsidRDefault="007570C0" w:rsidP="00322B52">
      <w:pPr>
        <w:spacing w:after="0" w:line="240" w:lineRule="auto"/>
        <w:jc w:val="both"/>
        <w:rPr>
          <w:rFonts w:ascii="Bookman Old Style" w:hAnsi="Bookman Old Style"/>
        </w:rPr>
      </w:pPr>
      <w:r>
        <w:rPr>
          <w:rFonts w:ascii="Bookman Old Style" w:hAnsi="Bookman Old Style"/>
        </w:rPr>
        <w:t>We know that a company’s capital structure – their choice of a mix of debt &amp; equity – is a managerial variable. We now assume that a firm has a fixed debt/equity ratio that they maintain and this D/E ratio reflects the firm’s target capital structure.</w:t>
      </w:r>
    </w:p>
    <w:p w14:paraId="79FFD458" w14:textId="77777777" w:rsidR="007570C0" w:rsidRDefault="007570C0" w:rsidP="00322B52">
      <w:pPr>
        <w:spacing w:after="0" w:line="240" w:lineRule="auto"/>
        <w:jc w:val="both"/>
        <w:rPr>
          <w:rFonts w:ascii="Bookman Old Style" w:hAnsi="Bookman Old Style"/>
        </w:rPr>
      </w:pPr>
    </w:p>
    <w:p w14:paraId="28B643FF" w14:textId="6EAA8695" w:rsidR="007570C0" w:rsidRDefault="007570C0" w:rsidP="00322B52">
      <w:pPr>
        <w:spacing w:after="0" w:line="240" w:lineRule="auto"/>
        <w:jc w:val="both"/>
        <w:rPr>
          <w:rFonts w:ascii="Bookman Old Style" w:hAnsi="Bookman Old Style"/>
        </w:rPr>
      </w:pPr>
      <w:r>
        <w:rPr>
          <w:rFonts w:ascii="Bookman Old Style" w:hAnsi="Bookman Old Style"/>
        </w:rPr>
        <w:t xml:space="preserve">We know that a firm’s overall </w:t>
      </w:r>
      <w:r w:rsidRPr="007570C0">
        <w:rPr>
          <w:rFonts w:ascii="Bookman Old Style" w:hAnsi="Bookman Old Style"/>
          <w:b/>
        </w:rPr>
        <w:t>cost of capital</w:t>
      </w:r>
      <w:r>
        <w:rPr>
          <w:rFonts w:ascii="Bookman Old Style" w:hAnsi="Bookman Old Style"/>
        </w:rPr>
        <w:t xml:space="preserve"> reflects the required return on the firm’s assets as a whole. A firm’s cost of capital reflects both its </w:t>
      </w:r>
      <w:r w:rsidRPr="007570C0">
        <w:rPr>
          <w:rFonts w:ascii="Bookman Old Style" w:hAnsi="Bookman Old Style"/>
          <w:u w:val="single"/>
        </w:rPr>
        <w:t>cost of debt capital</w:t>
      </w:r>
      <w:r>
        <w:rPr>
          <w:rFonts w:ascii="Bookman Old Style" w:hAnsi="Bookman Old Style"/>
        </w:rPr>
        <w:t xml:space="preserve"> and its </w:t>
      </w:r>
      <w:r w:rsidRPr="007570C0">
        <w:rPr>
          <w:rFonts w:ascii="Bookman Old Style" w:hAnsi="Bookman Old Style"/>
          <w:u w:val="single"/>
        </w:rPr>
        <w:t>cost of equity capital</w:t>
      </w:r>
      <w:r>
        <w:rPr>
          <w:rFonts w:ascii="Bookman Old Style" w:hAnsi="Bookman Old Style"/>
        </w:rPr>
        <w:t xml:space="preserve">. </w:t>
      </w:r>
    </w:p>
    <w:p w14:paraId="1241E027" w14:textId="77777777" w:rsidR="007570C0" w:rsidRDefault="007570C0" w:rsidP="00322B52">
      <w:pPr>
        <w:spacing w:after="0" w:line="240" w:lineRule="auto"/>
        <w:jc w:val="both"/>
        <w:rPr>
          <w:rFonts w:ascii="Bookman Old Style" w:hAnsi="Bookman Old Style"/>
        </w:rPr>
      </w:pPr>
    </w:p>
    <w:p w14:paraId="4CC1C667" w14:textId="77777777" w:rsidR="007570C0" w:rsidRDefault="007570C0" w:rsidP="00322B52">
      <w:pPr>
        <w:spacing w:after="0" w:line="240" w:lineRule="auto"/>
        <w:jc w:val="both"/>
        <w:rPr>
          <w:rFonts w:ascii="Bookman Old Style" w:hAnsi="Bookman Old Style"/>
        </w:rPr>
      </w:pPr>
    </w:p>
    <w:p w14:paraId="5C9D708E" w14:textId="77777777" w:rsidR="007570C0" w:rsidRDefault="007570C0" w:rsidP="00322B52">
      <w:pPr>
        <w:spacing w:after="0" w:line="240" w:lineRule="auto"/>
        <w:jc w:val="both"/>
        <w:rPr>
          <w:rFonts w:ascii="Bookman Old Style" w:hAnsi="Bookman Old Style"/>
        </w:rPr>
      </w:pPr>
    </w:p>
    <w:p w14:paraId="1EF3D972" w14:textId="77777777" w:rsidR="007570C0" w:rsidRDefault="007570C0" w:rsidP="00322B52">
      <w:pPr>
        <w:spacing w:after="0" w:line="240" w:lineRule="auto"/>
        <w:jc w:val="both"/>
        <w:rPr>
          <w:rFonts w:ascii="Bookman Old Style" w:hAnsi="Bookman Old Style"/>
        </w:rPr>
      </w:pPr>
    </w:p>
    <w:p w14:paraId="0BE9A66F" w14:textId="77777777" w:rsidR="007570C0" w:rsidRDefault="007570C0" w:rsidP="00322B52">
      <w:pPr>
        <w:spacing w:after="0" w:line="240" w:lineRule="auto"/>
        <w:jc w:val="both"/>
        <w:rPr>
          <w:rFonts w:ascii="Bookman Old Style" w:hAnsi="Bookman Old Style"/>
        </w:rPr>
      </w:pPr>
    </w:p>
    <w:p w14:paraId="1DA2B6C2" w14:textId="77777777" w:rsidR="007570C0" w:rsidRDefault="007570C0" w:rsidP="00322B52">
      <w:pPr>
        <w:spacing w:after="0" w:line="240" w:lineRule="auto"/>
        <w:jc w:val="both"/>
        <w:rPr>
          <w:rFonts w:ascii="Bookman Old Style" w:hAnsi="Bookman Old Style"/>
        </w:rPr>
      </w:pPr>
    </w:p>
    <w:p w14:paraId="064A006E" w14:textId="77777777" w:rsidR="007570C0" w:rsidRDefault="007570C0" w:rsidP="00322B52">
      <w:pPr>
        <w:spacing w:after="0" w:line="240" w:lineRule="auto"/>
        <w:jc w:val="both"/>
        <w:rPr>
          <w:rFonts w:ascii="Bookman Old Style" w:hAnsi="Bookman Old Style"/>
        </w:rPr>
      </w:pPr>
    </w:p>
    <w:p w14:paraId="40E533D0" w14:textId="1EFA015C" w:rsidR="007570C0" w:rsidRDefault="007570C0" w:rsidP="00322B52">
      <w:pPr>
        <w:spacing w:after="0" w:line="240" w:lineRule="auto"/>
        <w:jc w:val="center"/>
        <w:rPr>
          <w:rFonts w:ascii="Bookman Old Style" w:hAnsi="Bookman Old Style"/>
          <w:b/>
          <w:u w:val="single"/>
        </w:rPr>
      </w:pPr>
      <w:r>
        <w:rPr>
          <w:rFonts w:ascii="Bookman Old Style" w:hAnsi="Bookman Old Style"/>
          <w:b/>
          <w:u w:val="single"/>
        </w:rPr>
        <w:lastRenderedPageBreak/>
        <w:t>THE COST OF EQUITY</w:t>
      </w:r>
    </w:p>
    <w:p w14:paraId="7812EA61" w14:textId="77777777" w:rsidR="007570C0" w:rsidRDefault="007570C0" w:rsidP="00322B52">
      <w:pPr>
        <w:spacing w:after="0" w:line="240" w:lineRule="auto"/>
        <w:jc w:val="both"/>
        <w:rPr>
          <w:rFonts w:ascii="Bookman Old Style" w:hAnsi="Bookman Old Style"/>
        </w:rPr>
      </w:pPr>
    </w:p>
    <w:p w14:paraId="4ECE7E58" w14:textId="57113B8D" w:rsidR="007570C0" w:rsidRDefault="006A565F" w:rsidP="00322B52">
      <w:pPr>
        <w:spacing w:after="0" w:line="240" w:lineRule="auto"/>
        <w:jc w:val="both"/>
        <w:rPr>
          <w:rFonts w:ascii="Bookman Old Style" w:hAnsi="Bookman Old Style"/>
        </w:rPr>
      </w:pPr>
      <w:r>
        <w:rPr>
          <w:rFonts w:ascii="Bookman Old Style" w:hAnsi="Bookman Old Style"/>
        </w:rPr>
        <w:t xml:space="preserve">The most difficult question on the subject of cost of capital is what’s the firm’s overall </w:t>
      </w:r>
      <w:r>
        <w:rPr>
          <w:rFonts w:ascii="Bookman Old Style" w:hAnsi="Bookman Old Style"/>
          <w:b/>
        </w:rPr>
        <w:t>cost of equity</w:t>
      </w:r>
      <w:r w:rsidRPr="006A565F">
        <w:rPr>
          <w:rFonts w:ascii="Bookman Old Style" w:hAnsi="Bookman Old Style"/>
        </w:rPr>
        <w:t>?</w:t>
      </w:r>
    </w:p>
    <w:p w14:paraId="4B268496" w14:textId="77777777" w:rsidR="006A565F" w:rsidRDefault="006A565F" w:rsidP="00322B52">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6A565F" w14:paraId="44930F93" w14:textId="77777777" w:rsidTr="006A565F">
        <w:tc>
          <w:tcPr>
            <w:tcW w:w="9576" w:type="dxa"/>
          </w:tcPr>
          <w:p w14:paraId="58C94A0D" w14:textId="77777777" w:rsidR="006A565F" w:rsidRDefault="006A565F" w:rsidP="00322B52">
            <w:pPr>
              <w:jc w:val="both"/>
              <w:rPr>
                <w:rFonts w:ascii="Bookman Old Style" w:hAnsi="Bookman Old Style"/>
              </w:rPr>
            </w:pPr>
          </w:p>
          <w:p w14:paraId="3D2AB1C9" w14:textId="2A4E018E" w:rsidR="006A565F" w:rsidRPr="006A565F" w:rsidRDefault="006A565F" w:rsidP="00322B52">
            <w:pPr>
              <w:jc w:val="both"/>
              <w:rPr>
                <w:rFonts w:ascii="Bookman Old Style" w:hAnsi="Bookman Old Style"/>
              </w:rPr>
            </w:pPr>
            <w:r>
              <w:rPr>
                <w:rFonts w:ascii="Bookman Old Style" w:hAnsi="Bookman Old Style"/>
                <w:b/>
              </w:rPr>
              <w:t>Cost of Equity</w:t>
            </w:r>
            <w:r>
              <w:rPr>
                <w:rFonts w:ascii="Bookman Old Style" w:hAnsi="Bookman Old Style"/>
              </w:rPr>
              <w:t xml:space="preserve"> – The return that equity investors require on their investment in the firm</w:t>
            </w:r>
          </w:p>
          <w:p w14:paraId="6F7A5EC8" w14:textId="77777777" w:rsidR="006A565F" w:rsidRDefault="006A565F" w:rsidP="00322B52">
            <w:pPr>
              <w:jc w:val="both"/>
              <w:rPr>
                <w:rFonts w:ascii="Bookman Old Style" w:hAnsi="Bookman Old Style"/>
              </w:rPr>
            </w:pPr>
          </w:p>
        </w:tc>
      </w:tr>
    </w:tbl>
    <w:p w14:paraId="1FB94BB5" w14:textId="77777777" w:rsidR="006A565F" w:rsidRDefault="006A565F" w:rsidP="00322B52">
      <w:pPr>
        <w:spacing w:after="0" w:line="240" w:lineRule="auto"/>
        <w:jc w:val="both"/>
        <w:rPr>
          <w:rFonts w:ascii="Bookman Old Style" w:hAnsi="Bookman Old Style"/>
        </w:rPr>
      </w:pPr>
    </w:p>
    <w:p w14:paraId="67050456" w14:textId="0324FDE8" w:rsidR="006A565F" w:rsidRDefault="006A565F" w:rsidP="00322B52">
      <w:pPr>
        <w:spacing w:after="0" w:line="240" w:lineRule="auto"/>
        <w:jc w:val="both"/>
        <w:rPr>
          <w:rFonts w:ascii="Bookman Old Style" w:hAnsi="Bookman Old Style"/>
        </w:rPr>
      </w:pPr>
      <w:r>
        <w:rPr>
          <w:rFonts w:ascii="Bookman Old Style" w:hAnsi="Bookman Old Style"/>
        </w:rPr>
        <w:t>This isn’t easy to answer because there’s no way of directly observing the return that the firm’s equity investors require on their investment – instead, we have to estimate it. There are 2 ways to determine the cost of equity:</w:t>
      </w:r>
    </w:p>
    <w:p w14:paraId="64AE05E5" w14:textId="77777777" w:rsidR="006A565F" w:rsidRDefault="006A565F" w:rsidP="00322B52">
      <w:pPr>
        <w:spacing w:after="0" w:line="240" w:lineRule="auto"/>
        <w:jc w:val="both"/>
        <w:rPr>
          <w:rFonts w:ascii="Bookman Old Style" w:hAnsi="Bookman Old Style"/>
        </w:rPr>
      </w:pPr>
    </w:p>
    <w:p w14:paraId="3D2D6D58" w14:textId="78C58109" w:rsidR="006A565F" w:rsidRDefault="006A565F" w:rsidP="006F2196">
      <w:pPr>
        <w:pStyle w:val="ListParagraph"/>
        <w:numPr>
          <w:ilvl w:val="0"/>
          <w:numId w:val="2"/>
        </w:numPr>
        <w:spacing w:after="0" w:line="240" w:lineRule="auto"/>
        <w:jc w:val="both"/>
        <w:rPr>
          <w:rFonts w:ascii="Bookman Old Style" w:hAnsi="Bookman Old Style"/>
        </w:rPr>
      </w:pPr>
      <w:r>
        <w:rPr>
          <w:rFonts w:ascii="Bookman Old Style" w:hAnsi="Bookman Old Style"/>
        </w:rPr>
        <w:t>The dividend growth model approach</w:t>
      </w:r>
    </w:p>
    <w:p w14:paraId="508CC535" w14:textId="73506C53" w:rsidR="006A565F" w:rsidRDefault="006A565F" w:rsidP="006F2196">
      <w:pPr>
        <w:pStyle w:val="ListParagraph"/>
        <w:numPr>
          <w:ilvl w:val="0"/>
          <w:numId w:val="2"/>
        </w:numPr>
        <w:spacing w:after="0" w:line="240" w:lineRule="auto"/>
        <w:jc w:val="both"/>
        <w:rPr>
          <w:rFonts w:ascii="Bookman Old Style" w:hAnsi="Bookman Old Style"/>
        </w:rPr>
      </w:pPr>
      <w:r>
        <w:rPr>
          <w:rFonts w:ascii="Bookman Old Style" w:hAnsi="Bookman Old Style"/>
        </w:rPr>
        <w:t>The security market line (SML) approach</w:t>
      </w:r>
    </w:p>
    <w:p w14:paraId="4BF4398B" w14:textId="77777777" w:rsidR="006A565F" w:rsidRDefault="006A565F" w:rsidP="00322B52">
      <w:pPr>
        <w:spacing w:after="0" w:line="240" w:lineRule="auto"/>
        <w:jc w:val="both"/>
        <w:rPr>
          <w:rFonts w:ascii="Bookman Old Style" w:hAnsi="Bookman Old Style"/>
        </w:rPr>
      </w:pPr>
    </w:p>
    <w:p w14:paraId="2558AD1F" w14:textId="77777777" w:rsidR="006A565F" w:rsidRDefault="006A565F" w:rsidP="00322B52">
      <w:pPr>
        <w:spacing w:after="0" w:line="240" w:lineRule="auto"/>
        <w:jc w:val="both"/>
        <w:rPr>
          <w:rFonts w:ascii="Bookman Old Style" w:hAnsi="Bookman Old Style"/>
        </w:rPr>
      </w:pPr>
    </w:p>
    <w:p w14:paraId="55F6496A" w14:textId="47D1DC5E" w:rsidR="006A565F" w:rsidRDefault="006A565F" w:rsidP="00322B52">
      <w:pPr>
        <w:spacing w:after="0" w:line="240" w:lineRule="auto"/>
        <w:jc w:val="both"/>
        <w:rPr>
          <w:rFonts w:ascii="Bookman Old Style" w:hAnsi="Bookman Old Style"/>
        </w:rPr>
      </w:pPr>
      <w:r>
        <w:rPr>
          <w:rFonts w:ascii="Bookman Old Style" w:hAnsi="Bookman Old Style"/>
          <w:b/>
          <w:u w:val="single"/>
        </w:rPr>
        <w:t>THE DIVIDEND GROWTH MODEL APPROACH</w:t>
      </w:r>
    </w:p>
    <w:p w14:paraId="58FFCD9A" w14:textId="5FF8E007" w:rsidR="006A565F" w:rsidRDefault="006A565F" w:rsidP="00322B52">
      <w:pPr>
        <w:spacing w:after="0" w:line="240" w:lineRule="auto"/>
        <w:jc w:val="both"/>
        <w:rPr>
          <w:rFonts w:ascii="Bookman Old Style" w:eastAsiaTheme="minorEastAsia" w:hAnsi="Bookman Old Style"/>
        </w:rPr>
      </w:pPr>
      <w:r>
        <w:rPr>
          <w:rFonts w:ascii="Bookman Old Style" w:hAnsi="Bookman Old Style"/>
        </w:rPr>
        <w:t xml:space="preserve">The dividend growth model is the easiest way to estimate the cost of equity. Remember that under the assumption that the firm’s dividend will grow at a constant rate, </w:t>
      </w:r>
      <w:r>
        <w:rPr>
          <w:rFonts w:ascii="Bookman Old Style" w:hAnsi="Bookman Old Style"/>
          <w:i/>
        </w:rPr>
        <w:t>g</w:t>
      </w:r>
      <w:r>
        <w:rPr>
          <w:rFonts w:ascii="Bookman Old Style" w:hAnsi="Bookman Old Style"/>
        </w:rPr>
        <w:t xml:space="preserve">, the price per share of the stock, </w:t>
      </w:r>
      <m:oMath>
        <m:sSub>
          <m:sSubPr>
            <m:ctrlPr>
              <w:rPr>
                <w:rFonts w:ascii="Cambria Math" w:hAnsi="Cambria Math"/>
                <w:i/>
              </w:rPr>
            </m:ctrlPr>
          </m:sSubPr>
          <m:e>
            <m:r>
              <w:rPr>
                <w:rFonts w:ascii="Cambria Math" w:hAnsi="Cambria Math"/>
              </w:rPr>
              <m:t>P</m:t>
            </m:r>
          </m:e>
          <m:sub>
            <m:r>
              <w:rPr>
                <w:rFonts w:ascii="Cambria Math" w:hAnsi="Cambria Math"/>
              </w:rPr>
              <m:t>O</m:t>
            </m:r>
          </m:sub>
        </m:sSub>
      </m:oMath>
      <w:r>
        <w:rPr>
          <w:rFonts w:ascii="Bookman Old Style" w:eastAsiaTheme="minorEastAsia" w:hAnsi="Bookman Old Style"/>
        </w:rPr>
        <w:t>, can be written as:</w:t>
      </w:r>
    </w:p>
    <w:p w14:paraId="7BED76F0" w14:textId="77777777" w:rsidR="006A565F" w:rsidRDefault="006A565F" w:rsidP="00322B52">
      <w:pPr>
        <w:spacing w:after="0" w:line="240" w:lineRule="auto"/>
        <w:jc w:val="both"/>
        <w:rPr>
          <w:rFonts w:ascii="Bookman Old Style" w:eastAsiaTheme="minorEastAsia" w:hAnsi="Bookman Old Style"/>
        </w:rPr>
      </w:pPr>
    </w:p>
    <w:tbl>
      <w:tblPr>
        <w:tblStyle w:val="MediumGrid1-Accent4"/>
        <w:tblW w:w="0" w:type="auto"/>
        <w:jc w:val="center"/>
        <w:tblInd w:w="4968" w:type="dxa"/>
        <w:tblLook w:val="04A0" w:firstRow="1" w:lastRow="0" w:firstColumn="1" w:lastColumn="0" w:noHBand="0" w:noVBand="1"/>
      </w:tblPr>
      <w:tblGrid>
        <w:gridCol w:w="4608"/>
      </w:tblGrid>
      <w:tr w:rsidR="006A565F" w14:paraId="157F664D" w14:textId="77777777" w:rsidTr="006A56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08" w:type="dxa"/>
          </w:tcPr>
          <w:p w14:paraId="53844E72" w14:textId="77777777" w:rsidR="006A565F" w:rsidRDefault="006A565F" w:rsidP="00322B52">
            <w:pPr>
              <w:jc w:val="both"/>
              <w:rPr>
                <w:rFonts w:ascii="Bookman Old Style" w:eastAsiaTheme="minorEastAsia" w:hAnsi="Bookman Old Style"/>
              </w:rPr>
            </w:pPr>
          </w:p>
          <w:p w14:paraId="59353CCB" w14:textId="6308DCA8" w:rsidR="006A565F" w:rsidRDefault="006A565F" w:rsidP="00322B52">
            <w:pPr>
              <w:jc w:val="center"/>
              <w:rPr>
                <w:rFonts w:ascii="Bookman Old Style" w:eastAsiaTheme="minorEastAsia" w:hAnsi="Bookman Old Style"/>
              </w:rPr>
            </w:pPr>
            <w:r>
              <w:rPr>
                <w:rFonts w:ascii="Bookman Old Style" w:eastAsiaTheme="minorEastAsia" w:hAnsi="Bookman Old Style"/>
              </w:rPr>
              <w:t>Price Per Share of Stock</w:t>
            </w:r>
          </w:p>
          <w:p w14:paraId="6605F6C4" w14:textId="77777777" w:rsidR="006A565F" w:rsidRDefault="006A565F" w:rsidP="00322B52">
            <w:pPr>
              <w:jc w:val="center"/>
              <w:rPr>
                <w:rFonts w:ascii="Bookman Old Style" w:eastAsiaTheme="minorEastAsia" w:hAnsi="Bookman Old Style"/>
              </w:rPr>
            </w:pPr>
          </w:p>
          <w:p w14:paraId="15C24747" w14:textId="59AB56E7" w:rsidR="006A565F" w:rsidRPr="006A565F" w:rsidRDefault="00E741F7" w:rsidP="00322B52">
            <w:pPr>
              <w:jc w:val="both"/>
              <w:rPr>
                <w:rFonts w:ascii="Bookman Old Style" w:eastAsiaTheme="minorEastAsia" w:hAnsi="Bookman Old Style"/>
              </w:rPr>
            </w:pPr>
            <m:oMathPara>
              <m:oMath>
                <m:sSub>
                  <m:sSubPr>
                    <m:ctrlPr>
                      <w:rPr>
                        <w:rFonts w:ascii="Cambria Math" w:hAnsi="Cambria Math"/>
                        <w:b w:val="0"/>
                        <w:bCs w:val="0"/>
                        <w:i/>
                      </w:rPr>
                    </m:ctrlPr>
                  </m:sSubPr>
                  <m:e>
                    <m:r>
                      <m:rPr>
                        <m:sty m:val="bi"/>
                      </m:rPr>
                      <w:rPr>
                        <w:rFonts w:ascii="Cambria Math" w:hAnsi="Cambria Math"/>
                      </w:rPr>
                      <m:t>P</m:t>
                    </m:r>
                  </m:e>
                  <m:sub>
                    <m:r>
                      <m:rPr>
                        <m:sty m:val="bi"/>
                      </m:rPr>
                      <w:rPr>
                        <w:rFonts w:ascii="Cambria Math" w:hAnsi="Cambria Math"/>
                      </w:rPr>
                      <m:t>0</m:t>
                    </m:r>
                  </m:sub>
                </m:sSub>
                <m:r>
                  <m:rPr>
                    <m:sty m:val="bi"/>
                  </m:rPr>
                  <w:rPr>
                    <w:rFonts w:ascii="Cambria Math" w:hAnsi="Cambria Math"/>
                  </w:rPr>
                  <m:t>=</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b w:val="0"/>
                                <w:bCs w:val="0"/>
                                <w:i/>
                              </w:rPr>
                            </m:ctrlPr>
                          </m:sSubPr>
                          <m:e>
                            <m:r>
                              <m:rPr>
                                <m:sty m:val="bi"/>
                              </m:rPr>
                              <w:rPr>
                                <w:rFonts w:ascii="Cambria Math" w:hAnsi="Cambria Math"/>
                              </w:rPr>
                              <m:t>D</m:t>
                            </m:r>
                          </m:e>
                          <m:sub>
                            <m:r>
                              <m:rPr>
                                <m:sty m:val="bi"/>
                              </m:rPr>
                              <w:rPr>
                                <w:rFonts w:ascii="Cambria Math" w:hAnsi="Cambria Math"/>
                              </w:rPr>
                              <m:t>0</m:t>
                            </m:r>
                          </m:sub>
                        </m:sSub>
                        <m:r>
                          <m:rPr>
                            <m:sty m:val="bi"/>
                          </m:rPr>
                          <w:rPr>
                            <w:rFonts w:ascii="Cambria Math" w:hAnsi="Cambria Math"/>
                          </w:rPr>
                          <m:t>*</m:t>
                        </m:r>
                        <m:d>
                          <m:dPr>
                            <m:ctrlPr>
                              <w:rPr>
                                <w:rFonts w:ascii="Cambria Math" w:hAnsi="Cambria Math"/>
                                <w:i/>
                              </w:rPr>
                            </m:ctrlPr>
                          </m:dPr>
                          <m:e>
                            <m:r>
                              <m:rPr>
                                <m:sty m:val="bi"/>
                              </m:rPr>
                              <w:rPr>
                                <w:rFonts w:ascii="Cambria Math" w:hAnsi="Cambria Math"/>
                              </w:rPr>
                              <m:t>1+g</m:t>
                            </m:r>
                          </m:e>
                        </m:d>
                      </m:e>
                    </m:d>
                  </m:num>
                  <m:den>
                    <m:d>
                      <m:dPr>
                        <m:begChr m:val="["/>
                        <m:endChr m:val="]"/>
                        <m:ctrlPr>
                          <w:rPr>
                            <w:rFonts w:ascii="Cambria Math" w:hAnsi="Cambria Math"/>
                            <w:i/>
                          </w:rPr>
                        </m:ctrlPr>
                      </m:dPr>
                      <m:e>
                        <m:sSub>
                          <m:sSubPr>
                            <m:ctrlPr>
                              <w:rPr>
                                <w:rFonts w:ascii="Cambria Math" w:hAnsi="Cambria Math"/>
                                <w:b w:val="0"/>
                                <w:bCs w:val="0"/>
                                <w:i/>
                              </w:rPr>
                            </m:ctrlPr>
                          </m:sSubPr>
                          <m:e>
                            <m:r>
                              <m:rPr>
                                <m:sty m:val="bi"/>
                              </m:rPr>
                              <w:rPr>
                                <w:rFonts w:ascii="Cambria Math" w:hAnsi="Cambria Math"/>
                              </w:rPr>
                              <m:t>R</m:t>
                            </m:r>
                          </m:e>
                          <m:sub>
                            <m:r>
                              <m:rPr>
                                <m:sty m:val="bi"/>
                              </m:rPr>
                              <w:rPr>
                                <w:rFonts w:ascii="Cambria Math" w:hAnsi="Cambria Math"/>
                              </w:rPr>
                              <m:t>E</m:t>
                            </m:r>
                          </m:sub>
                        </m:sSub>
                        <m:r>
                          <m:rPr>
                            <m:sty m:val="bi"/>
                          </m:rPr>
                          <w:rPr>
                            <w:rFonts w:ascii="Cambria Math" w:hAnsi="Cambria Math"/>
                          </w:rPr>
                          <m:t>-g</m:t>
                        </m:r>
                      </m:e>
                    </m:d>
                  </m:den>
                </m:f>
                <m:r>
                  <m:rPr>
                    <m:sty m:val="bi"/>
                  </m:rPr>
                  <w:rPr>
                    <w:rFonts w:ascii="Cambria Math" w:hAnsi="Cambria Math"/>
                  </w:rPr>
                  <m:t>=</m:t>
                </m:r>
                <m:f>
                  <m:fPr>
                    <m:ctrlPr>
                      <w:rPr>
                        <w:rFonts w:ascii="Cambria Math" w:hAnsi="Cambria Math"/>
                        <w:i/>
                      </w:rPr>
                    </m:ctrlPr>
                  </m:fPr>
                  <m:num>
                    <m:sSub>
                      <m:sSubPr>
                        <m:ctrlPr>
                          <w:rPr>
                            <w:rFonts w:ascii="Cambria Math" w:hAnsi="Cambria Math"/>
                            <w:b w:val="0"/>
                            <w:bCs w:val="0"/>
                            <w:i/>
                          </w:rPr>
                        </m:ctrlPr>
                      </m:sSubPr>
                      <m:e>
                        <m:r>
                          <m:rPr>
                            <m:sty m:val="bi"/>
                          </m:rPr>
                          <w:rPr>
                            <w:rFonts w:ascii="Cambria Math" w:hAnsi="Cambria Math"/>
                          </w:rPr>
                          <m:t>D</m:t>
                        </m:r>
                      </m:e>
                      <m:sub>
                        <m:r>
                          <m:rPr>
                            <m:sty m:val="bi"/>
                          </m:rPr>
                          <w:rPr>
                            <w:rFonts w:ascii="Cambria Math" w:hAnsi="Cambria Math"/>
                          </w:rPr>
                          <m:t>1</m:t>
                        </m:r>
                      </m:sub>
                    </m:sSub>
                  </m:num>
                  <m:den>
                    <m:d>
                      <m:dPr>
                        <m:begChr m:val="["/>
                        <m:endChr m:val="]"/>
                        <m:ctrlPr>
                          <w:rPr>
                            <w:rFonts w:ascii="Cambria Math" w:hAnsi="Cambria Math"/>
                            <w:i/>
                          </w:rPr>
                        </m:ctrlPr>
                      </m:dPr>
                      <m:e>
                        <m:sSub>
                          <m:sSubPr>
                            <m:ctrlPr>
                              <w:rPr>
                                <w:rFonts w:ascii="Cambria Math" w:hAnsi="Cambria Math"/>
                                <w:b w:val="0"/>
                                <w:bCs w:val="0"/>
                                <w:i/>
                              </w:rPr>
                            </m:ctrlPr>
                          </m:sSubPr>
                          <m:e>
                            <m:r>
                              <m:rPr>
                                <m:sty m:val="bi"/>
                              </m:rPr>
                              <w:rPr>
                                <w:rFonts w:ascii="Cambria Math" w:hAnsi="Cambria Math"/>
                              </w:rPr>
                              <m:t>R</m:t>
                            </m:r>
                          </m:e>
                          <m:sub>
                            <m:r>
                              <m:rPr>
                                <m:sty m:val="bi"/>
                              </m:rPr>
                              <w:rPr>
                                <w:rFonts w:ascii="Cambria Math" w:hAnsi="Cambria Math"/>
                              </w:rPr>
                              <m:t>E</m:t>
                            </m:r>
                          </m:sub>
                        </m:sSub>
                        <m:r>
                          <m:rPr>
                            <m:sty m:val="bi"/>
                          </m:rPr>
                          <w:rPr>
                            <w:rFonts w:ascii="Cambria Math" w:hAnsi="Cambria Math"/>
                          </w:rPr>
                          <m:t>-g</m:t>
                        </m:r>
                      </m:e>
                    </m:d>
                  </m:den>
                </m:f>
              </m:oMath>
            </m:oMathPara>
          </w:p>
          <w:p w14:paraId="6C1FA810" w14:textId="77777777" w:rsidR="006A565F" w:rsidRDefault="006A565F" w:rsidP="00322B52">
            <w:pPr>
              <w:jc w:val="both"/>
              <w:rPr>
                <w:rFonts w:ascii="Bookman Old Style" w:eastAsiaTheme="minorEastAsia" w:hAnsi="Bookman Old Style"/>
              </w:rPr>
            </w:pPr>
          </w:p>
        </w:tc>
      </w:tr>
    </w:tbl>
    <w:p w14:paraId="227A010A" w14:textId="77777777" w:rsidR="006A565F" w:rsidRDefault="006A565F" w:rsidP="00322B52">
      <w:pPr>
        <w:spacing w:after="0" w:line="240" w:lineRule="auto"/>
        <w:jc w:val="both"/>
        <w:rPr>
          <w:rFonts w:ascii="Bookman Old Style" w:eastAsiaTheme="minorEastAsia" w:hAnsi="Bookman Old Style"/>
        </w:rPr>
      </w:pPr>
    </w:p>
    <w:p w14:paraId="3352DDEA" w14:textId="17A93E8E" w:rsidR="006A565F" w:rsidRDefault="00E741F7" w:rsidP="00322B52">
      <w:pPr>
        <w:spacing w:after="0" w:line="240" w:lineRule="auto"/>
        <w:jc w:val="both"/>
        <w:rPr>
          <w:rFonts w:ascii="Bookman Old Style" w:eastAsiaTheme="minorEastAsia" w:hAnsi="Bookman Old Style"/>
        </w:rPr>
      </w:pPr>
      <m:oMath>
        <m:sSub>
          <m:sSubPr>
            <m:ctrlPr>
              <w:rPr>
                <w:rFonts w:ascii="Cambria Math" w:hAnsi="Cambria Math"/>
                <w:i/>
              </w:rPr>
            </m:ctrlPr>
          </m:sSubPr>
          <m:e>
            <m:r>
              <w:rPr>
                <w:rFonts w:ascii="Cambria Math" w:hAnsi="Cambria Math"/>
              </w:rPr>
              <m:t>D</m:t>
            </m:r>
          </m:e>
          <m:sub>
            <m:r>
              <w:rPr>
                <w:rFonts w:ascii="Cambria Math" w:hAnsi="Cambria Math"/>
              </w:rPr>
              <m:t>0</m:t>
            </m:r>
          </m:sub>
        </m:sSub>
      </m:oMath>
      <w:r w:rsidR="006A565F">
        <w:rPr>
          <w:rFonts w:ascii="Bookman Old Style" w:eastAsiaTheme="minorEastAsia" w:hAnsi="Bookman Old Style"/>
        </w:rPr>
        <w:t>= The dividend just paid</w:t>
      </w:r>
    </w:p>
    <w:p w14:paraId="688898EB" w14:textId="7D0EC15C" w:rsidR="006A565F" w:rsidRDefault="00E741F7" w:rsidP="00322B52">
      <w:pPr>
        <w:spacing w:after="0" w:line="240" w:lineRule="auto"/>
        <w:jc w:val="both"/>
        <w:rPr>
          <w:rFonts w:ascii="Bookman Old Style" w:eastAsiaTheme="minorEastAsia" w:hAnsi="Bookman Old Style"/>
        </w:rPr>
      </w:pPr>
      <m:oMath>
        <m:sSub>
          <m:sSubPr>
            <m:ctrlPr>
              <w:rPr>
                <w:rFonts w:ascii="Cambria Math" w:hAnsi="Cambria Math"/>
                <w:i/>
              </w:rPr>
            </m:ctrlPr>
          </m:sSubPr>
          <m:e>
            <m:r>
              <w:rPr>
                <w:rFonts w:ascii="Cambria Math" w:hAnsi="Cambria Math"/>
              </w:rPr>
              <m:t>D</m:t>
            </m:r>
          </m:e>
          <m:sub>
            <m:r>
              <w:rPr>
                <w:rFonts w:ascii="Cambria Math" w:hAnsi="Cambria Math"/>
              </w:rPr>
              <m:t>1</m:t>
            </m:r>
          </m:sub>
        </m:sSub>
      </m:oMath>
      <w:r w:rsidR="006A565F">
        <w:rPr>
          <w:rFonts w:ascii="Bookman Old Style" w:eastAsiaTheme="minorEastAsia" w:hAnsi="Bookman Old Style"/>
        </w:rPr>
        <w:t>= Next period’s projected dividend</w:t>
      </w:r>
    </w:p>
    <w:p w14:paraId="7FBC7CDA" w14:textId="5028D0CC" w:rsidR="006A565F" w:rsidRDefault="00E741F7" w:rsidP="00322B52">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w:r w:rsidR="006A565F">
        <w:rPr>
          <w:rFonts w:ascii="Bookman Old Style" w:eastAsiaTheme="minorEastAsia" w:hAnsi="Bookman Old Style"/>
        </w:rPr>
        <w:t xml:space="preserve">= The required return on the stock; </w:t>
      </w:r>
      <w:r w:rsidR="006A565F">
        <w:rPr>
          <w:rFonts w:ascii="Bookman Old Style" w:eastAsiaTheme="minorEastAsia" w:hAnsi="Bookman Old Style"/>
          <w:i/>
        </w:rPr>
        <w:t>E</w:t>
      </w:r>
      <w:r w:rsidR="006A565F">
        <w:rPr>
          <w:rFonts w:ascii="Bookman Old Style" w:eastAsiaTheme="minorEastAsia" w:hAnsi="Bookman Old Style"/>
        </w:rPr>
        <w:t xml:space="preserve"> stands for equity</w:t>
      </w:r>
    </w:p>
    <w:p w14:paraId="4F9632D4" w14:textId="77777777" w:rsidR="006A565F" w:rsidRDefault="006A565F" w:rsidP="00322B52">
      <w:pPr>
        <w:spacing w:after="0" w:line="240" w:lineRule="auto"/>
        <w:jc w:val="both"/>
        <w:rPr>
          <w:rFonts w:ascii="Bookman Old Style" w:eastAsiaTheme="minorEastAsia" w:hAnsi="Bookman Old Style"/>
        </w:rPr>
      </w:pPr>
    </w:p>
    <w:p w14:paraId="48DEFD86" w14:textId="325C494C" w:rsidR="006A565F" w:rsidRDefault="006A565F"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We can arrange this to solve to for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w:r>
        <w:rPr>
          <w:rFonts w:ascii="Bookman Old Style" w:eastAsiaTheme="minorEastAsia" w:hAnsi="Bookman Old Style"/>
        </w:rPr>
        <w:t xml:space="preserve"> as follows:</w:t>
      </w:r>
    </w:p>
    <w:p w14:paraId="49F7614B" w14:textId="77777777" w:rsidR="006A565F" w:rsidRDefault="006A565F" w:rsidP="00322B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1719"/>
      </w:tblGrid>
      <w:tr w:rsidR="006A565F" w14:paraId="6B953B80" w14:textId="77777777" w:rsidTr="008E09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9" w:type="dxa"/>
          </w:tcPr>
          <w:p w14:paraId="5718A0B3" w14:textId="77777777" w:rsidR="006A565F" w:rsidRDefault="006A565F" w:rsidP="00322B52">
            <w:pPr>
              <w:jc w:val="both"/>
              <w:rPr>
                <w:rFonts w:ascii="Bookman Old Style" w:eastAsiaTheme="minorEastAsia" w:hAnsi="Bookman Old Style"/>
              </w:rPr>
            </w:pPr>
          </w:p>
          <w:p w14:paraId="66D9CEF6" w14:textId="56548D60" w:rsidR="006A565F" w:rsidRPr="008E09D1" w:rsidRDefault="00E741F7" w:rsidP="00322B52">
            <w:pPr>
              <w:jc w:val="both"/>
              <w:rPr>
                <w:rFonts w:ascii="Bookman Old Style" w:eastAsiaTheme="minorEastAsia" w:hAnsi="Bookman Old Style"/>
              </w:rPr>
            </w:pPr>
            <m:oMathPara>
              <m:oMath>
                <m:sSub>
                  <m:sSubPr>
                    <m:ctrlPr>
                      <w:rPr>
                        <w:rFonts w:ascii="Cambria Math" w:eastAsiaTheme="minorEastAsia" w:hAnsi="Cambria Math"/>
                        <w:bCs w:val="0"/>
                        <w:i/>
                      </w:rPr>
                    </m:ctrlPr>
                  </m:sSubPr>
                  <m:e>
                    <m:r>
                      <m:rPr>
                        <m:sty m:val="bi"/>
                      </m:rPr>
                      <w:rPr>
                        <w:rFonts w:ascii="Cambria Math" w:eastAsiaTheme="minorEastAsia" w:hAnsi="Cambria Math"/>
                      </w:rPr>
                      <m:t>R</m:t>
                    </m:r>
                  </m:e>
                  <m:sub>
                    <m:r>
                      <m:rPr>
                        <m:sty m:val="bi"/>
                      </m:rPr>
                      <w:rPr>
                        <w:rFonts w:ascii="Cambria Math" w:eastAsiaTheme="minorEastAsia" w:hAnsi="Cambria Math"/>
                      </w:rPr>
                      <m:t>E</m:t>
                    </m:r>
                  </m:sub>
                </m:sSub>
                <m:r>
                  <m:rPr>
                    <m:sty m:val="bi"/>
                  </m:rP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1</m:t>
                        </m:r>
                      </m:sub>
                    </m:sSub>
                  </m:num>
                  <m:den>
                    <m:sSub>
                      <m:sSubPr>
                        <m:ctrlPr>
                          <w:rPr>
                            <w:rFonts w:ascii="Cambria Math" w:eastAsiaTheme="minorEastAsia" w:hAnsi="Cambria Math"/>
                            <w:bCs w:val="0"/>
                            <w:i/>
                          </w:rPr>
                        </m:ctrlPr>
                      </m:sSubPr>
                      <m:e>
                        <m:r>
                          <m:rPr>
                            <m:sty m:val="bi"/>
                          </m:rPr>
                          <w:rPr>
                            <w:rFonts w:ascii="Cambria Math" w:eastAsiaTheme="minorEastAsia" w:hAnsi="Cambria Math"/>
                          </w:rPr>
                          <m:t>P</m:t>
                        </m:r>
                      </m:e>
                      <m:sub>
                        <m:r>
                          <m:rPr>
                            <m:sty m:val="bi"/>
                          </m:rPr>
                          <w:rPr>
                            <w:rFonts w:ascii="Cambria Math" w:eastAsiaTheme="minorEastAsia" w:hAnsi="Cambria Math"/>
                          </w:rPr>
                          <m:t>0</m:t>
                        </m:r>
                      </m:sub>
                    </m:sSub>
                  </m:den>
                </m:f>
                <m:r>
                  <m:rPr>
                    <m:sty m:val="bi"/>
                  </m:rPr>
                  <w:rPr>
                    <w:rFonts w:ascii="Cambria Math" w:eastAsiaTheme="minorEastAsia" w:hAnsi="Cambria Math"/>
                  </w:rPr>
                  <m:t>+g</m:t>
                </m:r>
              </m:oMath>
            </m:oMathPara>
          </w:p>
          <w:p w14:paraId="745492EB" w14:textId="77777777" w:rsidR="006A565F" w:rsidRDefault="006A565F" w:rsidP="00322B52">
            <w:pPr>
              <w:jc w:val="both"/>
              <w:rPr>
                <w:rFonts w:ascii="Bookman Old Style" w:eastAsiaTheme="minorEastAsia" w:hAnsi="Bookman Old Style"/>
              </w:rPr>
            </w:pPr>
          </w:p>
        </w:tc>
      </w:tr>
    </w:tbl>
    <w:p w14:paraId="1974B44A" w14:textId="77777777" w:rsidR="006A565F" w:rsidRPr="006A565F" w:rsidRDefault="006A565F" w:rsidP="00322B52">
      <w:pPr>
        <w:spacing w:after="0" w:line="240" w:lineRule="auto"/>
        <w:jc w:val="both"/>
        <w:rPr>
          <w:rFonts w:ascii="Bookman Old Style" w:eastAsiaTheme="minorEastAsia" w:hAnsi="Bookman Old Style"/>
        </w:rPr>
      </w:pPr>
    </w:p>
    <w:p w14:paraId="08B681C7" w14:textId="5E6B5D46" w:rsidR="007570C0" w:rsidRDefault="008E09D1" w:rsidP="00322B52">
      <w:pPr>
        <w:spacing w:after="0" w:line="240" w:lineRule="auto"/>
        <w:jc w:val="both"/>
        <w:rPr>
          <w:rFonts w:ascii="Bookman Old Style" w:eastAsiaTheme="minorEastAsia" w:hAnsi="Bookman Old Style"/>
        </w:rPr>
      </w:pPr>
      <w:r w:rsidRPr="008E09D1">
        <w:rPr>
          <w:rFonts w:ascii="Bookman Old Style" w:hAnsi="Bookman Old Style"/>
        </w:rPr>
        <w:t xml:space="preserve">Since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w:r>
        <w:rPr>
          <w:rFonts w:ascii="Bookman Old Style" w:eastAsiaTheme="minorEastAsia" w:hAnsi="Bookman Old Style"/>
        </w:rPr>
        <w:t xml:space="preserve"> is the return that the shareholders require on the stock, it can be interpreted as the firm’s cost of equity capital.</w:t>
      </w:r>
    </w:p>
    <w:p w14:paraId="23325ECB" w14:textId="77777777" w:rsidR="008E09D1" w:rsidRDefault="008E09D1" w:rsidP="00322B52">
      <w:pPr>
        <w:spacing w:after="0" w:line="240" w:lineRule="auto"/>
        <w:jc w:val="both"/>
        <w:rPr>
          <w:rFonts w:ascii="Bookman Old Style" w:eastAsiaTheme="minorEastAsia" w:hAnsi="Bookman Old Style"/>
        </w:rPr>
      </w:pPr>
    </w:p>
    <w:p w14:paraId="57E623DD" w14:textId="77777777" w:rsidR="008E09D1" w:rsidRDefault="008E09D1" w:rsidP="00322B52">
      <w:pPr>
        <w:spacing w:after="0" w:line="240" w:lineRule="auto"/>
        <w:jc w:val="both"/>
        <w:rPr>
          <w:rFonts w:ascii="Bookman Old Style" w:eastAsiaTheme="minorEastAsia" w:hAnsi="Bookman Old Style"/>
        </w:rPr>
      </w:pPr>
    </w:p>
    <w:p w14:paraId="604CF6E1" w14:textId="77777777" w:rsidR="008E09D1" w:rsidRDefault="008E09D1" w:rsidP="00322B52">
      <w:pPr>
        <w:spacing w:after="0" w:line="240" w:lineRule="auto"/>
        <w:jc w:val="both"/>
        <w:rPr>
          <w:rFonts w:ascii="Bookman Old Style" w:eastAsiaTheme="minorEastAsia" w:hAnsi="Bookman Old Style"/>
        </w:rPr>
      </w:pPr>
    </w:p>
    <w:p w14:paraId="03A80409" w14:textId="77777777" w:rsidR="008E09D1" w:rsidRDefault="008E09D1" w:rsidP="00322B52">
      <w:pPr>
        <w:spacing w:after="0" w:line="240" w:lineRule="auto"/>
        <w:jc w:val="both"/>
        <w:rPr>
          <w:rFonts w:ascii="Bookman Old Style" w:eastAsiaTheme="minorEastAsia" w:hAnsi="Bookman Old Style"/>
        </w:rPr>
      </w:pPr>
    </w:p>
    <w:p w14:paraId="32FAC288" w14:textId="3DA38B8D"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b/>
        </w:rPr>
        <w:lastRenderedPageBreak/>
        <w:t>IMPLEMENTING THE APPROACH</w:t>
      </w:r>
      <w:r>
        <w:rPr>
          <w:rFonts w:ascii="Bookman Old Style" w:eastAsiaTheme="minorEastAsia" w:hAnsi="Bookman Old Style"/>
        </w:rPr>
        <w:t xml:space="preserve"> – To estimate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w:r>
        <w:rPr>
          <w:rFonts w:ascii="Bookman Old Style" w:eastAsiaTheme="minorEastAsia" w:hAnsi="Bookman Old Style"/>
        </w:rPr>
        <w:t xml:space="preserve"> using the dividend growth model approach, we need 3 pieces of information:</w:t>
      </w:r>
    </w:p>
    <w:p w14:paraId="3040B66F" w14:textId="2FA62BBD" w:rsidR="008E09D1" w:rsidRPr="008E09D1" w:rsidRDefault="00E741F7" w:rsidP="006F2196">
      <w:pPr>
        <w:pStyle w:val="ListParagraph"/>
        <w:numPr>
          <w:ilvl w:val="0"/>
          <w:numId w:val="3"/>
        </w:num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oMath>
    </w:p>
    <w:p w14:paraId="0049FA72" w14:textId="40836E4E" w:rsidR="008E09D1" w:rsidRPr="008E09D1" w:rsidRDefault="00E741F7" w:rsidP="006F2196">
      <w:pPr>
        <w:pStyle w:val="ListParagraph"/>
        <w:numPr>
          <w:ilvl w:val="0"/>
          <w:numId w:val="3"/>
        </w:num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oMath>
    </w:p>
    <w:p w14:paraId="33839FD8" w14:textId="408D777E" w:rsidR="008E09D1" w:rsidRPr="008E09D1" w:rsidRDefault="008E09D1" w:rsidP="006F2196">
      <w:pPr>
        <w:pStyle w:val="ListParagraph"/>
        <w:numPr>
          <w:ilvl w:val="0"/>
          <w:numId w:val="3"/>
        </w:numPr>
        <w:spacing w:after="0" w:line="240" w:lineRule="auto"/>
        <w:jc w:val="both"/>
        <w:rPr>
          <w:rFonts w:ascii="Bookman Old Style" w:eastAsiaTheme="minorEastAsia" w:hAnsi="Bookman Old Style"/>
        </w:rPr>
      </w:pPr>
      <w:r>
        <w:rPr>
          <w:rFonts w:ascii="Bookman Old Style" w:eastAsiaTheme="minorEastAsia" w:hAnsi="Bookman Old Style"/>
          <w:i/>
        </w:rPr>
        <w:t>g</w:t>
      </w:r>
    </w:p>
    <w:p w14:paraId="64378245" w14:textId="77777777" w:rsidR="008E09D1" w:rsidRPr="008E09D1" w:rsidRDefault="008E09D1" w:rsidP="00322B52">
      <w:pPr>
        <w:spacing w:after="0" w:line="240" w:lineRule="auto"/>
        <w:jc w:val="both"/>
        <w:rPr>
          <w:rFonts w:ascii="Bookman Old Style" w:eastAsiaTheme="minorEastAsia" w:hAnsi="Bookman Old Style"/>
        </w:rPr>
      </w:pPr>
    </w:p>
    <w:p w14:paraId="462D8826" w14:textId="49470C36" w:rsidR="008E09D1" w:rsidRDefault="008E09D1" w:rsidP="00322B52">
      <w:pPr>
        <w:spacing w:after="0" w:line="240" w:lineRule="auto"/>
        <w:jc w:val="both"/>
        <w:rPr>
          <w:rFonts w:ascii="Bookman Old Style" w:eastAsiaTheme="minorEastAsia" w:hAnsi="Bookman Old Style"/>
        </w:rPr>
      </w:pPr>
      <w:r>
        <w:rPr>
          <w:rFonts w:ascii="Bookman Old Style" w:hAnsi="Bookman Old Style"/>
        </w:rPr>
        <w:t>For a publicly traded, dividend-paying company, the first 2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O</m:t>
            </m:r>
          </m:sub>
        </m:sSub>
        <m:r>
          <w:rPr>
            <w:rFonts w:ascii="Cambria Math" w:eastAsiaTheme="minorEastAsia" w:hAnsi="Cambria Math"/>
          </w:rPr>
          <m:t xml:space="preserve"> &amp;</m:t>
        </m:r>
        <m:sSub>
          <m:sSubPr>
            <m:ctrlPr>
              <w:rPr>
                <w:rFonts w:ascii="Cambria Math" w:eastAsiaTheme="minorEastAsia" w:hAnsi="Cambria Math"/>
                <w:i/>
              </w:rPr>
            </m:ctrlPr>
          </m:sSubPr>
          <m:e>
            <m:r>
              <w:rPr>
                <w:rFonts w:ascii="Cambria Math" w:eastAsiaTheme="minorEastAsia" w:hAnsi="Cambria Math"/>
              </w:rPr>
              <m:t xml:space="preserve"> D</m:t>
            </m:r>
          </m:e>
          <m:sub>
            <m:r>
              <w:rPr>
                <w:rFonts w:ascii="Cambria Math" w:eastAsiaTheme="minorEastAsia" w:hAnsi="Cambria Math"/>
              </w:rPr>
              <m:t>O</m:t>
            </m:r>
          </m:sub>
        </m:sSub>
        <m:r>
          <w:rPr>
            <w:rFonts w:ascii="Cambria Math" w:eastAsiaTheme="minorEastAsia" w:hAnsi="Cambria Math"/>
          </w:rPr>
          <m:t>)</m:t>
        </m:r>
      </m:oMath>
      <w:r>
        <w:rPr>
          <w:rFonts w:ascii="Bookman Old Style" w:eastAsiaTheme="minorEastAsia" w:hAnsi="Bookman Old Style"/>
        </w:rPr>
        <w:t xml:space="preserve"> can be observed directly so they’re easily obtainable.</w:t>
      </w:r>
    </w:p>
    <w:p w14:paraId="65E625DA" w14:textId="77777777" w:rsidR="008E09D1" w:rsidRDefault="008E09D1" w:rsidP="00322B52">
      <w:pPr>
        <w:spacing w:after="0" w:line="240" w:lineRule="auto"/>
        <w:jc w:val="both"/>
        <w:rPr>
          <w:rFonts w:ascii="Bookman Old Style" w:eastAsiaTheme="minorEastAsia" w:hAnsi="Bookman Old Style"/>
        </w:rPr>
      </w:pPr>
    </w:p>
    <w:p w14:paraId="45AC62A9" w14:textId="0A17BF1C"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The third part, the expected growth rate in dividends, has to be estimated.</w:t>
      </w:r>
    </w:p>
    <w:p w14:paraId="47D9D045" w14:textId="77777777" w:rsidR="008E09D1" w:rsidRDefault="008E09D1" w:rsidP="00322B52">
      <w:pPr>
        <w:spacing w:after="0" w:line="240" w:lineRule="auto"/>
        <w:jc w:val="both"/>
        <w:rPr>
          <w:rFonts w:ascii="Bookman Old Style" w:eastAsiaTheme="minorEastAsia" w:hAnsi="Bookman Old Style"/>
        </w:rPr>
      </w:pPr>
    </w:p>
    <w:p w14:paraId="4C0B590E" w14:textId="631DA608"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3775B33" w14:textId="31B14B2F"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Provincial Power Company paid a dividend of $4 per share last year.</w:t>
      </w:r>
    </w:p>
    <w:p w14:paraId="14F26249" w14:textId="416D49D8"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The stock currently sells for $60/share</w:t>
      </w:r>
    </w:p>
    <w:p w14:paraId="799E1A8B" w14:textId="31BD291F"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You estimate the dividend will grow steadily at 6% per year into the indefinite future.</w:t>
      </w:r>
    </w:p>
    <w:p w14:paraId="1783AE29" w14:textId="0F018DA9"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What’s the cost of equity capital for Provincial Power?</w:t>
      </w:r>
    </w:p>
    <w:p w14:paraId="37032725" w14:textId="77777777" w:rsidR="008E09D1" w:rsidRDefault="008E09D1" w:rsidP="00322B52">
      <w:pPr>
        <w:spacing w:after="0" w:line="240" w:lineRule="auto"/>
        <w:jc w:val="both"/>
        <w:rPr>
          <w:rFonts w:ascii="Bookman Old Style" w:eastAsiaTheme="minorEastAsia" w:hAnsi="Bookman Old Style"/>
        </w:rPr>
      </w:pPr>
    </w:p>
    <w:p w14:paraId="49A4505B" w14:textId="22744D20"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Using the dividend growth model, the expected dividend for the coming year,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oMath>
      <w:r>
        <w:rPr>
          <w:rFonts w:ascii="Bookman Old Style" w:eastAsiaTheme="minorEastAsia" w:hAnsi="Bookman Old Style"/>
        </w:rPr>
        <w:t xml:space="preserve"> is:</w:t>
      </w:r>
    </w:p>
    <w:p w14:paraId="7F2AA7CD" w14:textId="77777777" w:rsidR="008E09D1" w:rsidRDefault="008E09D1" w:rsidP="00322B52">
      <w:pPr>
        <w:spacing w:after="0" w:line="240" w:lineRule="auto"/>
        <w:jc w:val="both"/>
        <w:rPr>
          <w:rFonts w:ascii="Bookman Old Style" w:eastAsiaTheme="minorEastAsia" w:hAnsi="Bookman Old Style"/>
        </w:rPr>
      </w:pPr>
    </w:p>
    <w:p w14:paraId="62BF7C98" w14:textId="0C9636C2" w:rsidR="008E09D1" w:rsidRPr="008E09D1" w:rsidRDefault="00E741F7" w:rsidP="00322B52">
      <w:pPr>
        <w:spacing w:after="0" w:line="240" w:lineRule="auto"/>
        <w:jc w:val="both"/>
        <w:rPr>
          <w:rFonts w:ascii="Bookman Old Style" w:eastAsiaTheme="minorEastAsia" w:hAnsi="Bookman Old Style"/>
        </w:rPr>
      </w:pPr>
      <m:oMathPara>
        <m:oMath>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0</m:t>
              </m:r>
            </m:sub>
          </m:sSub>
          <m:r>
            <w:rPr>
              <w:rFonts w:ascii="Cambria Math" w:hAnsi="Cambria Math"/>
            </w:rPr>
            <m:t>*</m:t>
          </m:r>
          <m:d>
            <m:dPr>
              <m:ctrlPr>
                <w:rPr>
                  <w:rFonts w:ascii="Cambria Math" w:hAnsi="Cambria Math"/>
                  <w:i/>
                </w:rPr>
              </m:ctrlPr>
            </m:dPr>
            <m:e>
              <m:r>
                <w:rPr>
                  <w:rFonts w:ascii="Cambria Math" w:hAnsi="Cambria Math"/>
                </w:rPr>
                <m:t>1+g</m:t>
              </m:r>
            </m:e>
          </m:d>
        </m:oMath>
      </m:oMathPara>
    </w:p>
    <w:p w14:paraId="3C456902" w14:textId="49D9D3A0" w:rsidR="008E09D1" w:rsidRDefault="008E09D1" w:rsidP="00322B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DDA46C5" w14:textId="27E8F075" w:rsidR="008E09D1" w:rsidRDefault="008E09D1" w:rsidP="00322B52">
      <w:pPr>
        <w:spacing w:after="0" w:line="240" w:lineRule="auto"/>
        <w:jc w:val="center"/>
        <w:rPr>
          <w:rFonts w:ascii="Bookman Old Style" w:eastAsiaTheme="minorEastAsia" w:hAnsi="Bookman Old Style"/>
        </w:rPr>
      </w:pPr>
      <w:r>
        <w:rPr>
          <w:rFonts w:ascii="Bookman Old Style" w:eastAsiaTheme="minorEastAsia" w:hAnsi="Bookman Old Style"/>
        </w:rPr>
        <w:t>$4 * (1.06)</w:t>
      </w:r>
    </w:p>
    <w:p w14:paraId="449875B8" w14:textId="53EFAC3B" w:rsidR="008E09D1" w:rsidRDefault="008E09D1" w:rsidP="00322B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E5D7F76" w14:textId="57BEE438" w:rsidR="008E09D1" w:rsidRDefault="008E09D1" w:rsidP="00322B52">
      <w:pPr>
        <w:spacing w:after="0" w:line="240" w:lineRule="auto"/>
        <w:jc w:val="center"/>
        <w:rPr>
          <w:rFonts w:ascii="Bookman Old Style" w:eastAsiaTheme="minorEastAsia" w:hAnsi="Bookman Old Style"/>
        </w:rPr>
      </w:pPr>
      <w:r>
        <w:rPr>
          <w:rFonts w:ascii="Bookman Old Style" w:eastAsiaTheme="minorEastAsia" w:hAnsi="Bookman Old Style"/>
        </w:rPr>
        <w:t>$4.24</w:t>
      </w:r>
    </w:p>
    <w:p w14:paraId="2CAF2F86" w14:textId="77777777" w:rsidR="008E09D1" w:rsidRDefault="008E09D1" w:rsidP="00322B52">
      <w:pPr>
        <w:spacing w:after="0" w:line="240" w:lineRule="auto"/>
        <w:jc w:val="both"/>
        <w:rPr>
          <w:rFonts w:ascii="Bookman Old Style" w:eastAsiaTheme="minorEastAsia" w:hAnsi="Bookman Old Style"/>
        </w:rPr>
      </w:pPr>
    </w:p>
    <w:p w14:paraId="51462F8E" w14:textId="1783D8B8"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Given this, the cost of equity,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w:r>
        <w:rPr>
          <w:rFonts w:ascii="Bookman Old Style" w:eastAsiaTheme="minorEastAsia" w:hAnsi="Bookman Old Style"/>
        </w:rPr>
        <w:t>, is:</w:t>
      </w:r>
    </w:p>
    <w:p w14:paraId="68581E00" w14:textId="77777777" w:rsidR="008E09D1" w:rsidRDefault="008E09D1" w:rsidP="00322B52">
      <w:pPr>
        <w:spacing w:after="0" w:line="240" w:lineRule="auto"/>
        <w:jc w:val="both"/>
        <w:rPr>
          <w:rFonts w:ascii="Bookman Old Style" w:eastAsiaTheme="minorEastAsia" w:hAnsi="Bookman Old Style"/>
        </w:rPr>
      </w:pPr>
    </w:p>
    <w:p w14:paraId="381DC1D8" w14:textId="4B0DD4A2" w:rsidR="008E09D1" w:rsidRPr="008E09D1" w:rsidRDefault="00E741F7" w:rsidP="00322B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+g</m:t>
          </m:r>
        </m:oMath>
      </m:oMathPara>
    </w:p>
    <w:p w14:paraId="32B64CD7" w14:textId="45DE13E3" w:rsidR="008E09D1" w:rsidRPr="008E09D1" w:rsidRDefault="008E09D1" w:rsidP="00322B52">
      <w:pPr>
        <w:spacing w:after="0" w:line="240" w:lineRule="auto"/>
        <w:jc w:val="center"/>
        <w:rPr>
          <w:rFonts w:ascii="Bookman Old Style" w:eastAsiaTheme="minorEastAsia" w:hAnsi="Bookman Old Style"/>
        </w:rPr>
      </w:pPr>
      <w:r w:rsidRPr="008E09D1">
        <w:rPr>
          <w:rFonts w:ascii="Bookman Old Style" w:eastAsiaTheme="minorEastAsia" w:hAnsi="Bookman Old Style"/>
        </w:rPr>
        <w:t>=</w:t>
      </w:r>
    </w:p>
    <w:p w14:paraId="16AEAAE0" w14:textId="7B10C397" w:rsidR="008E09D1" w:rsidRPr="008E09D1" w:rsidRDefault="00E741F7" w:rsidP="00322B52">
      <w:pPr>
        <w:spacing w:after="0" w:line="240" w:lineRule="auto"/>
        <w:jc w:val="center"/>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$4.24</m:t>
              </m:r>
            </m:num>
            <m:den>
              <m:r>
                <w:rPr>
                  <w:rFonts w:ascii="Cambria Math" w:eastAsiaTheme="minorEastAsia" w:hAnsi="Cambria Math"/>
                </w:rPr>
                <m:t>$60</m:t>
              </m:r>
            </m:den>
          </m:f>
          <m:r>
            <w:rPr>
              <w:rFonts w:ascii="Cambria Math" w:eastAsiaTheme="minorEastAsia" w:hAnsi="Cambria Math"/>
            </w:rPr>
            <m:t>+0.06</m:t>
          </m:r>
        </m:oMath>
      </m:oMathPara>
    </w:p>
    <w:p w14:paraId="69BE2770" w14:textId="5F97E83A" w:rsidR="008E09D1" w:rsidRPr="008E09D1" w:rsidRDefault="008E09D1" w:rsidP="00322B52">
      <w:pPr>
        <w:spacing w:after="0" w:line="240" w:lineRule="auto"/>
        <w:jc w:val="center"/>
        <w:rPr>
          <w:rFonts w:ascii="Bookman Old Style" w:eastAsiaTheme="minorEastAsia" w:hAnsi="Bookman Old Style"/>
        </w:rPr>
      </w:pPr>
      <w:r w:rsidRPr="008E09D1">
        <w:rPr>
          <w:rFonts w:ascii="Bookman Old Style" w:eastAsiaTheme="minorEastAsia" w:hAnsi="Bookman Old Style"/>
        </w:rPr>
        <w:t>=</w:t>
      </w:r>
    </w:p>
    <w:p w14:paraId="3EFBDE9C" w14:textId="61B4E5F0" w:rsidR="008E09D1" w:rsidRDefault="008E09D1" w:rsidP="00322B52">
      <w:pPr>
        <w:spacing w:after="0" w:line="240" w:lineRule="auto"/>
        <w:jc w:val="center"/>
        <w:rPr>
          <w:rFonts w:ascii="Bookman Old Style" w:eastAsiaTheme="minorEastAsia" w:hAnsi="Bookman Old Style"/>
        </w:rPr>
      </w:pPr>
      <w:r>
        <w:rPr>
          <w:rFonts w:ascii="Bookman Old Style" w:eastAsiaTheme="minorEastAsia" w:hAnsi="Bookman Old Style"/>
        </w:rPr>
        <w:t>$13.07%</w:t>
      </w:r>
    </w:p>
    <w:p w14:paraId="6F90606E" w14:textId="77777777" w:rsidR="008E09D1" w:rsidRDefault="008E09D1" w:rsidP="00322B52">
      <w:pPr>
        <w:spacing w:after="0" w:line="240" w:lineRule="auto"/>
        <w:jc w:val="center"/>
        <w:rPr>
          <w:rFonts w:ascii="Bookman Old Style" w:eastAsiaTheme="minorEastAsia" w:hAnsi="Bookman Old Style"/>
        </w:rPr>
      </w:pPr>
    </w:p>
    <w:p w14:paraId="10D04C22" w14:textId="43F4471F"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So the cost of equity is this 13.07%</w:t>
      </w:r>
    </w:p>
    <w:p w14:paraId="220564AF" w14:textId="77777777" w:rsidR="008E09D1" w:rsidRDefault="008E09D1" w:rsidP="00322B52">
      <w:pPr>
        <w:spacing w:after="0" w:line="240" w:lineRule="auto"/>
        <w:jc w:val="both"/>
        <w:rPr>
          <w:rFonts w:ascii="Bookman Old Style" w:eastAsiaTheme="minorEastAsia" w:hAnsi="Bookman Old Style"/>
        </w:rPr>
      </w:pPr>
    </w:p>
    <w:p w14:paraId="59EDCA33" w14:textId="77777777" w:rsidR="008E09D1" w:rsidRDefault="008E09D1" w:rsidP="00322B52">
      <w:pPr>
        <w:spacing w:after="0" w:line="240" w:lineRule="auto"/>
        <w:jc w:val="both"/>
        <w:rPr>
          <w:rFonts w:ascii="Bookman Old Style" w:eastAsiaTheme="minorEastAsia" w:hAnsi="Bookman Old Style"/>
          <w:b/>
        </w:rPr>
      </w:pPr>
    </w:p>
    <w:p w14:paraId="0D5936EC" w14:textId="7AB9673D"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b/>
        </w:rPr>
        <w:t xml:space="preserve">ESTIMATING </w:t>
      </w:r>
      <w:r>
        <w:rPr>
          <w:rFonts w:ascii="Bookman Old Style" w:eastAsiaTheme="minorEastAsia" w:hAnsi="Bookman Old Style"/>
          <w:b/>
          <w:i/>
        </w:rPr>
        <w:t>g</w:t>
      </w:r>
      <w:r>
        <w:rPr>
          <w:rFonts w:ascii="Bookman Old Style" w:eastAsiaTheme="minorEastAsia" w:hAnsi="Bookman Old Style"/>
        </w:rPr>
        <w:t xml:space="preserve"> – To use the dividend growth model, we have to come up with an estimate for </w:t>
      </w:r>
      <w:r>
        <w:rPr>
          <w:rFonts w:ascii="Bookman Old Style" w:eastAsiaTheme="minorEastAsia" w:hAnsi="Bookman Old Style"/>
          <w:i/>
        </w:rPr>
        <w:t>g</w:t>
      </w:r>
      <w:r>
        <w:rPr>
          <w:rFonts w:ascii="Bookman Old Style" w:eastAsiaTheme="minorEastAsia" w:hAnsi="Bookman Old Style"/>
        </w:rPr>
        <w:t>, the growth rate. There are 2 ways of doing this:</w:t>
      </w:r>
    </w:p>
    <w:p w14:paraId="11335E68" w14:textId="77777777" w:rsidR="008E09D1" w:rsidRDefault="008E09D1" w:rsidP="00322B52">
      <w:pPr>
        <w:spacing w:after="0" w:line="240" w:lineRule="auto"/>
        <w:jc w:val="both"/>
        <w:rPr>
          <w:rFonts w:ascii="Bookman Old Style" w:eastAsiaTheme="minorEastAsia" w:hAnsi="Bookman Old Style"/>
        </w:rPr>
      </w:pPr>
    </w:p>
    <w:p w14:paraId="35BA767D" w14:textId="46950548" w:rsidR="008E09D1" w:rsidRDefault="008E09D1" w:rsidP="006F2196">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rPr>
        <w:t>Use historical growth rate</w:t>
      </w:r>
    </w:p>
    <w:p w14:paraId="2FA4210F" w14:textId="6F5E9BBF" w:rsidR="008E09D1" w:rsidRDefault="008E09D1" w:rsidP="006F2196">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rPr>
        <w:t>Use analysts’ forecasts of future growth rates</w:t>
      </w:r>
    </w:p>
    <w:p w14:paraId="39A44E5A" w14:textId="77777777" w:rsidR="008E09D1" w:rsidRDefault="008E09D1" w:rsidP="00322B52">
      <w:pPr>
        <w:spacing w:after="0" w:line="240" w:lineRule="auto"/>
        <w:jc w:val="both"/>
        <w:rPr>
          <w:rFonts w:ascii="Bookman Old Style" w:eastAsiaTheme="minorEastAsia" w:hAnsi="Bookman Old Style"/>
        </w:rPr>
      </w:pPr>
    </w:p>
    <w:p w14:paraId="2287BDC4" w14:textId="35647E97"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Analysts’ forecasts are available from research departments of investment dealers. Different sources have different estimate, so one way might be to obtain multiple estimates and average them.</w:t>
      </w:r>
    </w:p>
    <w:p w14:paraId="1EA830CA" w14:textId="77777777" w:rsidR="008E09D1" w:rsidRDefault="008E09D1" w:rsidP="00322B52">
      <w:pPr>
        <w:spacing w:after="0" w:line="240" w:lineRule="auto"/>
        <w:jc w:val="both"/>
        <w:rPr>
          <w:rFonts w:ascii="Bookman Old Style" w:eastAsiaTheme="minorEastAsia" w:hAnsi="Bookman Old Style"/>
        </w:rPr>
      </w:pPr>
    </w:p>
    <w:p w14:paraId="6B592C16" w14:textId="68BF0C8A"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We can also look at dividends from previous years – let’s say five years – and calculate the compound growth rate.</w:t>
      </w:r>
    </w:p>
    <w:p w14:paraId="0450FF06" w14:textId="77777777" w:rsidR="008E09D1" w:rsidRDefault="008E09D1" w:rsidP="00322B52">
      <w:pPr>
        <w:spacing w:after="0" w:line="240" w:lineRule="auto"/>
        <w:jc w:val="both"/>
        <w:rPr>
          <w:rFonts w:ascii="Bookman Old Style" w:eastAsiaTheme="minorEastAsia" w:hAnsi="Bookman Old Style"/>
        </w:rPr>
      </w:pPr>
    </w:p>
    <w:p w14:paraId="32544A72" w14:textId="081C37C1"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3D939352" w14:textId="0C76AA30"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We observe the following for the James Bay Company:</w:t>
      </w:r>
    </w:p>
    <w:p w14:paraId="195FD4E2" w14:textId="77777777" w:rsidR="008E09D1" w:rsidRDefault="008E09D1" w:rsidP="00322B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188"/>
        <w:gridCol w:w="1260"/>
      </w:tblGrid>
      <w:tr w:rsidR="008E09D1" w14:paraId="1254BACD" w14:textId="77777777" w:rsidTr="008E09D1">
        <w:trPr>
          <w:jc w:val="center"/>
        </w:trPr>
        <w:tc>
          <w:tcPr>
            <w:tcW w:w="1188" w:type="dxa"/>
            <w:tcBorders>
              <w:left w:val="nil"/>
              <w:bottom w:val="single" w:sz="4" w:space="0" w:color="auto"/>
              <w:right w:val="nil"/>
            </w:tcBorders>
          </w:tcPr>
          <w:p w14:paraId="017EE9CA" w14:textId="5A83ABBD" w:rsidR="008E09D1" w:rsidRPr="008E09D1" w:rsidRDefault="008E09D1" w:rsidP="00322B52">
            <w:pPr>
              <w:jc w:val="center"/>
              <w:rPr>
                <w:rFonts w:ascii="Bookman Old Style" w:eastAsiaTheme="minorEastAsia" w:hAnsi="Bookman Old Style"/>
                <w:b/>
                <w:sz w:val="18"/>
              </w:rPr>
            </w:pPr>
            <w:r w:rsidRPr="008E09D1">
              <w:rPr>
                <w:rFonts w:ascii="Bookman Old Style" w:eastAsiaTheme="minorEastAsia" w:hAnsi="Bookman Old Style"/>
                <w:b/>
                <w:sz w:val="18"/>
              </w:rPr>
              <w:t>Year</w:t>
            </w:r>
          </w:p>
        </w:tc>
        <w:tc>
          <w:tcPr>
            <w:tcW w:w="1260" w:type="dxa"/>
            <w:tcBorders>
              <w:left w:val="nil"/>
              <w:bottom w:val="single" w:sz="4" w:space="0" w:color="auto"/>
              <w:right w:val="nil"/>
            </w:tcBorders>
          </w:tcPr>
          <w:p w14:paraId="7CDBABA4" w14:textId="08604A27" w:rsidR="008E09D1" w:rsidRPr="008E09D1" w:rsidRDefault="008E09D1" w:rsidP="00322B52">
            <w:pPr>
              <w:jc w:val="center"/>
              <w:rPr>
                <w:rFonts w:ascii="Bookman Old Style" w:eastAsiaTheme="minorEastAsia" w:hAnsi="Bookman Old Style"/>
                <w:b/>
                <w:sz w:val="18"/>
              </w:rPr>
            </w:pPr>
            <w:r w:rsidRPr="008E09D1">
              <w:rPr>
                <w:rFonts w:ascii="Bookman Old Style" w:eastAsiaTheme="minorEastAsia" w:hAnsi="Bookman Old Style"/>
                <w:b/>
                <w:sz w:val="18"/>
              </w:rPr>
              <w:t>Dividend</w:t>
            </w:r>
          </w:p>
        </w:tc>
      </w:tr>
      <w:tr w:rsidR="008E09D1" w14:paraId="4F9A325D" w14:textId="77777777" w:rsidTr="008E09D1">
        <w:trPr>
          <w:jc w:val="center"/>
        </w:trPr>
        <w:tc>
          <w:tcPr>
            <w:tcW w:w="1188" w:type="dxa"/>
            <w:tcBorders>
              <w:left w:val="nil"/>
              <w:bottom w:val="nil"/>
              <w:right w:val="nil"/>
            </w:tcBorders>
          </w:tcPr>
          <w:p w14:paraId="578F1207" w14:textId="7109817F"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2008</w:t>
            </w:r>
          </w:p>
        </w:tc>
        <w:tc>
          <w:tcPr>
            <w:tcW w:w="1260" w:type="dxa"/>
            <w:tcBorders>
              <w:left w:val="nil"/>
              <w:bottom w:val="nil"/>
              <w:right w:val="nil"/>
            </w:tcBorders>
          </w:tcPr>
          <w:p w14:paraId="26B3824B" w14:textId="14B9E258"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$1.10</w:t>
            </w:r>
          </w:p>
        </w:tc>
      </w:tr>
      <w:tr w:rsidR="008E09D1" w14:paraId="08738DE6" w14:textId="77777777" w:rsidTr="008E09D1">
        <w:trPr>
          <w:jc w:val="center"/>
        </w:trPr>
        <w:tc>
          <w:tcPr>
            <w:tcW w:w="1188" w:type="dxa"/>
            <w:tcBorders>
              <w:top w:val="nil"/>
              <w:left w:val="nil"/>
              <w:bottom w:val="nil"/>
              <w:right w:val="nil"/>
            </w:tcBorders>
          </w:tcPr>
          <w:p w14:paraId="698AFFAF" w14:textId="3A2D1187"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2009</w:t>
            </w:r>
          </w:p>
        </w:tc>
        <w:tc>
          <w:tcPr>
            <w:tcW w:w="1260" w:type="dxa"/>
            <w:tcBorders>
              <w:top w:val="nil"/>
              <w:left w:val="nil"/>
              <w:bottom w:val="nil"/>
              <w:right w:val="nil"/>
            </w:tcBorders>
          </w:tcPr>
          <w:p w14:paraId="147FDDFA" w14:textId="6E062D6D"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$1.20</w:t>
            </w:r>
          </w:p>
        </w:tc>
      </w:tr>
      <w:tr w:rsidR="008E09D1" w14:paraId="5CF91411" w14:textId="77777777" w:rsidTr="008E09D1">
        <w:trPr>
          <w:jc w:val="center"/>
        </w:trPr>
        <w:tc>
          <w:tcPr>
            <w:tcW w:w="1188" w:type="dxa"/>
            <w:tcBorders>
              <w:top w:val="nil"/>
              <w:left w:val="nil"/>
              <w:bottom w:val="nil"/>
              <w:right w:val="nil"/>
            </w:tcBorders>
          </w:tcPr>
          <w:p w14:paraId="54176E5F" w14:textId="7E099013"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2010</w:t>
            </w:r>
          </w:p>
        </w:tc>
        <w:tc>
          <w:tcPr>
            <w:tcW w:w="1260" w:type="dxa"/>
            <w:tcBorders>
              <w:top w:val="nil"/>
              <w:left w:val="nil"/>
              <w:bottom w:val="nil"/>
              <w:right w:val="nil"/>
            </w:tcBorders>
          </w:tcPr>
          <w:p w14:paraId="21F206BC" w14:textId="4FE9353E"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$1.35</w:t>
            </w:r>
          </w:p>
        </w:tc>
      </w:tr>
      <w:tr w:rsidR="008E09D1" w14:paraId="35180537" w14:textId="77777777" w:rsidTr="008E09D1">
        <w:trPr>
          <w:jc w:val="center"/>
        </w:trPr>
        <w:tc>
          <w:tcPr>
            <w:tcW w:w="1188" w:type="dxa"/>
            <w:tcBorders>
              <w:top w:val="nil"/>
              <w:left w:val="nil"/>
              <w:bottom w:val="nil"/>
              <w:right w:val="nil"/>
            </w:tcBorders>
          </w:tcPr>
          <w:p w14:paraId="37AA4BDE" w14:textId="758CD7CF"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2011</w:t>
            </w:r>
          </w:p>
        </w:tc>
        <w:tc>
          <w:tcPr>
            <w:tcW w:w="1260" w:type="dxa"/>
            <w:tcBorders>
              <w:top w:val="nil"/>
              <w:left w:val="nil"/>
              <w:bottom w:val="nil"/>
              <w:right w:val="nil"/>
            </w:tcBorders>
          </w:tcPr>
          <w:p w14:paraId="1B2D54B9" w14:textId="37400F52"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$1.40</w:t>
            </w:r>
          </w:p>
        </w:tc>
      </w:tr>
      <w:tr w:rsidR="008E09D1" w14:paraId="5414D90F" w14:textId="77777777" w:rsidTr="008E09D1">
        <w:trPr>
          <w:jc w:val="center"/>
        </w:trPr>
        <w:tc>
          <w:tcPr>
            <w:tcW w:w="1188" w:type="dxa"/>
            <w:tcBorders>
              <w:top w:val="nil"/>
              <w:left w:val="nil"/>
              <w:right w:val="nil"/>
            </w:tcBorders>
          </w:tcPr>
          <w:p w14:paraId="0AF25146" w14:textId="3ED801FF"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2012</w:t>
            </w:r>
          </w:p>
        </w:tc>
        <w:tc>
          <w:tcPr>
            <w:tcW w:w="1260" w:type="dxa"/>
            <w:tcBorders>
              <w:top w:val="nil"/>
              <w:left w:val="nil"/>
              <w:right w:val="nil"/>
            </w:tcBorders>
          </w:tcPr>
          <w:p w14:paraId="0D24B3DD" w14:textId="7FD15C8A" w:rsidR="008E09D1" w:rsidRPr="008E09D1" w:rsidRDefault="008E09D1" w:rsidP="00322B52">
            <w:pPr>
              <w:jc w:val="center"/>
              <w:rPr>
                <w:rFonts w:ascii="Bookman Old Style" w:eastAsiaTheme="minorEastAsia" w:hAnsi="Bookman Old Style"/>
                <w:sz w:val="18"/>
              </w:rPr>
            </w:pPr>
            <w:r w:rsidRPr="008E09D1">
              <w:rPr>
                <w:rFonts w:ascii="Bookman Old Style" w:eastAsiaTheme="minorEastAsia" w:hAnsi="Bookman Old Style"/>
                <w:sz w:val="18"/>
              </w:rPr>
              <w:t>$1.55</w:t>
            </w:r>
          </w:p>
        </w:tc>
      </w:tr>
    </w:tbl>
    <w:p w14:paraId="3F6B9CE0" w14:textId="77777777" w:rsidR="008E09D1" w:rsidRDefault="008E09D1" w:rsidP="00322B52">
      <w:pPr>
        <w:spacing w:after="0" w:line="240" w:lineRule="auto"/>
        <w:jc w:val="both"/>
        <w:rPr>
          <w:rFonts w:ascii="Bookman Old Style" w:eastAsiaTheme="minorEastAsia" w:hAnsi="Bookman Old Style"/>
        </w:rPr>
      </w:pPr>
    </w:p>
    <w:p w14:paraId="1DD81039" w14:textId="77F5AF64" w:rsidR="008E09D1" w:rsidRDefault="008E09D1"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compound growth rate, </w:t>
      </w:r>
      <w:r>
        <w:rPr>
          <w:rFonts w:ascii="Bookman Old Style" w:eastAsiaTheme="minorEastAsia" w:hAnsi="Bookman Old Style"/>
          <w:i/>
        </w:rPr>
        <w:t>g</w:t>
      </w:r>
      <w:r>
        <w:rPr>
          <w:rFonts w:ascii="Bookman Old Style" w:eastAsiaTheme="minorEastAsia" w:hAnsi="Bookman Old Style"/>
        </w:rPr>
        <w:t>, is the rate at which $1.10 grew to $1.55 during 4 periods of growth.</w:t>
      </w:r>
    </w:p>
    <w:p w14:paraId="48B58D2C" w14:textId="77777777" w:rsidR="008E09D1" w:rsidRDefault="008E09D1" w:rsidP="00322B52">
      <w:pPr>
        <w:spacing w:after="0" w:line="240" w:lineRule="auto"/>
        <w:jc w:val="both"/>
        <w:rPr>
          <w:rFonts w:ascii="Bookman Old Style" w:eastAsiaTheme="minorEastAsia" w:hAnsi="Bookman Old Style"/>
        </w:rPr>
      </w:pPr>
    </w:p>
    <w:p w14:paraId="27568A70" w14:textId="5DC093DB" w:rsidR="008E09D1" w:rsidRPr="003E653F" w:rsidRDefault="003E653F" w:rsidP="00322B52">
      <w:pPr>
        <w:spacing w:after="0" w:line="240" w:lineRule="auto"/>
        <w:jc w:val="center"/>
        <w:rPr>
          <w:rFonts w:ascii="Bookman Old Style" w:eastAsiaTheme="minorEastAsia" w:hAnsi="Bookman Old Style"/>
        </w:rPr>
      </w:pPr>
      <m:oMathPara>
        <m:oMath>
          <m:r>
            <w:rPr>
              <w:rFonts w:ascii="Cambria Math" w:eastAsiaTheme="minorEastAsia" w:hAnsi="Cambria Math"/>
            </w:rPr>
            <m:t>$1.10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r>
            <w:rPr>
              <w:rFonts w:ascii="Cambria Math" w:eastAsiaTheme="minorEastAsia" w:hAnsi="Cambria Math"/>
            </w:rPr>
            <m:t>=$1.55</m:t>
          </m:r>
        </m:oMath>
      </m:oMathPara>
    </w:p>
    <w:p w14:paraId="08044E7F" w14:textId="33D05F3A" w:rsidR="003E653F" w:rsidRPr="003E653F" w:rsidRDefault="003E653F" w:rsidP="00322B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46B87C4" w14:textId="23B59102" w:rsidR="003E653F" w:rsidRPr="003E653F" w:rsidRDefault="00E741F7" w:rsidP="00322B52">
      <w:pPr>
        <w:spacing w:after="0" w:line="240" w:lineRule="auto"/>
        <w:jc w:val="center"/>
        <w:rPr>
          <w:rFonts w:ascii="Bookman Old Style" w:eastAsiaTheme="minorEastAsia" w:hAnsi="Bookman Old Style"/>
        </w:rPr>
      </w:pPr>
      <m:oMathPara>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4</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$1.55</m:t>
              </m:r>
            </m:num>
            <m:den>
              <m:r>
                <w:rPr>
                  <w:rFonts w:ascii="Cambria Math" w:eastAsiaTheme="minorEastAsia" w:hAnsi="Cambria Math"/>
                </w:rPr>
                <m:t>$1.10</m:t>
              </m:r>
            </m:den>
          </m:f>
          <m:r>
            <w:rPr>
              <w:rFonts w:ascii="Cambria Math" w:eastAsiaTheme="minorEastAsia" w:hAnsi="Cambria Math"/>
            </w:rPr>
            <m:t>=1.4090</m:t>
          </m:r>
        </m:oMath>
      </m:oMathPara>
    </w:p>
    <w:p w14:paraId="0C9B6177" w14:textId="5BE200DF" w:rsidR="003E653F" w:rsidRDefault="003E653F" w:rsidP="00322B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84415CF" w14:textId="16EDA40D" w:rsidR="003E653F" w:rsidRPr="003E653F" w:rsidRDefault="003E653F" w:rsidP="00322B52">
      <w:pPr>
        <w:spacing w:after="0" w:line="240" w:lineRule="auto"/>
        <w:jc w:val="center"/>
        <w:rPr>
          <w:rFonts w:ascii="Bookman Old Style" w:eastAsiaTheme="minorEastAsia" w:hAnsi="Bookman Old Style"/>
        </w:rPr>
      </w:pPr>
      <m:oMathPara>
        <m:oMath>
          <m:r>
            <w:rPr>
              <w:rFonts w:ascii="Cambria Math" w:eastAsiaTheme="minorEastAsia" w:hAnsi="Cambria Math"/>
            </w:rPr>
            <m:t>1+g=</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1.4090</m:t>
                  </m:r>
                </m:e>
              </m:d>
            </m:e>
            <m:sup>
              <m:r>
                <w:rPr>
                  <w:rFonts w:ascii="Cambria Math" w:eastAsiaTheme="minorEastAsia" w:hAnsi="Cambria Math"/>
                </w:rPr>
                <m:t>0.25</m:t>
              </m:r>
            </m:sup>
          </m:sSup>
          <m:r>
            <w:rPr>
              <w:rFonts w:ascii="Cambria Math" w:eastAsiaTheme="minorEastAsia" w:hAnsi="Cambria Math"/>
            </w:rPr>
            <m:t>=1.0895</m:t>
          </m:r>
        </m:oMath>
      </m:oMathPara>
    </w:p>
    <w:p w14:paraId="22B57EC3" w14:textId="08484BD3" w:rsidR="003E653F" w:rsidRDefault="003E653F" w:rsidP="00322B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7CCCFC4" w14:textId="3F1EE136" w:rsidR="003E653F" w:rsidRPr="003E653F" w:rsidRDefault="003E653F" w:rsidP="00322B52">
      <w:pPr>
        <w:spacing w:after="0" w:line="240" w:lineRule="auto"/>
        <w:jc w:val="both"/>
        <w:rPr>
          <w:rFonts w:ascii="Bookman Old Style" w:eastAsiaTheme="minorEastAsia" w:hAnsi="Bookman Old Style"/>
        </w:rPr>
      </w:pPr>
      <m:oMathPara>
        <m:oMath>
          <m:r>
            <w:rPr>
              <w:rFonts w:ascii="Cambria Math" w:eastAsiaTheme="minorEastAsia" w:hAnsi="Cambria Math"/>
            </w:rPr>
            <m:t>g=0.0895=8.95%</m:t>
          </m:r>
        </m:oMath>
      </m:oMathPara>
    </w:p>
    <w:p w14:paraId="64A1F211" w14:textId="77777777" w:rsidR="003E653F" w:rsidRDefault="003E653F" w:rsidP="00322B52">
      <w:pPr>
        <w:spacing w:after="0" w:line="240" w:lineRule="auto"/>
        <w:jc w:val="both"/>
        <w:rPr>
          <w:rFonts w:ascii="Bookman Old Style" w:eastAsiaTheme="minorEastAsia" w:hAnsi="Bookman Old Style"/>
        </w:rPr>
      </w:pPr>
    </w:p>
    <w:p w14:paraId="589184D7" w14:textId="70CEEB22"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rPr>
        <w:t>If historical growth has been volatile, the compound growth rate would be sensitive to our choice of beginning and ending years. In this case, it’s better to calculate the year-to-year growth rates and average them:</w:t>
      </w:r>
    </w:p>
    <w:p w14:paraId="669EAFE6" w14:textId="77777777" w:rsidR="003E653F" w:rsidRDefault="003E653F" w:rsidP="00322B52">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008"/>
        <w:gridCol w:w="1260"/>
        <w:gridCol w:w="1530"/>
        <w:gridCol w:w="1980"/>
      </w:tblGrid>
      <w:tr w:rsidR="003E653F" w14:paraId="26C58410" w14:textId="77777777" w:rsidTr="003E653F">
        <w:trPr>
          <w:jc w:val="center"/>
        </w:trPr>
        <w:tc>
          <w:tcPr>
            <w:tcW w:w="1008" w:type="dxa"/>
            <w:tcBorders>
              <w:left w:val="nil"/>
              <w:bottom w:val="single" w:sz="4" w:space="0" w:color="auto"/>
              <w:right w:val="nil"/>
            </w:tcBorders>
          </w:tcPr>
          <w:p w14:paraId="4D6C0DA9" w14:textId="6A006ABB"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Year</w:t>
            </w:r>
          </w:p>
        </w:tc>
        <w:tc>
          <w:tcPr>
            <w:tcW w:w="1260" w:type="dxa"/>
            <w:tcBorders>
              <w:left w:val="nil"/>
              <w:bottom w:val="single" w:sz="4" w:space="0" w:color="auto"/>
              <w:right w:val="nil"/>
            </w:tcBorders>
          </w:tcPr>
          <w:p w14:paraId="4554DDD7" w14:textId="2D0B82F8"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Dividend</w:t>
            </w:r>
          </w:p>
        </w:tc>
        <w:tc>
          <w:tcPr>
            <w:tcW w:w="1530" w:type="dxa"/>
            <w:tcBorders>
              <w:left w:val="nil"/>
              <w:bottom w:val="single" w:sz="4" w:space="0" w:color="auto"/>
              <w:right w:val="nil"/>
            </w:tcBorders>
          </w:tcPr>
          <w:p w14:paraId="63CF6BF4" w14:textId="2DAC2150"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Dollar Change</w:t>
            </w:r>
          </w:p>
        </w:tc>
        <w:tc>
          <w:tcPr>
            <w:tcW w:w="1980" w:type="dxa"/>
            <w:tcBorders>
              <w:left w:val="nil"/>
              <w:bottom w:val="single" w:sz="4" w:space="0" w:color="auto"/>
              <w:right w:val="nil"/>
            </w:tcBorders>
          </w:tcPr>
          <w:p w14:paraId="276D4A3B" w14:textId="3F86BCE6"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Percentage Change</w:t>
            </w:r>
          </w:p>
        </w:tc>
      </w:tr>
      <w:tr w:rsidR="003E653F" w14:paraId="545C1F19" w14:textId="77777777" w:rsidTr="003E653F">
        <w:trPr>
          <w:jc w:val="center"/>
        </w:trPr>
        <w:tc>
          <w:tcPr>
            <w:tcW w:w="1008" w:type="dxa"/>
            <w:tcBorders>
              <w:left w:val="nil"/>
              <w:bottom w:val="nil"/>
              <w:right w:val="nil"/>
            </w:tcBorders>
          </w:tcPr>
          <w:p w14:paraId="0268305C" w14:textId="2F099E4B"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2008</w:t>
            </w:r>
          </w:p>
        </w:tc>
        <w:tc>
          <w:tcPr>
            <w:tcW w:w="1260" w:type="dxa"/>
            <w:tcBorders>
              <w:left w:val="nil"/>
              <w:bottom w:val="nil"/>
              <w:right w:val="nil"/>
            </w:tcBorders>
          </w:tcPr>
          <w:p w14:paraId="7213E507" w14:textId="1F0A7BD0"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$1.10</w:t>
            </w:r>
          </w:p>
        </w:tc>
        <w:tc>
          <w:tcPr>
            <w:tcW w:w="1530" w:type="dxa"/>
            <w:tcBorders>
              <w:left w:val="nil"/>
              <w:bottom w:val="nil"/>
              <w:right w:val="nil"/>
            </w:tcBorders>
          </w:tcPr>
          <w:p w14:paraId="004632D0" w14:textId="703CA8DC"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w:t>
            </w:r>
          </w:p>
        </w:tc>
        <w:tc>
          <w:tcPr>
            <w:tcW w:w="1980" w:type="dxa"/>
            <w:tcBorders>
              <w:left w:val="nil"/>
              <w:bottom w:val="nil"/>
              <w:right w:val="nil"/>
            </w:tcBorders>
          </w:tcPr>
          <w:p w14:paraId="201803F2" w14:textId="6226F901"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w:t>
            </w:r>
          </w:p>
        </w:tc>
      </w:tr>
      <w:tr w:rsidR="003E653F" w14:paraId="46D48691" w14:textId="77777777" w:rsidTr="003E653F">
        <w:trPr>
          <w:jc w:val="center"/>
        </w:trPr>
        <w:tc>
          <w:tcPr>
            <w:tcW w:w="1008" w:type="dxa"/>
            <w:tcBorders>
              <w:top w:val="nil"/>
              <w:left w:val="nil"/>
              <w:bottom w:val="nil"/>
              <w:right w:val="nil"/>
            </w:tcBorders>
          </w:tcPr>
          <w:p w14:paraId="6D21F58B" w14:textId="0C2B8996"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2009</w:t>
            </w:r>
          </w:p>
        </w:tc>
        <w:tc>
          <w:tcPr>
            <w:tcW w:w="1260" w:type="dxa"/>
            <w:tcBorders>
              <w:top w:val="nil"/>
              <w:left w:val="nil"/>
              <w:bottom w:val="nil"/>
              <w:right w:val="nil"/>
            </w:tcBorders>
          </w:tcPr>
          <w:p w14:paraId="4AD5D22D" w14:textId="7D49FA62"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$1.20</w:t>
            </w:r>
          </w:p>
        </w:tc>
        <w:tc>
          <w:tcPr>
            <w:tcW w:w="1530" w:type="dxa"/>
            <w:tcBorders>
              <w:top w:val="nil"/>
              <w:left w:val="nil"/>
              <w:bottom w:val="nil"/>
              <w:right w:val="nil"/>
            </w:tcBorders>
          </w:tcPr>
          <w:p w14:paraId="07ECEBC8" w14:textId="1A1778F7"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$0.10</w:t>
            </w:r>
          </w:p>
        </w:tc>
        <w:tc>
          <w:tcPr>
            <w:tcW w:w="1980" w:type="dxa"/>
            <w:tcBorders>
              <w:top w:val="nil"/>
              <w:left w:val="nil"/>
              <w:bottom w:val="nil"/>
              <w:right w:val="nil"/>
            </w:tcBorders>
          </w:tcPr>
          <w:p w14:paraId="271E0C8F" w14:textId="11885CD9"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9.09%</w:t>
            </w:r>
          </w:p>
        </w:tc>
      </w:tr>
      <w:tr w:rsidR="003E653F" w14:paraId="6A020180" w14:textId="77777777" w:rsidTr="003E653F">
        <w:trPr>
          <w:jc w:val="center"/>
        </w:trPr>
        <w:tc>
          <w:tcPr>
            <w:tcW w:w="1008" w:type="dxa"/>
            <w:tcBorders>
              <w:top w:val="nil"/>
              <w:left w:val="nil"/>
              <w:bottom w:val="nil"/>
              <w:right w:val="nil"/>
            </w:tcBorders>
          </w:tcPr>
          <w:p w14:paraId="623B407D" w14:textId="375E9E64"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2010</w:t>
            </w:r>
          </w:p>
        </w:tc>
        <w:tc>
          <w:tcPr>
            <w:tcW w:w="1260" w:type="dxa"/>
            <w:tcBorders>
              <w:top w:val="nil"/>
              <w:left w:val="nil"/>
              <w:bottom w:val="nil"/>
              <w:right w:val="nil"/>
            </w:tcBorders>
          </w:tcPr>
          <w:p w14:paraId="1625F71F" w14:textId="7671C60A"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$1.35</w:t>
            </w:r>
          </w:p>
        </w:tc>
        <w:tc>
          <w:tcPr>
            <w:tcW w:w="1530" w:type="dxa"/>
            <w:tcBorders>
              <w:top w:val="nil"/>
              <w:left w:val="nil"/>
              <w:bottom w:val="nil"/>
              <w:right w:val="nil"/>
            </w:tcBorders>
          </w:tcPr>
          <w:p w14:paraId="49860F77" w14:textId="05C77089"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$0.15</w:t>
            </w:r>
          </w:p>
        </w:tc>
        <w:tc>
          <w:tcPr>
            <w:tcW w:w="1980" w:type="dxa"/>
            <w:tcBorders>
              <w:top w:val="nil"/>
              <w:left w:val="nil"/>
              <w:bottom w:val="nil"/>
              <w:right w:val="nil"/>
            </w:tcBorders>
          </w:tcPr>
          <w:p w14:paraId="370C32B4" w14:textId="4F34F7D5"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12.50%</w:t>
            </w:r>
          </w:p>
        </w:tc>
      </w:tr>
      <w:tr w:rsidR="003E653F" w14:paraId="4F1C3432" w14:textId="77777777" w:rsidTr="003E653F">
        <w:trPr>
          <w:jc w:val="center"/>
        </w:trPr>
        <w:tc>
          <w:tcPr>
            <w:tcW w:w="1008" w:type="dxa"/>
            <w:tcBorders>
              <w:top w:val="nil"/>
              <w:left w:val="nil"/>
              <w:bottom w:val="nil"/>
              <w:right w:val="nil"/>
            </w:tcBorders>
          </w:tcPr>
          <w:p w14:paraId="7509EA9C" w14:textId="080B4DEA"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2011</w:t>
            </w:r>
          </w:p>
        </w:tc>
        <w:tc>
          <w:tcPr>
            <w:tcW w:w="1260" w:type="dxa"/>
            <w:tcBorders>
              <w:top w:val="nil"/>
              <w:left w:val="nil"/>
              <w:bottom w:val="nil"/>
              <w:right w:val="nil"/>
            </w:tcBorders>
          </w:tcPr>
          <w:p w14:paraId="187A4B59" w14:textId="34B8C521"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$1.40</w:t>
            </w:r>
          </w:p>
        </w:tc>
        <w:tc>
          <w:tcPr>
            <w:tcW w:w="1530" w:type="dxa"/>
            <w:tcBorders>
              <w:top w:val="nil"/>
              <w:left w:val="nil"/>
              <w:bottom w:val="nil"/>
              <w:right w:val="nil"/>
            </w:tcBorders>
          </w:tcPr>
          <w:p w14:paraId="26A965BB" w14:textId="2F6F4287"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$0.05</w:t>
            </w:r>
          </w:p>
        </w:tc>
        <w:tc>
          <w:tcPr>
            <w:tcW w:w="1980" w:type="dxa"/>
            <w:tcBorders>
              <w:top w:val="nil"/>
              <w:left w:val="nil"/>
              <w:bottom w:val="nil"/>
              <w:right w:val="nil"/>
            </w:tcBorders>
          </w:tcPr>
          <w:p w14:paraId="4BB08CF3" w14:textId="5A581014"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3.70%</w:t>
            </w:r>
          </w:p>
        </w:tc>
      </w:tr>
      <w:tr w:rsidR="003E653F" w14:paraId="6BFB50C9" w14:textId="77777777" w:rsidTr="003E653F">
        <w:trPr>
          <w:jc w:val="center"/>
        </w:trPr>
        <w:tc>
          <w:tcPr>
            <w:tcW w:w="1008" w:type="dxa"/>
            <w:tcBorders>
              <w:top w:val="nil"/>
              <w:left w:val="nil"/>
              <w:right w:val="nil"/>
            </w:tcBorders>
          </w:tcPr>
          <w:p w14:paraId="20164CA1" w14:textId="2357288E"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2012</w:t>
            </w:r>
          </w:p>
        </w:tc>
        <w:tc>
          <w:tcPr>
            <w:tcW w:w="1260" w:type="dxa"/>
            <w:tcBorders>
              <w:top w:val="nil"/>
              <w:left w:val="nil"/>
              <w:right w:val="nil"/>
            </w:tcBorders>
          </w:tcPr>
          <w:p w14:paraId="12866EFE" w14:textId="61BB9B09"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$1.55</w:t>
            </w:r>
          </w:p>
        </w:tc>
        <w:tc>
          <w:tcPr>
            <w:tcW w:w="1530" w:type="dxa"/>
            <w:tcBorders>
              <w:top w:val="nil"/>
              <w:left w:val="nil"/>
              <w:right w:val="nil"/>
            </w:tcBorders>
          </w:tcPr>
          <w:p w14:paraId="4A5CCA15" w14:textId="7537A519"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$0.15</w:t>
            </w:r>
          </w:p>
        </w:tc>
        <w:tc>
          <w:tcPr>
            <w:tcW w:w="1980" w:type="dxa"/>
            <w:tcBorders>
              <w:top w:val="nil"/>
              <w:left w:val="nil"/>
              <w:right w:val="nil"/>
            </w:tcBorders>
          </w:tcPr>
          <w:p w14:paraId="64C1703A" w14:textId="72C5A172" w:rsidR="003E653F" w:rsidRPr="003E653F" w:rsidRDefault="003E653F" w:rsidP="00322B52">
            <w:pPr>
              <w:jc w:val="center"/>
              <w:rPr>
                <w:rFonts w:ascii="Bookman Old Style" w:eastAsiaTheme="minorEastAsia" w:hAnsi="Bookman Old Style"/>
                <w:sz w:val="18"/>
              </w:rPr>
            </w:pPr>
            <w:r w:rsidRPr="003E653F">
              <w:rPr>
                <w:rFonts w:ascii="Bookman Old Style" w:eastAsiaTheme="minorEastAsia" w:hAnsi="Bookman Old Style"/>
                <w:sz w:val="18"/>
              </w:rPr>
              <w:t>10.71%</w:t>
            </w:r>
          </w:p>
        </w:tc>
      </w:tr>
    </w:tbl>
    <w:p w14:paraId="4D1F7CB9" w14:textId="77777777" w:rsidR="003E653F" w:rsidRDefault="003E653F" w:rsidP="00322B52">
      <w:pPr>
        <w:spacing w:after="0" w:line="240" w:lineRule="auto"/>
        <w:jc w:val="both"/>
        <w:rPr>
          <w:rFonts w:ascii="Bookman Old Style" w:eastAsiaTheme="minorEastAsia" w:hAnsi="Bookman Old Style"/>
        </w:rPr>
      </w:pPr>
    </w:p>
    <w:p w14:paraId="22CF8BE0" w14:textId="0789F209"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rPr>
        <w:t>We calculated the change in dividend in a dollar amount and by percentage. As an example, in 2009 the dividend rose from $1.10 to $1.20 which is an increase of $0.10 – this represents a $0.10/$1.10 = 9.09% increase</w:t>
      </w:r>
    </w:p>
    <w:p w14:paraId="67F044BD" w14:textId="77777777" w:rsidR="003E653F" w:rsidRDefault="003E653F" w:rsidP="00322B52">
      <w:pPr>
        <w:spacing w:after="0" w:line="240" w:lineRule="auto"/>
        <w:jc w:val="both"/>
        <w:rPr>
          <w:rFonts w:ascii="Bookman Old Style" w:eastAsiaTheme="minorEastAsia" w:hAnsi="Bookman Old Style"/>
        </w:rPr>
      </w:pPr>
    </w:p>
    <w:p w14:paraId="521701E9" w14:textId="60DB27E9"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If we average the 4 growth rates, the result is (9.09 + 12.50 + 3.70 + 10.71)/4 = 9%, so we could use this as an estimate for the expected growth rate, </w:t>
      </w:r>
      <w:r>
        <w:rPr>
          <w:rFonts w:ascii="Bookman Old Style" w:eastAsiaTheme="minorEastAsia" w:hAnsi="Bookman Old Style"/>
          <w:i/>
        </w:rPr>
        <w:t>g</w:t>
      </w:r>
      <w:r>
        <w:rPr>
          <w:rFonts w:ascii="Bookman Old Style" w:eastAsiaTheme="minorEastAsia" w:hAnsi="Bookman Old Style"/>
        </w:rPr>
        <w:t>.</w:t>
      </w:r>
    </w:p>
    <w:p w14:paraId="122998E4" w14:textId="77777777" w:rsidR="003E653F" w:rsidRDefault="003E653F" w:rsidP="00322B52">
      <w:pPr>
        <w:spacing w:after="0" w:line="240" w:lineRule="auto"/>
        <w:jc w:val="both"/>
        <w:rPr>
          <w:rFonts w:ascii="Bookman Old Style" w:eastAsiaTheme="minorEastAsia" w:hAnsi="Bookman Old Style"/>
        </w:rPr>
      </w:pPr>
    </w:p>
    <w:p w14:paraId="75393AC5" w14:textId="77777777" w:rsidR="003E653F" w:rsidRDefault="003E653F" w:rsidP="00322B52">
      <w:pPr>
        <w:spacing w:after="0" w:line="240" w:lineRule="auto"/>
        <w:jc w:val="both"/>
        <w:rPr>
          <w:rFonts w:ascii="Bookman Old Style" w:eastAsiaTheme="minorEastAsia" w:hAnsi="Bookman Old Style"/>
          <w:b/>
        </w:rPr>
      </w:pPr>
    </w:p>
    <w:p w14:paraId="5297019E" w14:textId="3DFF7B5E"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b/>
        </w:rPr>
        <w:t>AN ALTERNATIVE APPROACH</w:t>
      </w:r>
      <w:r>
        <w:rPr>
          <w:rFonts w:ascii="Bookman Old Style" w:eastAsiaTheme="minorEastAsia" w:hAnsi="Bookman Old Style"/>
        </w:rPr>
        <w:t xml:space="preserve"> – Another way to find </w:t>
      </w:r>
      <w:r>
        <w:rPr>
          <w:rFonts w:ascii="Bookman Old Style" w:eastAsiaTheme="minorEastAsia" w:hAnsi="Bookman Old Style"/>
          <w:i/>
        </w:rPr>
        <w:t>g</w:t>
      </w:r>
      <w:r>
        <w:rPr>
          <w:rFonts w:ascii="Bookman Old Style" w:eastAsiaTheme="minorEastAsia" w:hAnsi="Bookman Old Style"/>
        </w:rPr>
        <w:t xml:space="preserve"> starts with earnings retention. Consider a company whose earnings next year are expected to be the same as this year unless a net investment is made.</w:t>
      </w:r>
    </w:p>
    <w:p w14:paraId="23603C8C" w14:textId="77777777" w:rsidR="003E653F" w:rsidRDefault="003E653F" w:rsidP="00322B52">
      <w:pPr>
        <w:spacing w:after="0" w:line="240" w:lineRule="auto"/>
        <w:jc w:val="both"/>
        <w:rPr>
          <w:rFonts w:ascii="Bookman Old Style" w:eastAsiaTheme="minorEastAsia" w:hAnsi="Bookman Old Style"/>
        </w:rPr>
      </w:pPr>
    </w:p>
    <w:p w14:paraId="62EDCDBB" w14:textId="77777777"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net investment will be positive only is some earnings aren’t paid out as dividend – if the earnings are retained. </w:t>
      </w:r>
    </w:p>
    <w:p w14:paraId="3B43490F" w14:textId="77777777" w:rsidR="003E653F" w:rsidRDefault="003E653F" w:rsidP="00322B52">
      <w:pPr>
        <w:spacing w:after="0" w:line="240" w:lineRule="auto"/>
        <w:jc w:val="both"/>
        <w:rPr>
          <w:rFonts w:ascii="Bookman Old Style" w:eastAsiaTheme="minorEastAsia" w:hAnsi="Bookman Old Style"/>
        </w:rPr>
      </w:pPr>
    </w:p>
    <w:p w14:paraId="0D2C8D28" w14:textId="57FA600A"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rPr>
        <w:t>This leads to the following equation:</w:t>
      </w:r>
    </w:p>
    <w:p w14:paraId="1F568DBB" w14:textId="35216291" w:rsidR="003E653F" w:rsidRPr="00D97540" w:rsidRDefault="003E653F" w:rsidP="00322B52">
      <w:pPr>
        <w:spacing w:after="0" w:line="240" w:lineRule="auto"/>
        <w:jc w:val="center"/>
        <w:rPr>
          <w:rFonts w:ascii="Bookman Old Style" w:eastAsiaTheme="minorEastAsia" w:hAnsi="Bookman Old Style"/>
          <w:i/>
        </w:rPr>
      </w:pPr>
      <w:r w:rsidRPr="00D97540">
        <w:rPr>
          <w:rFonts w:ascii="Bookman Old Style" w:eastAsiaTheme="minorEastAsia" w:hAnsi="Bookman Old Style"/>
          <w:i/>
        </w:rPr>
        <w:lastRenderedPageBreak/>
        <w:t>Earnings Next Year</w:t>
      </w:r>
    </w:p>
    <w:p w14:paraId="3C200D24" w14:textId="5CCF1530" w:rsidR="003E653F" w:rsidRPr="00D97540" w:rsidRDefault="003E653F" w:rsidP="00322B52">
      <w:pPr>
        <w:spacing w:after="0" w:line="240" w:lineRule="auto"/>
        <w:jc w:val="center"/>
        <w:rPr>
          <w:rFonts w:ascii="Bookman Old Style" w:eastAsiaTheme="minorEastAsia" w:hAnsi="Bookman Old Style"/>
          <w:i/>
        </w:rPr>
      </w:pPr>
      <w:r w:rsidRPr="00D97540">
        <w:rPr>
          <w:rFonts w:ascii="Bookman Old Style" w:eastAsiaTheme="minorEastAsia" w:hAnsi="Bookman Old Style"/>
          <w:i/>
        </w:rPr>
        <w:t>=</w:t>
      </w:r>
    </w:p>
    <w:p w14:paraId="4DF6CBE6" w14:textId="31976A4D" w:rsidR="003E653F" w:rsidRPr="00D97540" w:rsidRDefault="003E653F" w:rsidP="00322B52">
      <w:pPr>
        <w:spacing w:after="0" w:line="240" w:lineRule="auto"/>
        <w:jc w:val="center"/>
        <w:rPr>
          <w:rFonts w:ascii="Bookman Old Style" w:eastAsiaTheme="minorEastAsia" w:hAnsi="Bookman Old Style"/>
          <w:i/>
        </w:rPr>
      </w:pPr>
      <w:r w:rsidRPr="00D97540">
        <w:rPr>
          <w:rFonts w:ascii="Bookman Old Style" w:eastAsiaTheme="minorEastAsia" w:hAnsi="Bookman Old Style"/>
          <w:i/>
        </w:rPr>
        <w:t>[Earnings This Year] + [Retained Earnings This Year] * [Return on Retained Earnings]</w:t>
      </w:r>
    </w:p>
    <w:p w14:paraId="6B081EED" w14:textId="77777777" w:rsidR="003E653F" w:rsidRDefault="003E653F" w:rsidP="00322B52">
      <w:pPr>
        <w:spacing w:after="0" w:line="240" w:lineRule="auto"/>
        <w:jc w:val="center"/>
        <w:rPr>
          <w:rFonts w:ascii="Bookman Old Style" w:eastAsiaTheme="minorEastAsia" w:hAnsi="Bookman Old Style"/>
        </w:rPr>
      </w:pPr>
    </w:p>
    <w:p w14:paraId="18D5DDB9" w14:textId="1BBE68E1" w:rsidR="003E653F" w:rsidRDefault="003E653F" w:rsidP="00322B52">
      <w:pPr>
        <w:spacing w:after="0" w:line="240" w:lineRule="auto"/>
        <w:jc w:val="both"/>
        <w:rPr>
          <w:rFonts w:ascii="Bookman Old Style" w:eastAsiaTheme="minorEastAsia" w:hAnsi="Bookman Old Style"/>
        </w:rPr>
      </w:pPr>
      <w:r>
        <w:rPr>
          <w:rFonts w:ascii="Bookman Old Style" w:eastAsiaTheme="minorEastAsia" w:hAnsi="Bookman Old Style"/>
        </w:rPr>
        <w:t>This increase in earnings is a function of both the retained earnings and the return on retained earnings. So, we divide both sides of the equation by earnings this year yielding:</w:t>
      </w:r>
    </w:p>
    <w:p w14:paraId="68623CAB" w14:textId="77777777" w:rsidR="003E653F" w:rsidRDefault="003E653F" w:rsidP="00322B52">
      <w:pPr>
        <w:spacing w:after="0" w:line="240" w:lineRule="auto"/>
        <w:jc w:val="both"/>
        <w:rPr>
          <w:rFonts w:ascii="Bookman Old Style" w:eastAsiaTheme="minorEastAsia" w:hAnsi="Bookman Old Style"/>
        </w:rPr>
      </w:pPr>
    </w:p>
    <w:p w14:paraId="72CA43C5" w14:textId="64974029" w:rsidR="003E653F" w:rsidRPr="003E653F" w:rsidRDefault="00E741F7" w:rsidP="00322B52">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Earnings Next Year</m:t>
                  </m:r>
                </m:e>
              </m:d>
            </m:num>
            <m:den>
              <m:d>
                <m:dPr>
                  <m:begChr m:val="["/>
                  <m:endChr m:val="]"/>
                  <m:ctrlPr>
                    <w:rPr>
                      <w:rFonts w:ascii="Cambria Math" w:eastAsiaTheme="minorEastAsia" w:hAnsi="Cambria Math"/>
                      <w:i/>
                    </w:rPr>
                  </m:ctrlPr>
                </m:dPr>
                <m:e>
                  <m:r>
                    <w:rPr>
                      <w:rFonts w:ascii="Cambria Math" w:eastAsiaTheme="minorEastAsia" w:hAnsi="Cambria Math"/>
                    </w:rPr>
                    <m:t>Earnings This Year</m:t>
                  </m:r>
                </m:e>
              </m:d>
            </m:den>
          </m:f>
        </m:oMath>
      </m:oMathPara>
    </w:p>
    <w:p w14:paraId="2D3C64FD" w14:textId="39EAE805" w:rsidR="003E653F" w:rsidRDefault="003E653F" w:rsidP="00322B5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00FB0B3E" w14:textId="083D79B2" w:rsidR="003E653F" w:rsidRPr="00D97540" w:rsidRDefault="00E741F7" w:rsidP="00322B52">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Earnings This Year</m:t>
                  </m:r>
                </m:e>
              </m:d>
            </m:num>
            <m:den>
              <m:d>
                <m:dPr>
                  <m:begChr m:val="["/>
                  <m:endChr m:val="]"/>
                  <m:ctrlPr>
                    <w:rPr>
                      <w:rFonts w:ascii="Cambria Math" w:eastAsiaTheme="minorEastAsia" w:hAnsi="Cambria Math"/>
                      <w:i/>
                    </w:rPr>
                  </m:ctrlPr>
                </m:dPr>
                <m:e>
                  <m:r>
                    <w:rPr>
                      <w:rFonts w:ascii="Cambria Math" w:eastAsiaTheme="minorEastAsia" w:hAnsi="Cambria Math"/>
                    </w:rPr>
                    <m:t>Earnings This Year</m:t>
                  </m:r>
                </m:e>
              </m:d>
            </m:den>
          </m:f>
          <m: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Retained Earnings This Year</m:t>
                  </m:r>
                </m:e>
              </m:d>
            </m:num>
            <m:den>
              <m:d>
                <m:dPr>
                  <m:begChr m:val="["/>
                  <m:endChr m:val="]"/>
                  <m:ctrlPr>
                    <w:rPr>
                      <w:rFonts w:ascii="Cambria Math" w:eastAsiaTheme="minorEastAsia" w:hAnsi="Cambria Math"/>
                      <w:i/>
                    </w:rPr>
                  </m:ctrlPr>
                </m:dPr>
                <m:e>
                  <m:r>
                    <w:rPr>
                      <w:rFonts w:ascii="Cambria Math" w:eastAsiaTheme="minorEastAsia" w:hAnsi="Cambria Math"/>
                    </w:rPr>
                    <m:t>Earnings This Year</m:t>
                  </m:r>
                </m:e>
              </m:d>
            </m:den>
          </m:f>
          <m:r>
            <w:rPr>
              <w:rFonts w:ascii="Cambria Math" w:eastAsiaTheme="minorEastAsia" w:hAnsi="Cambria Math"/>
            </w:rPr>
            <m:t>*Return on Retained Earnings</m:t>
          </m:r>
        </m:oMath>
      </m:oMathPara>
    </w:p>
    <w:p w14:paraId="129892FC" w14:textId="77777777" w:rsidR="00D97540" w:rsidRDefault="00D97540" w:rsidP="00322B52">
      <w:pPr>
        <w:spacing w:after="0" w:line="240" w:lineRule="auto"/>
        <w:jc w:val="both"/>
        <w:rPr>
          <w:rFonts w:ascii="Bookman Old Style" w:eastAsiaTheme="minorEastAsia" w:hAnsi="Bookman Old Style"/>
        </w:rPr>
      </w:pPr>
    </w:p>
    <w:p w14:paraId="024B88BF" w14:textId="76237642" w:rsidR="00D97540" w:rsidRDefault="00D97540"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The left side of the equation is just 1 + the growth rate in earnings, which we can write as [1 + </w:t>
      </w:r>
      <w:r>
        <w:rPr>
          <w:rFonts w:ascii="Bookman Old Style" w:eastAsiaTheme="minorEastAsia" w:hAnsi="Bookman Old Style"/>
          <w:i/>
        </w:rPr>
        <w:t>g</w:t>
      </w:r>
      <w:r>
        <w:rPr>
          <w:rFonts w:ascii="Bookman Old Style" w:eastAsiaTheme="minorEastAsia" w:hAnsi="Bookman Old Style"/>
        </w:rPr>
        <w:t xml:space="preserve">]. The ratio of retained earnings to earnings is called the </w:t>
      </w:r>
      <w:r>
        <w:rPr>
          <w:rFonts w:ascii="Bookman Old Style" w:eastAsiaTheme="minorEastAsia" w:hAnsi="Bookman Old Style"/>
          <w:b/>
        </w:rPr>
        <w:t>retention ratio</w:t>
      </w:r>
      <w:r>
        <w:rPr>
          <w:rFonts w:ascii="Bookman Old Style" w:eastAsiaTheme="minorEastAsia" w:hAnsi="Bookman Old Style"/>
        </w:rPr>
        <w:t>, which we can write as:</w:t>
      </w:r>
    </w:p>
    <w:p w14:paraId="0802FFFE" w14:textId="77777777" w:rsidR="00D97540" w:rsidRDefault="00D97540" w:rsidP="00322B52">
      <w:pPr>
        <w:spacing w:after="0" w:line="240" w:lineRule="auto"/>
        <w:jc w:val="both"/>
        <w:rPr>
          <w:rFonts w:ascii="Bookman Old Style" w:eastAsiaTheme="minorEastAsia" w:hAnsi="Bookman Old Style"/>
        </w:rPr>
      </w:pPr>
    </w:p>
    <w:p w14:paraId="46D375E4" w14:textId="77777777" w:rsidR="00D97540" w:rsidRPr="00D97540" w:rsidRDefault="00D97540" w:rsidP="00322B52">
      <w:pPr>
        <w:spacing w:after="0" w:line="240" w:lineRule="auto"/>
        <w:jc w:val="both"/>
        <w:rPr>
          <w:rFonts w:ascii="Bookman Old Style" w:eastAsiaTheme="minorEastAsia" w:hAnsi="Bookman Old Style"/>
        </w:rPr>
      </w:pPr>
      <m:oMathPara>
        <m:oMath>
          <m:r>
            <w:rPr>
              <w:rFonts w:ascii="Cambria Math" w:eastAsiaTheme="minorEastAsia" w:hAnsi="Cambria Math"/>
            </w:rPr>
            <m:t>1+g=1+Retention Ratio*Return on Retained Earnings</m:t>
          </m:r>
        </m:oMath>
      </m:oMathPara>
    </w:p>
    <w:tbl>
      <w:tblPr>
        <w:tblStyle w:val="TableGrid"/>
        <w:tblW w:w="0" w:type="auto"/>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6768"/>
      </w:tblGrid>
      <w:tr w:rsidR="00D97540" w14:paraId="7AB49353" w14:textId="77777777" w:rsidTr="00D97540">
        <w:trPr>
          <w:jc w:val="center"/>
        </w:trPr>
        <w:tc>
          <w:tcPr>
            <w:tcW w:w="6768" w:type="dxa"/>
          </w:tcPr>
          <w:p w14:paraId="7C84E2AA" w14:textId="77777777" w:rsidR="00D97540" w:rsidRDefault="00D97540" w:rsidP="00322B52">
            <w:pPr>
              <w:jc w:val="both"/>
              <w:rPr>
                <w:rFonts w:ascii="Bookman Old Style" w:eastAsiaTheme="minorEastAsia" w:hAnsi="Bookman Old Style"/>
              </w:rPr>
            </w:pPr>
          </w:p>
          <w:p w14:paraId="10F89C5B" w14:textId="72379E10" w:rsidR="00D97540" w:rsidRDefault="00D97540" w:rsidP="00322B52">
            <w:pPr>
              <w:jc w:val="both"/>
              <w:rPr>
                <w:rFonts w:ascii="Bookman Old Style" w:eastAsiaTheme="minorEastAsia" w:hAnsi="Bookman Old Style"/>
              </w:rPr>
            </w:pPr>
            <w:r>
              <w:rPr>
                <w:rFonts w:ascii="Bookman Old Style" w:eastAsiaTheme="minorEastAsia" w:hAnsi="Bookman Old Style"/>
                <w:b/>
              </w:rPr>
              <w:t>Retention Ratio</w:t>
            </w:r>
            <w:r>
              <w:rPr>
                <w:rFonts w:ascii="Bookman Old Style" w:eastAsiaTheme="minorEastAsia" w:hAnsi="Bookman Old Style"/>
              </w:rPr>
              <w:t xml:space="preserve"> – Retained earnings divided by net income</w:t>
            </w:r>
          </w:p>
          <w:p w14:paraId="363D7087" w14:textId="77777777" w:rsidR="00D97540" w:rsidRDefault="00D97540" w:rsidP="00322B52">
            <w:pPr>
              <w:jc w:val="both"/>
              <w:rPr>
                <w:rFonts w:ascii="Bookman Old Style" w:eastAsiaTheme="minorEastAsia" w:hAnsi="Bookman Old Style"/>
              </w:rPr>
            </w:pPr>
          </w:p>
          <w:p w14:paraId="6E12BDE9" w14:textId="7FEF673E" w:rsidR="00D97540" w:rsidRPr="00D97540" w:rsidRDefault="00E741F7" w:rsidP="00322B52">
            <w:pPr>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Retained Earnings</m:t>
                        </m:r>
                      </m:e>
                    </m:d>
                  </m:num>
                  <m:den>
                    <m:d>
                      <m:dPr>
                        <m:begChr m:val="["/>
                        <m:endChr m:val="]"/>
                        <m:ctrlPr>
                          <w:rPr>
                            <w:rFonts w:ascii="Cambria Math" w:eastAsiaTheme="minorEastAsia" w:hAnsi="Cambria Math"/>
                            <w:i/>
                          </w:rPr>
                        </m:ctrlPr>
                      </m:dPr>
                      <m:e>
                        <m:r>
                          <w:rPr>
                            <w:rFonts w:ascii="Cambria Math" w:eastAsiaTheme="minorEastAsia" w:hAnsi="Cambria Math"/>
                          </w:rPr>
                          <m:t>Net Income</m:t>
                        </m:r>
                      </m:e>
                    </m:d>
                  </m:den>
                </m:f>
              </m:oMath>
            </m:oMathPara>
          </w:p>
          <w:p w14:paraId="1B1B2058" w14:textId="77777777" w:rsidR="00D97540" w:rsidRDefault="00D97540" w:rsidP="00322B52">
            <w:pPr>
              <w:jc w:val="both"/>
              <w:rPr>
                <w:rFonts w:ascii="Bookman Old Style" w:eastAsiaTheme="minorEastAsia" w:hAnsi="Bookman Old Style"/>
              </w:rPr>
            </w:pPr>
          </w:p>
        </w:tc>
      </w:tr>
    </w:tbl>
    <w:p w14:paraId="497CAAA7" w14:textId="77777777" w:rsidR="00D97540" w:rsidRDefault="00D97540" w:rsidP="00322B52">
      <w:pPr>
        <w:spacing w:after="0" w:line="240" w:lineRule="auto"/>
        <w:jc w:val="both"/>
        <w:rPr>
          <w:rFonts w:ascii="Bookman Old Style" w:eastAsiaTheme="minorEastAsia" w:hAnsi="Bookman Old Style"/>
        </w:rPr>
      </w:pPr>
    </w:p>
    <w:p w14:paraId="395E8644" w14:textId="2A601A52" w:rsidR="00D97540" w:rsidRDefault="00D97540" w:rsidP="00322B52">
      <w:pPr>
        <w:spacing w:after="0" w:line="240" w:lineRule="auto"/>
        <w:jc w:val="both"/>
        <w:rPr>
          <w:rFonts w:ascii="Bookman Old Style" w:eastAsiaTheme="minorEastAsia" w:hAnsi="Bookman Old Style"/>
        </w:rPr>
      </w:pPr>
      <w:r>
        <w:rPr>
          <w:rFonts w:ascii="Bookman Old Style" w:eastAsiaTheme="minorEastAsia" w:hAnsi="Bookman Old Style"/>
        </w:rPr>
        <w:t>It’s not easy for a financial analyst to determine the expected return on currently retained earnings because details of forthcoming projects aren’t generally public information. But it’s usually assumed that project chosen in the current year have the same risk and therefore the same anticipated return as projects in other years.</w:t>
      </w:r>
    </w:p>
    <w:p w14:paraId="1AB199A5" w14:textId="77777777" w:rsidR="00D97540" w:rsidRDefault="00D97540" w:rsidP="00322B52">
      <w:pPr>
        <w:spacing w:after="0" w:line="240" w:lineRule="auto"/>
        <w:jc w:val="both"/>
        <w:rPr>
          <w:rFonts w:ascii="Bookman Old Style" w:eastAsiaTheme="minorEastAsia" w:hAnsi="Bookman Old Style"/>
        </w:rPr>
      </w:pPr>
    </w:p>
    <w:p w14:paraId="43DE8B4A" w14:textId="2246B2D2" w:rsidR="00D97540" w:rsidRDefault="00D97540"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Here, we can estimate the anticipated return on current retained earnings by historical </w:t>
      </w:r>
      <w:r>
        <w:rPr>
          <w:rFonts w:ascii="Bookman Old Style" w:eastAsiaTheme="minorEastAsia" w:hAnsi="Bookman Old Style"/>
          <w:b/>
        </w:rPr>
        <w:t>return on equity (ROE)</w:t>
      </w:r>
      <w:r>
        <w:rPr>
          <w:rFonts w:ascii="Bookman Old Style" w:eastAsiaTheme="minorEastAsia" w:hAnsi="Bookman Old Style"/>
        </w:rPr>
        <w:t>. ROE is just the return on the firm’s entire equity, which is the return on the accumulation of all the firm’s past projects.</w:t>
      </w:r>
    </w:p>
    <w:p w14:paraId="28B0D0CB" w14:textId="77777777" w:rsidR="00D97540" w:rsidRDefault="00D97540" w:rsidP="00322B52">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D97540" w14:paraId="49015ED3" w14:textId="77777777" w:rsidTr="00D97540">
        <w:tc>
          <w:tcPr>
            <w:tcW w:w="9576" w:type="dxa"/>
          </w:tcPr>
          <w:p w14:paraId="549FB3C5" w14:textId="77777777" w:rsidR="00D97540" w:rsidRDefault="00D97540" w:rsidP="00322B52">
            <w:pPr>
              <w:jc w:val="both"/>
              <w:rPr>
                <w:rFonts w:ascii="Bookman Old Style" w:eastAsiaTheme="minorEastAsia" w:hAnsi="Bookman Old Style"/>
              </w:rPr>
            </w:pPr>
          </w:p>
          <w:p w14:paraId="0DC074B8" w14:textId="2AE53560" w:rsidR="00D97540" w:rsidRDefault="00D97540" w:rsidP="00322B52">
            <w:pPr>
              <w:jc w:val="both"/>
              <w:rPr>
                <w:rFonts w:ascii="Bookman Old Style" w:eastAsiaTheme="minorEastAsia" w:hAnsi="Bookman Old Style"/>
              </w:rPr>
            </w:pPr>
            <w:r>
              <w:rPr>
                <w:rFonts w:ascii="Bookman Old Style" w:eastAsiaTheme="minorEastAsia" w:hAnsi="Bookman Old Style"/>
                <w:b/>
              </w:rPr>
              <w:t>Return on Equity (ROE)</w:t>
            </w:r>
            <w:r>
              <w:rPr>
                <w:rFonts w:ascii="Bookman Old Style" w:eastAsiaTheme="minorEastAsia" w:hAnsi="Bookman Old Style"/>
              </w:rPr>
              <w:t xml:space="preserve"> – Net income after interest and taxes divided by average common shareholders’ equity</w:t>
            </w:r>
          </w:p>
          <w:p w14:paraId="2A448B54" w14:textId="77777777" w:rsidR="00D97540" w:rsidRDefault="00D97540" w:rsidP="00322B52">
            <w:pPr>
              <w:jc w:val="both"/>
              <w:rPr>
                <w:rFonts w:ascii="Bookman Old Style" w:eastAsiaTheme="minorEastAsia" w:hAnsi="Bookman Old Style"/>
              </w:rPr>
            </w:pPr>
          </w:p>
          <w:p w14:paraId="22A1DCA0" w14:textId="4A0B9DAD" w:rsidR="00D97540" w:rsidRPr="00D97540" w:rsidRDefault="00E741F7" w:rsidP="00322B52">
            <w:pPr>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 xml:space="preserve">Net Income after Taxes </m:t>
                        </m:r>
                        <m:r>
                          <w:rPr>
                            <w:rFonts w:ascii="Bookman Old Style" w:eastAsiaTheme="minorEastAsia" w:hAnsi="Bookman Old Style"/>
                          </w:rPr>
                          <m:t>&amp;</m:t>
                        </m:r>
                        <m:r>
                          <w:rPr>
                            <w:rFonts w:ascii="Cambria Math" w:eastAsiaTheme="minorEastAsia" w:hAnsi="Cambria Math"/>
                          </w:rPr>
                          <m:t xml:space="preserve"> Interest</m:t>
                        </m:r>
                      </m:e>
                    </m:d>
                  </m:num>
                  <m:den>
                    <m:d>
                      <m:dPr>
                        <m:begChr m:val="["/>
                        <m:endChr m:val="]"/>
                        <m:ctrlPr>
                          <w:rPr>
                            <w:rFonts w:ascii="Cambria Math" w:eastAsiaTheme="minorEastAsia" w:hAnsi="Cambria Math"/>
                            <w:i/>
                          </w:rPr>
                        </m:ctrlPr>
                      </m:dPr>
                      <m:e>
                        <m:r>
                          <w:rPr>
                            <w:rFonts w:ascii="Cambria Math" w:eastAsiaTheme="minorEastAsia" w:hAnsi="Cambria Math"/>
                          </w:rPr>
                          <m:t>Average Common Shareholder</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m:t>
                            </m:r>
                          </m:sup>
                        </m:sSup>
                        <m:r>
                          <w:rPr>
                            <w:rFonts w:ascii="Cambria Math" w:eastAsiaTheme="minorEastAsia" w:hAnsi="Cambria Math"/>
                          </w:rPr>
                          <m:t>Equity</m:t>
                        </m:r>
                      </m:e>
                    </m:d>
                  </m:den>
                </m:f>
              </m:oMath>
            </m:oMathPara>
          </w:p>
          <w:p w14:paraId="7F85BF1B" w14:textId="77777777" w:rsidR="00D97540" w:rsidRDefault="00D97540" w:rsidP="00322B52">
            <w:pPr>
              <w:jc w:val="both"/>
              <w:rPr>
                <w:rFonts w:ascii="Bookman Old Style" w:eastAsiaTheme="minorEastAsia" w:hAnsi="Bookman Old Style"/>
              </w:rPr>
            </w:pPr>
          </w:p>
        </w:tc>
      </w:tr>
    </w:tbl>
    <w:p w14:paraId="78E1F44B" w14:textId="77777777" w:rsidR="00D97540" w:rsidRDefault="00D97540" w:rsidP="00322B52">
      <w:pPr>
        <w:spacing w:after="0" w:line="240" w:lineRule="auto"/>
        <w:jc w:val="both"/>
        <w:rPr>
          <w:rFonts w:ascii="Bookman Old Style" w:eastAsiaTheme="minorEastAsia" w:hAnsi="Bookman Old Style"/>
        </w:rPr>
      </w:pPr>
    </w:p>
    <w:p w14:paraId="0D46E92D" w14:textId="7B9C5C18" w:rsidR="00D97540" w:rsidRDefault="00D97540" w:rsidP="00322B52">
      <w:pPr>
        <w:spacing w:after="0" w:line="240" w:lineRule="auto"/>
        <w:jc w:val="both"/>
        <w:rPr>
          <w:rFonts w:ascii="Bookman Old Style" w:eastAsiaTheme="minorEastAsia" w:hAnsi="Bookman Old Style"/>
        </w:rPr>
      </w:pPr>
      <w:r>
        <w:rPr>
          <w:rFonts w:ascii="Bookman Old Style" w:eastAsiaTheme="minorEastAsia" w:hAnsi="Bookman Old Style"/>
        </w:rPr>
        <w:t>So now we have a way to estimate growth:</w:t>
      </w:r>
    </w:p>
    <w:p w14:paraId="2664945C" w14:textId="77777777" w:rsidR="00D97540" w:rsidRDefault="00D97540" w:rsidP="00322B52">
      <w:pPr>
        <w:spacing w:after="0" w:line="240" w:lineRule="auto"/>
        <w:jc w:val="both"/>
        <w:rPr>
          <w:rFonts w:ascii="Bookman Old Style" w:eastAsiaTheme="minorEastAsia" w:hAnsi="Bookman Old Style"/>
        </w:rPr>
      </w:pPr>
    </w:p>
    <w:p w14:paraId="3885FA48" w14:textId="5459175C" w:rsidR="00D97540" w:rsidRDefault="00D97540" w:rsidP="00322B52">
      <w:pPr>
        <w:spacing w:after="0" w:line="240" w:lineRule="auto"/>
        <w:jc w:val="center"/>
        <w:rPr>
          <w:rFonts w:ascii="Bookman Old Style" w:eastAsiaTheme="minorEastAsia" w:hAnsi="Bookman Old Style"/>
          <w:i/>
        </w:rPr>
      </w:pPr>
      <w:r>
        <w:rPr>
          <w:rFonts w:ascii="Bookman Old Style" w:eastAsiaTheme="minorEastAsia" w:hAnsi="Bookman Old Style"/>
          <w:i/>
        </w:rPr>
        <w:t>g</w:t>
      </w:r>
      <w:r>
        <w:rPr>
          <w:rFonts w:ascii="Bookman Old Style" w:eastAsiaTheme="minorEastAsia" w:hAnsi="Bookman Old Style"/>
        </w:rPr>
        <w:t xml:space="preserve"> = </w:t>
      </w:r>
      <w:r>
        <w:rPr>
          <w:rFonts w:ascii="Bookman Old Style" w:eastAsiaTheme="minorEastAsia" w:hAnsi="Bookman Old Style"/>
          <w:i/>
        </w:rPr>
        <w:t>Retention Ratio * ROE</w:t>
      </w:r>
    </w:p>
    <w:p w14:paraId="06C0D890" w14:textId="77777777" w:rsidR="00D97540" w:rsidRDefault="00D97540" w:rsidP="00322B52">
      <w:pPr>
        <w:spacing w:after="0" w:line="240" w:lineRule="auto"/>
        <w:jc w:val="center"/>
        <w:rPr>
          <w:rFonts w:ascii="Bookman Old Style" w:eastAsiaTheme="minorEastAsia" w:hAnsi="Bookman Old Style"/>
          <w:i/>
        </w:rPr>
      </w:pPr>
    </w:p>
    <w:p w14:paraId="2F40B693" w14:textId="512D9F2D" w:rsidR="00D97540" w:rsidRDefault="00D97540" w:rsidP="00322B52">
      <w:pPr>
        <w:spacing w:after="0" w:line="240" w:lineRule="auto"/>
        <w:jc w:val="both"/>
        <w:rPr>
          <w:rFonts w:ascii="Bookman Old Style" w:eastAsiaTheme="minorEastAsia" w:hAnsi="Bookman Old Style"/>
        </w:rPr>
      </w:pPr>
      <w:r>
        <w:rPr>
          <w:rFonts w:ascii="Bookman Old Style" w:eastAsiaTheme="minorEastAsia" w:hAnsi="Bookman Old Style"/>
          <w:b/>
        </w:rPr>
        <w:lastRenderedPageBreak/>
        <w:t>ADVANTAGES &amp; DISADVANTAGES OF THIS APPROACH</w:t>
      </w:r>
      <w:r>
        <w:rPr>
          <w:rFonts w:ascii="Bookman Old Style" w:eastAsiaTheme="minorEastAsia" w:hAnsi="Bookman Old Style"/>
        </w:rPr>
        <w:t xml:space="preserve"> – Whichever way that we estimate </w:t>
      </w:r>
      <w:r>
        <w:rPr>
          <w:rFonts w:ascii="Bookman Old Style" w:eastAsiaTheme="minorEastAsia" w:hAnsi="Bookman Old Style"/>
          <w:i/>
        </w:rPr>
        <w:t>g,</w:t>
      </w:r>
      <w:r>
        <w:rPr>
          <w:rFonts w:ascii="Bookman Old Style" w:eastAsiaTheme="minorEastAsia" w:hAnsi="Bookman Old Style"/>
        </w:rPr>
        <w:t xml:space="preserve"> the main advantage of the dividend growth model approach is that it’s simple. But there are </w:t>
      </w:r>
      <w:r w:rsidR="007A0EA4">
        <w:rPr>
          <w:rFonts w:ascii="Bookman Old Style" w:eastAsiaTheme="minorEastAsia" w:hAnsi="Bookman Old Style"/>
        </w:rPr>
        <w:t>problems &amp; disadvantages with it.</w:t>
      </w:r>
    </w:p>
    <w:p w14:paraId="5D48E95E" w14:textId="77777777" w:rsidR="007A0EA4" w:rsidRDefault="007A0EA4" w:rsidP="00322B52">
      <w:pPr>
        <w:spacing w:after="0" w:line="240" w:lineRule="auto"/>
        <w:jc w:val="both"/>
        <w:rPr>
          <w:rFonts w:ascii="Bookman Old Style" w:eastAsiaTheme="minorEastAsia" w:hAnsi="Bookman Old Style"/>
        </w:rPr>
      </w:pPr>
    </w:p>
    <w:p w14:paraId="5E406DFE" w14:textId="1CC28593" w:rsidR="007A0EA4" w:rsidRDefault="00CE65C0" w:rsidP="006F2196">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dividend growth model is applicable to companies that pay dividends. For companies that don’t pay dividends, we can use the mode and estimate </w:t>
      </w:r>
      <w:r>
        <w:rPr>
          <w:rFonts w:ascii="Bookman Old Style" w:eastAsiaTheme="minorEastAsia" w:hAnsi="Bookman Old Style"/>
          <w:i/>
        </w:rPr>
        <w:t>g</w:t>
      </w:r>
      <w:r>
        <w:rPr>
          <w:rFonts w:ascii="Bookman Old Style" w:eastAsiaTheme="minorEastAsia" w:hAnsi="Bookman Old Style"/>
        </w:rPr>
        <w:t xml:space="preserve"> from growth in earnings – this is the same as assuming that one day dividends will be paid.</w:t>
      </w:r>
    </w:p>
    <w:p w14:paraId="4A759ADA" w14:textId="77777777" w:rsidR="00CE65C0" w:rsidRDefault="00CE65C0" w:rsidP="00322B52">
      <w:pPr>
        <w:spacing w:after="0" w:line="240" w:lineRule="auto"/>
        <w:jc w:val="both"/>
        <w:rPr>
          <w:rFonts w:ascii="Bookman Old Style" w:eastAsiaTheme="minorEastAsia" w:hAnsi="Bookman Old Style"/>
        </w:rPr>
      </w:pPr>
    </w:p>
    <w:p w14:paraId="62B8C782" w14:textId="6AD7A663" w:rsidR="00CE65C0" w:rsidRDefault="00CE65C0" w:rsidP="00322B52">
      <w:pPr>
        <w:spacing w:after="0" w:line="240" w:lineRule="auto"/>
        <w:ind w:left="720"/>
        <w:jc w:val="both"/>
        <w:rPr>
          <w:rFonts w:ascii="Bookman Old Style" w:eastAsiaTheme="minorEastAsia" w:hAnsi="Bookman Old Style"/>
        </w:rPr>
      </w:pPr>
      <w:r>
        <w:rPr>
          <w:rFonts w:ascii="Bookman Old Style" w:eastAsiaTheme="minorEastAsia" w:hAnsi="Bookman Old Style"/>
        </w:rPr>
        <w:t>The underlying assumption is that the dividend grows at a constant rate – but will this never be exactly the case. Generally, the model is really only applicable to cases where reasonably steady growth is likely.</w:t>
      </w:r>
    </w:p>
    <w:p w14:paraId="7717E5CB" w14:textId="77777777" w:rsidR="00CE65C0" w:rsidRDefault="00CE65C0" w:rsidP="00322B52">
      <w:pPr>
        <w:spacing w:after="0" w:line="240" w:lineRule="auto"/>
        <w:jc w:val="both"/>
        <w:rPr>
          <w:rFonts w:ascii="Bookman Old Style" w:eastAsiaTheme="minorEastAsia" w:hAnsi="Bookman Old Style"/>
        </w:rPr>
      </w:pPr>
    </w:p>
    <w:p w14:paraId="6E1717BA" w14:textId="7982D1A6" w:rsidR="00CE65C0" w:rsidRDefault="00CE65C0" w:rsidP="006F2196">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 xml:space="preserve">Another problem is that estimated cost of equity is very sensitive to the estimated growth rate. If </w:t>
      </w:r>
      <w:r>
        <w:rPr>
          <w:rFonts w:ascii="Bookman Old Style" w:eastAsiaTheme="minorEastAsia" w:hAnsi="Bookman Old Style"/>
          <w:i/>
        </w:rPr>
        <w:t>g</w:t>
      </w:r>
      <w:r>
        <w:rPr>
          <w:rFonts w:ascii="Bookman Old Style" w:eastAsiaTheme="minorEastAsia" w:hAnsi="Bookman Old Style"/>
        </w:rPr>
        <w:t xml:space="preserve"> increases by just 1%, the estimated cost of equity will increase by a full percent. Since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oMath>
      <w:r>
        <w:rPr>
          <w:rFonts w:ascii="Bookman Old Style" w:eastAsiaTheme="minorEastAsia" w:hAnsi="Bookman Old Style"/>
        </w:rPr>
        <w:t xml:space="preserve"> would probably be revised upwards as well, the increase would actually be somewhat larger than that.</w:t>
      </w:r>
    </w:p>
    <w:p w14:paraId="655142F6" w14:textId="77777777" w:rsidR="00CE65C0" w:rsidRDefault="00CE65C0" w:rsidP="00322B52">
      <w:pPr>
        <w:spacing w:after="0" w:line="240" w:lineRule="auto"/>
        <w:jc w:val="both"/>
        <w:rPr>
          <w:rFonts w:ascii="Bookman Old Style" w:eastAsiaTheme="minorEastAsia" w:hAnsi="Bookman Old Style"/>
        </w:rPr>
      </w:pPr>
    </w:p>
    <w:p w14:paraId="1763F453" w14:textId="514A5BE3" w:rsidR="00CE65C0" w:rsidRDefault="00CE65C0" w:rsidP="006F2196">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The approach doesn’t explicitly consider risk. There’s no direct adjustment for the riskiness of the investment.</w:t>
      </w:r>
    </w:p>
    <w:p w14:paraId="2CB3F134" w14:textId="77777777" w:rsidR="00CE65C0" w:rsidRPr="00CE65C0" w:rsidRDefault="00CE65C0" w:rsidP="00322B52">
      <w:pPr>
        <w:pStyle w:val="ListParagraph"/>
        <w:spacing w:after="0" w:line="240" w:lineRule="auto"/>
        <w:rPr>
          <w:rFonts w:ascii="Bookman Old Style" w:eastAsiaTheme="minorEastAsia" w:hAnsi="Bookman Old Style"/>
        </w:rPr>
      </w:pPr>
    </w:p>
    <w:p w14:paraId="5C3E816C" w14:textId="77777777" w:rsidR="00CE65C0" w:rsidRDefault="00CE65C0" w:rsidP="00322B52">
      <w:pPr>
        <w:pStyle w:val="ListParagraph"/>
        <w:spacing w:after="0" w:line="240" w:lineRule="auto"/>
        <w:jc w:val="both"/>
        <w:rPr>
          <w:rFonts w:ascii="Bookman Old Style" w:eastAsiaTheme="minorEastAsia" w:hAnsi="Bookman Old Style"/>
        </w:rPr>
      </w:pPr>
      <w:r>
        <w:rPr>
          <w:rFonts w:ascii="Bookman Old Style" w:eastAsiaTheme="minorEastAsia" w:hAnsi="Bookman Old Style"/>
        </w:rPr>
        <w:t>For example, there’s no allowance for the degree of uncertainty surrounding the estimated growth rate in dividends. As a result, it’s hard to say whether or not the estimated return is proportionate to the level of risk.</w:t>
      </w:r>
    </w:p>
    <w:p w14:paraId="216D26E4" w14:textId="77777777" w:rsidR="00CE65C0" w:rsidRDefault="00CE65C0" w:rsidP="00322B52">
      <w:pPr>
        <w:spacing w:after="0" w:line="240" w:lineRule="auto"/>
        <w:jc w:val="both"/>
        <w:rPr>
          <w:rFonts w:ascii="Bookman Old Style" w:eastAsiaTheme="minorEastAsia" w:hAnsi="Bookman Old Style"/>
        </w:rPr>
      </w:pPr>
    </w:p>
    <w:p w14:paraId="7379BAE9" w14:textId="77777777" w:rsidR="00CE65C0" w:rsidRDefault="00CE65C0" w:rsidP="00322B52">
      <w:pPr>
        <w:spacing w:after="0" w:line="240" w:lineRule="auto"/>
        <w:jc w:val="both"/>
        <w:rPr>
          <w:rFonts w:ascii="Bookman Old Style" w:eastAsiaTheme="minorEastAsia" w:hAnsi="Bookman Old Style"/>
        </w:rPr>
      </w:pPr>
    </w:p>
    <w:p w14:paraId="200484CB" w14:textId="77777777" w:rsidR="00CE65C0" w:rsidRDefault="00CE65C0" w:rsidP="00322B52">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THE SML APPROACH</w:t>
      </w:r>
    </w:p>
    <w:p w14:paraId="796E5CB6" w14:textId="77777777" w:rsidR="00CE65C0" w:rsidRDefault="00CE65C0" w:rsidP="00322B52">
      <w:pPr>
        <w:spacing w:after="0" w:line="240" w:lineRule="auto"/>
        <w:jc w:val="both"/>
        <w:rPr>
          <w:rFonts w:ascii="Bookman Old Style" w:eastAsiaTheme="minorEastAsia" w:hAnsi="Bookman Old Style"/>
        </w:rPr>
      </w:pPr>
      <w:r>
        <w:rPr>
          <w:rFonts w:ascii="Bookman Old Style" w:eastAsiaTheme="minorEastAsia" w:hAnsi="Bookman Old Style"/>
        </w:rPr>
        <w:t>Our main conclusion about the SML was that the required or expected return on a risky investment depends on 3 things:</w:t>
      </w:r>
    </w:p>
    <w:p w14:paraId="6A2C3476" w14:textId="77777777" w:rsidR="00CE65C0" w:rsidRDefault="00CE65C0" w:rsidP="00322B52">
      <w:pPr>
        <w:spacing w:after="0" w:line="240" w:lineRule="auto"/>
        <w:jc w:val="both"/>
        <w:rPr>
          <w:rFonts w:ascii="Bookman Old Style" w:eastAsiaTheme="minorEastAsia" w:hAnsi="Bookman Old Style"/>
        </w:rPr>
      </w:pPr>
    </w:p>
    <w:p w14:paraId="500E57C7" w14:textId="1F1013BA" w:rsidR="00CE65C0" w:rsidRPr="00CE65C0" w:rsidRDefault="00CE65C0" w:rsidP="006F2196">
      <w:pPr>
        <w:pStyle w:val="ListParagraph"/>
        <w:numPr>
          <w:ilvl w:val="0"/>
          <w:numId w:val="6"/>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risk-free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p>
    <w:p w14:paraId="275BB0AC" w14:textId="58A92D0A" w:rsidR="00CE65C0" w:rsidRPr="00CE65C0" w:rsidRDefault="00CE65C0" w:rsidP="006F2196">
      <w:pPr>
        <w:pStyle w:val="ListParagraph"/>
        <w:numPr>
          <w:ilvl w:val="0"/>
          <w:numId w:val="6"/>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market risk premium,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p>
    <w:p w14:paraId="59D5E2D6" w14:textId="1F629FF0" w:rsidR="00CE65C0" w:rsidRDefault="00CE65C0" w:rsidP="006F2196">
      <w:pPr>
        <w:pStyle w:val="ListParagraph"/>
        <w:numPr>
          <w:ilvl w:val="0"/>
          <w:numId w:val="6"/>
        </w:numPr>
        <w:spacing w:after="0" w:line="240" w:lineRule="auto"/>
        <w:jc w:val="both"/>
        <w:rPr>
          <w:rFonts w:ascii="Bookman Old Style" w:eastAsiaTheme="minorEastAsia" w:hAnsi="Bookman Old Style"/>
        </w:rPr>
      </w:pPr>
      <w:r>
        <w:rPr>
          <w:rFonts w:ascii="Bookman Old Style" w:eastAsiaTheme="minorEastAsia" w:hAnsi="Bookman Old Style"/>
        </w:rPr>
        <w:t>The systematic risk of the asset relative to average, called its beta coefficient, β</w:t>
      </w:r>
    </w:p>
    <w:p w14:paraId="259E7070" w14:textId="77777777" w:rsidR="00CE65C0" w:rsidRDefault="00CE65C0" w:rsidP="00322B52">
      <w:pPr>
        <w:spacing w:after="0" w:line="240" w:lineRule="auto"/>
        <w:jc w:val="both"/>
        <w:rPr>
          <w:rFonts w:ascii="Bookman Old Style" w:eastAsiaTheme="minorEastAsia" w:hAnsi="Bookman Old Style"/>
        </w:rPr>
      </w:pPr>
    </w:p>
    <w:p w14:paraId="4CB7A390" w14:textId="3357681E" w:rsidR="00CE65C0" w:rsidRDefault="00CE65C0" w:rsidP="00322B52">
      <w:pPr>
        <w:spacing w:after="0" w:line="240" w:lineRule="auto"/>
        <w:jc w:val="both"/>
        <w:rPr>
          <w:rFonts w:ascii="Bookman Old Style" w:eastAsiaTheme="minorEastAsia" w:hAnsi="Bookman Old Style"/>
        </w:rPr>
      </w:pPr>
      <w:r>
        <w:rPr>
          <w:rFonts w:ascii="Bookman Old Style" w:eastAsiaTheme="minorEastAsia" w:hAnsi="Bookman Old Style"/>
        </w:rPr>
        <w:t xml:space="preserve">Using the SML, the expected return on the company’s equity, </w:t>
      </w: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oMath>
      <w:r>
        <w:rPr>
          <w:rFonts w:ascii="Bookman Old Style" w:eastAsiaTheme="minorEastAsia" w:hAnsi="Bookman Old Style"/>
        </w:rPr>
        <w:t>, can be written as:</w:t>
      </w:r>
    </w:p>
    <w:p w14:paraId="035D74D3" w14:textId="77777777" w:rsidR="00CE65C0" w:rsidRDefault="00CE65C0" w:rsidP="00322B52">
      <w:pPr>
        <w:spacing w:after="0" w:line="240" w:lineRule="auto"/>
        <w:jc w:val="both"/>
        <w:rPr>
          <w:rFonts w:ascii="Bookman Old Style" w:eastAsiaTheme="minorEastAsia" w:hAnsi="Bookman Old Style"/>
        </w:rPr>
      </w:pPr>
    </w:p>
    <w:p w14:paraId="3B4219D8" w14:textId="264D9E03" w:rsidR="00CE65C0" w:rsidRPr="00CE65C0" w:rsidRDefault="00CE65C0" w:rsidP="00322B52">
      <w:pPr>
        <w:spacing w:after="0" w:line="240" w:lineRule="auto"/>
        <w:jc w:val="both"/>
        <w:rPr>
          <w:rFonts w:ascii="Bookman Old Style" w:eastAsiaTheme="minorEastAsia" w:hAnsi="Bookman Old Style"/>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E</m:t>
              </m:r>
            </m:sub>
          </m:sSub>
          <m: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oMath>
      </m:oMathPara>
    </w:p>
    <w:p w14:paraId="29FE307B" w14:textId="77777777" w:rsidR="00CE65C0" w:rsidRDefault="00CE65C0" w:rsidP="00322B52">
      <w:pPr>
        <w:spacing w:after="0" w:line="240" w:lineRule="auto"/>
        <w:jc w:val="both"/>
        <w:rPr>
          <w:rFonts w:ascii="Bookman Old Style" w:eastAsiaTheme="minorEastAsia" w:hAnsi="Bookman Old Style"/>
        </w:rPr>
      </w:pPr>
    </w:p>
    <w:p w14:paraId="1796A87E" w14:textId="23D207B4" w:rsidR="00CE65C0" w:rsidRDefault="00E741F7" w:rsidP="00322B52">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E</m:t>
            </m:r>
          </m:sub>
        </m:sSub>
      </m:oMath>
      <w:r w:rsidR="00CE65C0">
        <w:rPr>
          <w:rFonts w:ascii="Bookman Old Style" w:eastAsiaTheme="minorEastAsia" w:hAnsi="Bookman Old Style"/>
        </w:rPr>
        <w:t xml:space="preserve"> </w:t>
      </w:r>
      <w:proofErr w:type="gramStart"/>
      <w:r w:rsidR="00CE65C0">
        <w:rPr>
          <w:rFonts w:ascii="Bookman Old Style" w:eastAsiaTheme="minorEastAsia" w:hAnsi="Bookman Old Style"/>
        </w:rPr>
        <w:t>is</w:t>
      </w:r>
      <w:proofErr w:type="gramEnd"/>
      <w:r w:rsidR="00CE65C0">
        <w:rPr>
          <w:rFonts w:ascii="Bookman Old Style" w:eastAsiaTheme="minorEastAsia" w:hAnsi="Bookman Old Style"/>
        </w:rPr>
        <w:t xml:space="preserve"> the estimate beta for the equity - for the SML approach to be consistent with the dividend growth model, we drop the expectation sign, </w:t>
      </w:r>
      <w:r w:rsidR="00CE65C0">
        <w:rPr>
          <w:rFonts w:ascii="Bookman Old Style" w:eastAsiaTheme="minorEastAsia" w:hAnsi="Bookman Old Style"/>
          <w:i/>
        </w:rPr>
        <w:t>E</w:t>
      </w:r>
      <w:r w:rsidR="00CE65C0">
        <w:rPr>
          <w:rFonts w:ascii="Bookman Old Style" w:eastAsiaTheme="minorEastAsia" w:hAnsi="Bookman Old Style"/>
        </w:rPr>
        <w:t xml:space="preserve">, and write the required return from the SML,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w:r w:rsidR="00CE65C0">
        <w:rPr>
          <w:rFonts w:ascii="Bookman Old Style" w:eastAsiaTheme="minorEastAsia" w:hAnsi="Bookman Old Style"/>
        </w:rPr>
        <w:t>, as:</w:t>
      </w:r>
    </w:p>
    <w:p w14:paraId="015E904A" w14:textId="77777777" w:rsidR="00CE65C0" w:rsidRDefault="00CE65C0" w:rsidP="00322B52">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3978"/>
      </w:tblGrid>
      <w:tr w:rsidR="00322B52" w14:paraId="05F7FA80" w14:textId="77777777" w:rsidTr="00322B5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78" w:type="dxa"/>
          </w:tcPr>
          <w:p w14:paraId="1551C669" w14:textId="77777777" w:rsidR="00322B52" w:rsidRDefault="00322B52" w:rsidP="00322B52">
            <w:pPr>
              <w:jc w:val="both"/>
              <w:rPr>
                <w:rFonts w:ascii="Bookman Old Style" w:eastAsiaTheme="minorEastAsia" w:hAnsi="Bookman Old Style"/>
              </w:rPr>
            </w:pPr>
          </w:p>
          <w:p w14:paraId="060A2F45" w14:textId="4FC42170" w:rsidR="00322B52" w:rsidRDefault="00322B52" w:rsidP="00322B52">
            <w:pPr>
              <w:jc w:val="center"/>
              <w:rPr>
                <w:rFonts w:ascii="Bookman Old Style" w:eastAsiaTheme="minorEastAsia" w:hAnsi="Bookman Old Style"/>
              </w:rPr>
            </w:pPr>
            <w:r>
              <w:rPr>
                <w:rFonts w:ascii="Bookman Old Style" w:eastAsiaTheme="minorEastAsia" w:hAnsi="Bookman Old Style"/>
              </w:rPr>
              <w:t>Required Return from the SML</w:t>
            </w:r>
          </w:p>
          <w:p w14:paraId="3243A872" w14:textId="77777777" w:rsidR="00322B52" w:rsidRDefault="00322B52" w:rsidP="00322B52">
            <w:pPr>
              <w:jc w:val="center"/>
              <w:rPr>
                <w:rFonts w:ascii="Bookman Old Style" w:eastAsiaTheme="minorEastAsia" w:hAnsi="Bookman Old Style"/>
              </w:rPr>
            </w:pPr>
          </w:p>
          <w:p w14:paraId="7D356FAD" w14:textId="77777777" w:rsidR="00322B52" w:rsidRPr="00CE65C0" w:rsidRDefault="00E741F7" w:rsidP="00322B52">
            <w:pPr>
              <w:jc w:val="both"/>
              <w:rPr>
                <w:rFonts w:ascii="Bookman Old Style" w:eastAsiaTheme="minorEastAsia" w:hAnsi="Bookman Old Style"/>
              </w:rPr>
            </w:pPr>
            <m:oMathPara>
              <m:oMath>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E</m:t>
                    </m:r>
                  </m:sub>
                </m:sSub>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β</m:t>
                    </m:r>
                  </m:e>
                  <m:sub>
                    <m:r>
                      <m:rPr>
                        <m:sty m:val="bi"/>
                      </m:rPr>
                      <w:rPr>
                        <w:rFonts w:ascii="Cambria Math" w:eastAsiaTheme="minorEastAsia" w:hAnsi="Cambria Math"/>
                      </w:rPr>
                      <m:t>E</m:t>
                    </m:r>
                  </m:sub>
                </m:sSub>
                <m:r>
                  <m:rPr>
                    <m:sty m:val="bi"/>
                  </m:rPr>
                  <w:rPr>
                    <w:rFonts w:ascii="Cambria Math" w:eastAsiaTheme="minorEastAsia" w:hAnsi="Cambria Math"/>
                  </w:rPr>
                  <m:t>*</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M</m:t>
                        </m:r>
                      </m:sub>
                    </m:sSub>
                    <m:r>
                      <m:rPr>
                        <m:sty m:val="bi"/>
                      </m:rPr>
                      <w:rPr>
                        <w:rFonts w:ascii="Cambria Math" w:eastAsiaTheme="minorEastAsia" w:hAnsi="Cambria Math"/>
                      </w:rPr>
                      <m:t>-</m:t>
                    </m:r>
                    <m:sSub>
                      <m:sSubPr>
                        <m:ctrlPr>
                          <w:rPr>
                            <w:rFonts w:ascii="Cambria Math" w:eastAsiaTheme="minorEastAsia" w:hAnsi="Cambria Math"/>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e>
                </m:d>
              </m:oMath>
            </m:oMathPara>
          </w:p>
          <w:p w14:paraId="3D08642E" w14:textId="77777777" w:rsidR="00322B52" w:rsidRDefault="00322B52" w:rsidP="00322B52">
            <w:pPr>
              <w:jc w:val="both"/>
              <w:rPr>
                <w:rFonts w:ascii="Bookman Old Style" w:eastAsiaTheme="minorEastAsia" w:hAnsi="Bookman Old Style"/>
              </w:rPr>
            </w:pPr>
          </w:p>
        </w:tc>
      </w:tr>
    </w:tbl>
    <w:p w14:paraId="5D87EA41" w14:textId="77777777" w:rsidR="00CE65C0" w:rsidRDefault="00CE65C0" w:rsidP="00322B52">
      <w:pPr>
        <w:spacing w:after="0" w:line="240" w:lineRule="auto"/>
        <w:jc w:val="both"/>
        <w:rPr>
          <w:rFonts w:ascii="Bookman Old Style" w:eastAsiaTheme="minorEastAsia" w:hAnsi="Bookman Old Style"/>
        </w:rPr>
      </w:pPr>
    </w:p>
    <w:p w14:paraId="343E23E6" w14:textId="77777777" w:rsidR="00322B52" w:rsidRDefault="00322B52" w:rsidP="00322B52">
      <w:pPr>
        <w:spacing w:after="0" w:line="240" w:lineRule="auto"/>
        <w:jc w:val="both"/>
        <w:rPr>
          <w:rFonts w:ascii="Bookman Old Style" w:eastAsiaTheme="minorEastAsia" w:hAnsi="Bookman Old Style"/>
          <w:b/>
        </w:rPr>
      </w:pPr>
    </w:p>
    <w:p w14:paraId="7CC02D06" w14:textId="77777777" w:rsidR="00322B52" w:rsidRDefault="00322B52" w:rsidP="00322B52">
      <w:pPr>
        <w:spacing w:after="0" w:line="240" w:lineRule="auto"/>
        <w:jc w:val="both"/>
        <w:rPr>
          <w:rFonts w:ascii="Bookman Old Style" w:eastAsiaTheme="minorEastAsia" w:hAnsi="Bookman Old Style"/>
        </w:rPr>
      </w:pPr>
      <w:r>
        <w:rPr>
          <w:rFonts w:ascii="Bookman Old Style" w:eastAsiaTheme="minorEastAsia" w:hAnsi="Bookman Old Style"/>
          <w:b/>
        </w:rPr>
        <w:lastRenderedPageBreak/>
        <w:t>IMPLEMENTING THE APPRAOCH</w:t>
      </w:r>
      <w:r>
        <w:rPr>
          <w:rFonts w:ascii="Bookman Old Style" w:eastAsiaTheme="minorEastAsia" w:hAnsi="Bookman Old Style"/>
        </w:rPr>
        <w:t xml:space="preserve"> – To use the SML approach, we need:</w:t>
      </w:r>
    </w:p>
    <w:p w14:paraId="7B0D2242" w14:textId="129CC5A3" w:rsidR="00322B52" w:rsidRDefault="00322B52" w:rsidP="006F2196">
      <w:pPr>
        <w:pStyle w:val="ListParagraph"/>
        <w:numPr>
          <w:ilvl w:val="0"/>
          <w:numId w:val="7"/>
        </w:numPr>
        <w:spacing w:after="0" w:line="240" w:lineRule="auto"/>
        <w:jc w:val="both"/>
        <w:rPr>
          <w:rFonts w:ascii="Bookman Old Style" w:eastAsiaTheme="minorEastAsia" w:hAnsi="Bookman Old Style"/>
        </w:rPr>
      </w:pPr>
      <w:r>
        <w:rPr>
          <w:rFonts w:ascii="Bookman Old Style" w:eastAsiaTheme="minorEastAsia" w:hAnsi="Bookman Old Style"/>
        </w:rPr>
        <w:t>A</w:t>
      </w:r>
      <w:r w:rsidRPr="00322B52">
        <w:rPr>
          <w:rFonts w:ascii="Bookman Old Style" w:eastAsiaTheme="minorEastAsia" w:hAnsi="Bookman Old Style"/>
        </w:rPr>
        <w:t xml:space="preserve"> risk-free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p>
    <w:p w14:paraId="2356C52D" w14:textId="5326BF3D" w:rsidR="00322B52" w:rsidRDefault="00322B52" w:rsidP="006F2196">
      <w:pPr>
        <w:pStyle w:val="ListParagraph"/>
        <w:numPr>
          <w:ilvl w:val="0"/>
          <w:numId w:val="7"/>
        </w:numPr>
        <w:spacing w:after="0" w:line="240" w:lineRule="auto"/>
        <w:jc w:val="both"/>
        <w:rPr>
          <w:rFonts w:ascii="Bookman Old Style" w:eastAsiaTheme="minorEastAsia" w:hAnsi="Bookman Old Style"/>
        </w:rPr>
      </w:pPr>
      <w:r>
        <w:rPr>
          <w:rFonts w:ascii="Bookman Old Style" w:eastAsiaTheme="minorEastAsia" w:hAnsi="Bookman Old Style"/>
        </w:rPr>
        <w:t xml:space="preserve">An estimate of the market risk premium,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w:p>
    <w:p w14:paraId="10836473" w14:textId="7B3FBCD7" w:rsidR="00322B52" w:rsidRPr="00322B52" w:rsidRDefault="00322B52" w:rsidP="006F2196">
      <w:pPr>
        <w:pStyle w:val="ListParagraph"/>
        <w:numPr>
          <w:ilvl w:val="0"/>
          <w:numId w:val="7"/>
        </w:numPr>
        <w:spacing w:after="0" w:line="240" w:lineRule="auto"/>
        <w:jc w:val="both"/>
        <w:rPr>
          <w:rFonts w:ascii="Bookman Old Style" w:eastAsiaTheme="minorEastAsia" w:hAnsi="Bookman Old Style"/>
        </w:rPr>
      </w:pPr>
      <w:r>
        <w:rPr>
          <w:rFonts w:ascii="Bookman Old Style" w:eastAsiaTheme="minorEastAsia" w:hAnsi="Bookman Old Style"/>
        </w:rPr>
        <w:t xml:space="preserve">An estimate of the relevant beta, </w:t>
      </w:r>
      <w:r w:rsidRPr="00322B52">
        <w:rPr>
          <w:rFonts w:ascii="Bookman Old Style" w:eastAsiaTheme="minorEastAsia" w:hAnsi="Bookman Old Style"/>
          <w:i/>
        </w:rPr>
        <w:t>β</w:t>
      </w:r>
    </w:p>
    <w:p w14:paraId="573C89ED" w14:textId="77777777" w:rsidR="00322B52" w:rsidRDefault="00322B52" w:rsidP="00322B52">
      <w:pPr>
        <w:spacing w:after="0" w:line="240" w:lineRule="auto"/>
        <w:jc w:val="both"/>
        <w:rPr>
          <w:rFonts w:ascii="Bookman Old Style" w:eastAsiaTheme="minorEastAsia" w:hAnsi="Bookman Old Style"/>
        </w:rPr>
      </w:pPr>
    </w:p>
    <w:p w14:paraId="273EBA43" w14:textId="0B17F753" w:rsidR="00E92D36" w:rsidRDefault="00E92D36" w:rsidP="00322B52">
      <w:pPr>
        <w:spacing w:after="0" w:line="240" w:lineRule="auto"/>
        <w:jc w:val="both"/>
        <w:rPr>
          <w:rFonts w:ascii="Bookman Old Style" w:eastAsiaTheme="minorEastAsia" w:hAnsi="Bookman Old Style"/>
        </w:rPr>
      </w:pPr>
      <w:r>
        <w:rPr>
          <w:rFonts w:ascii="Bookman Old Style" w:eastAsiaTheme="minorEastAsia" w:hAnsi="Bookman Old Style"/>
        </w:rPr>
        <w:t>We saw that one estimate of the market risk premium (based on large Canadian common stocks) is around 4.30%.</w:t>
      </w:r>
    </w:p>
    <w:p w14:paraId="2C7C6E63" w14:textId="77777777" w:rsidR="00E92D36" w:rsidRDefault="00E92D36" w:rsidP="00322B52">
      <w:pPr>
        <w:spacing w:after="0" w:line="240" w:lineRule="auto"/>
        <w:jc w:val="both"/>
        <w:rPr>
          <w:rFonts w:ascii="Bookman Old Style" w:eastAsiaTheme="minorEastAsia" w:hAnsi="Bookman Old Style"/>
        </w:rPr>
      </w:pPr>
    </w:p>
    <w:p w14:paraId="2D27F55C" w14:textId="6CE68AF6" w:rsidR="00322B52" w:rsidRDefault="00322B52" w:rsidP="00322B52">
      <w:pPr>
        <w:spacing w:after="0" w:line="240" w:lineRule="auto"/>
        <w:jc w:val="both"/>
        <w:rPr>
          <w:rFonts w:ascii="Bookman Old Style" w:eastAsiaTheme="minorEastAsia" w:hAnsi="Bookman Old Style"/>
        </w:rPr>
      </w:pPr>
      <w:r>
        <w:rPr>
          <w:rFonts w:ascii="Bookman Old Style" w:eastAsiaTheme="minorEastAsia" w:hAnsi="Bookman Old Style"/>
        </w:rPr>
        <w:t>To reflect the long-term horizon over which we’ll apply the cost of equity, we measure the risk-free rate as the yield on 30-year Canadian bonds around 5%.</w:t>
      </w:r>
      <w:r w:rsidR="001840EF">
        <w:rPr>
          <w:rFonts w:ascii="Bookman Old Style" w:eastAsiaTheme="minorEastAsia" w:hAnsi="Bookman Old Style"/>
        </w:rPr>
        <w:t xml:space="preserve"> Beta coefficients for publicly traded companies are widely available and we’ve already looked at how to calculate betas from historical returns.</w:t>
      </w:r>
    </w:p>
    <w:p w14:paraId="636DF4C7" w14:textId="77777777" w:rsidR="001840EF" w:rsidRDefault="001840EF" w:rsidP="00322B52">
      <w:pPr>
        <w:spacing w:after="0" w:line="240" w:lineRule="auto"/>
        <w:jc w:val="both"/>
        <w:rPr>
          <w:rFonts w:ascii="Bookman Old Style" w:eastAsiaTheme="minorEastAsia" w:hAnsi="Bookman Old Style"/>
        </w:rPr>
      </w:pPr>
    </w:p>
    <w:p w14:paraId="0C5473F4" w14:textId="1E08494F" w:rsidR="001840EF" w:rsidRDefault="001840EF" w:rsidP="00322B52">
      <w:pPr>
        <w:spacing w:after="0" w:line="240" w:lineRule="auto"/>
        <w:jc w:val="both"/>
        <w:rPr>
          <w:rFonts w:ascii="Bookman Old Style" w:eastAsiaTheme="minorEastAsia" w:hAnsi="Bookman Old Style"/>
        </w:rPr>
      </w:pPr>
      <w:r>
        <w:rPr>
          <w:rFonts w:ascii="Bookman Old Style" w:eastAsiaTheme="minorEastAsia" w:hAnsi="Bookman Old Style"/>
        </w:rPr>
        <w:t>We saw before that Investors Group has an estimated beta of 0.76; we could therefore estimate their cost of equity as:</w:t>
      </w:r>
    </w:p>
    <w:p w14:paraId="1EF0FC35" w14:textId="77777777" w:rsidR="001840EF" w:rsidRDefault="001840EF" w:rsidP="00322B52">
      <w:pPr>
        <w:spacing w:after="0" w:line="240" w:lineRule="auto"/>
        <w:jc w:val="both"/>
        <w:rPr>
          <w:rFonts w:ascii="Bookman Old Style" w:eastAsiaTheme="minorEastAsia" w:hAnsi="Bookman Old Style"/>
        </w:rPr>
      </w:pPr>
    </w:p>
    <w:p w14:paraId="3EF11D30" w14:textId="6E3BBBAB" w:rsidR="001840EF" w:rsidRPr="001840EF" w:rsidRDefault="00E741F7" w:rsidP="00322B52">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CU</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+β*</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oMath>
      </m:oMathPara>
    </w:p>
    <w:p w14:paraId="5B891AEB" w14:textId="1F3B2E80" w:rsidR="001840EF" w:rsidRDefault="001840EF" w:rsidP="001840E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5DAA00F" w14:textId="3D3A99B8" w:rsidR="001840EF" w:rsidRDefault="001840EF" w:rsidP="001840EF">
      <w:pPr>
        <w:spacing w:after="0" w:line="240" w:lineRule="auto"/>
        <w:jc w:val="center"/>
        <w:rPr>
          <w:rFonts w:ascii="Bookman Old Style" w:eastAsiaTheme="minorEastAsia" w:hAnsi="Bookman Old Style"/>
        </w:rPr>
      </w:pPr>
      <w:r>
        <w:rPr>
          <w:rFonts w:ascii="Bookman Old Style" w:eastAsiaTheme="minorEastAsia" w:hAnsi="Bookman Old Style"/>
        </w:rPr>
        <w:t>5.0% + 0.76 * (4.30%)</w:t>
      </w:r>
    </w:p>
    <w:p w14:paraId="3C73B02E" w14:textId="7781B4F9" w:rsidR="001840EF" w:rsidRDefault="001840EF" w:rsidP="001840E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0C280CDA" w14:textId="4608B3FC" w:rsidR="001840EF" w:rsidRDefault="001840EF" w:rsidP="001840EF">
      <w:pPr>
        <w:spacing w:after="0" w:line="240" w:lineRule="auto"/>
        <w:jc w:val="center"/>
        <w:rPr>
          <w:rFonts w:ascii="Bookman Old Style" w:eastAsiaTheme="minorEastAsia" w:hAnsi="Bookman Old Style"/>
        </w:rPr>
      </w:pPr>
      <w:r>
        <w:rPr>
          <w:rFonts w:ascii="Bookman Old Style" w:eastAsiaTheme="minorEastAsia" w:hAnsi="Bookman Old Style"/>
        </w:rPr>
        <w:t>8.27%</w:t>
      </w:r>
    </w:p>
    <w:p w14:paraId="56EDAA61" w14:textId="77777777" w:rsidR="001840EF" w:rsidRDefault="001840EF" w:rsidP="001840EF">
      <w:pPr>
        <w:spacing w:after="0" w:line="240" w:lineRule="auto"/>
        <w:jc w:val="center"/>
        <w:rPr>
          <w:rFonts w:ascii="Bookman Old Style" w:eastAsiaTheme="minorEastAsia" w:hAnsi="Bookman Old Style"/>
        </w:rPr>
      </w:pPr>
    </w:p>
    <w:p w14:paraId="76AE314A" w14:textId="35ECBE6F" w:rsidR="001840EF" w:rsidRDefault="001840EF" w:rsidP="001840EF">
      <w:pPr>
        <w:spacing w:after="0" w:line="240" w:lineRule="auto"/>
        <w:jc w:val="both"/>
        <w:rPr>
          <w:rFonts w:ascii="Bookman Old Style" w:eastAsiaTheme="minorEastAsia" w:hAnsi="Bookman Old Style"/>
        </w:rPr>
      </w:pPr>
      <w:r>
        <w:rPr>
          <w:rFonts w:ascii="Bookman Old Style" w:eastAsiaTheme="minorEastAsia" w:hAnsi="Bookman Old Style"/>
        </w:rPr>
        <w:t>So, using the SML approach, Investors Group’s cost of equity is about 8.27%</w:t>
      </w:r>
    </w:p>
    <w:p w14:paraId="35310DD7" w14:textId="77777777" w:rsidR="001840EF" w:rsidRDefault="001840EF" w:rsidP="001840EF">
      <w:pPr>
        <w:spacing w:after="0" w:line="240" w:lineRule="auto"/>
        <w:jc w:val="both"/>
        <w:rPr>
          <w:rFonts w:ascii="Bookman Old Style" w:eastAsiaTheme="minorEastAsia" w:hAnsi="Bookman Old Style"/>
        </w:rPr>
      </w:pPr>
    </w:p>
    <w:p w14:paraId="5652842F" w14:textId="77777777" w:rsidR="001840EF" w:rsidRDefault="001840EF" w:rsidP="001840EF">
      <w:pPr>
        <w:spacing w:after="0" w:line="240" w:lineRule="auto"/>
        <w:jc w:val="both"/>
        <w:rPr>
          <w:rFonts w:ascii="Bookman Old Style" w:eastAsiaTheme="minorEastAsia" w:hAnsi="Bookman Old Style"/>
        </w:rPr>
      </w:pPr>
    </w:p>
    <w:p w14:paraId="36A5F370" w14:textId="2B2D6405" w:rsidR="001840EF" w:rsidRDefault="001840EF" w:rsidP="001840EF">
      <w:pPr>
        <w:spacing w:after="0" w:line="240" w:lineRule="auto"/>
        <w:jc w:val="both"/>
        <w:rPr>
          <w:rFonts w:ascii="Bookman Old Style" w:eastAsiaTheme="minorEastAsia" w:hAnsi="Bookman Old Style"/>
        </w:rPr>
      </w:pPr>
      <w:r>
        <w:rPr>
          <w:rFonts w:ascii="Bookman Old Style" w:eastAsiaTheme="minorEastAsia" w:hAnsi="Bookman Old Style"/>
          <w:b/>
        </w:rPr>
        <w:t>ADVANTAGES &amp; DISADVANTAGES OF THE APPROACH</w:t>
      </w:r>
      <w:r>
        <w:rPr>
          <w:rFonts w:ascii="Bookman Old Style" w:eastAsiaTheme="minorEastAsia" w:hAnsi="Bookman Old Style"/>
        </w:rPr>
        <w:t xml:space="preserve"> – The SML approach has 2 primary advantages:</w:t>
      </w:r>
    </w:p>
    <w:p w14:paraId="3E284D61" w14:textId="77777777" w:rsidR="001840EF" w:rsidRDefault="001840EF" w:rsidP="001840EF">
      <w:pPr>
        <w:spacing w:after="0" w:line="240" w:lineRule="auto"/>
        <w:jc w:val="both"/>
        <w:rPr>
          <w:rFonts w:ascii="Bookman Old Style" w:eastAsiaTheme="minorEastAsia" w:hAnsi="Bookman Old Style"/>
        </w:rPr>
      </w:pPr>
    </w:p>
    <w:p w14:paraId="0762EF3C" w14:textId="41019B81" w:rsidR="001840EF" w:rsidRDefault="001840EF" w:rsidP="006F2196">
      <w:pPr>
        <w:pStyle w:val="ListParagraph"/>
        <w:numPr>
          <w:ilvl w:val="0"/>
          <w:numId w:val="8"/>
        </w:numPr>
        <w:spacing w:after="0" w:line="240" w:lineRule="auto"/>
        <w:jc w:val="both"/>
        <w:rPr>
          <w:rFonts w:ascii="Bookman Old Style" w:eastAsiaTheme="minorEastAsia" w:hAnsi="Bookman Old Style"/>
        </w:rPr>
      </w:pPr>
      <w:r>
        <w:rPr>
          <w:rFonts w:ascii="Bookman Old Style" w:eastAsiaTheme="minorEastAsia" w:hAnsi="Bookman Old Style"/>
        </w:rPr>
        <w:t>It explicitly adjusts for risk</w:t>
      </w:r>
    </w:p>
    <w:p w14:paraId="637956BE" w14:textId="1A8198E2" w:rsidR="001840EF" w:rsidRDefault="001840EF" w:rsidP="006F2196">
      <w:pPr>
        <w:pStyle w:val="ListParagraph"/>
        <w:numPr>
          <w:ilvl w:val="0"/>
          <w:numId w:val="8"/>
        </w:numPr>
        <w:spacing w:after="0" w:line="240" w:lineRule="auto"/>
        <w:jc w:val="both"/>
        <w:rPr>
          <w:rFonts w:ascii="Bookman Old Style" w:eastAsiaTheme="minorEastAsia" w:hAnsi="Bookman Old Style"/>
        </w:rPr>
      </w:pPr>
      <w:r>
        <w:rPr>
          <w:rFonts w:ascii="Bookman Old Style" w:eastAsiaTheme="minorEastAsia" w:hAnsi="Bookman Old Style"/>
        </w:rPr>
        <w:t>It’s applicable to companies other than those with steady dividend growth</w:t>
      </w:r>
    </w:p>
    <w:p w14:paraId="0B280CD9" w14:textId="77777777" w:rsidR="001840EF" w:rsidRDefault="001840EF" w:rsidP="001840EF">
      <w:pPr>
        <w:spacing w:after="0" w:line="240" w:lineRule="auto"/>
        <w:jc w:val="both"/>
        <w:rPr>
          <w:rFonts w:ascii="Bookman Old Style" w:eastAsiaTheme="minorEastAsia" w:hAnsi="Bookman Old Style"/>
        </w:rPr>
      </w:pPr>
    </w:p>
    <w:p w14:paraId="42A0E08F" w14:textId="3F4CA110" w:rsidR="001840EF" w:rsidRDefault="001840EF" w:rsidP="001840EF">
      <w:pPr>
        <w:spacing w:after="0" w:line="240" w:lineRule="auto"/>
        <w:jc w:val="both"/>
        <w:rPr>
          <w:rFonts w:ascii="Bookman Old Style" w:eastAsiaTheme="minorEastAsia" w:hAnsi="Bookman Old Style"/>
        </w:rPr>
      </w:pPr>
      <w:r>
        <w:rPr>
          <w:rFonts w:ascii="Bookman Old Style" w:eastAsiaTheme="minorEastAsia" w:hAnsi="Bookman Old Style"/>
        </w:rPr>
        <w:t>So it can be useful in a wider variety of circumstances. But there are drawbacks as well.</w:t>
      </w:r>
    </w:p>
    <w:p w14:paraId="0DCAFCB0" w14:textId="77777777" w:rsidR="001840EF" w:rsidRDefault="001840EF" w:rsidP="001840EF">
      <w:pPr>
        <w:spacing w:after="0" w:line="240" w:lineRule="auto"/>
        <w:jc w:val="both"/>
        <w:rPr>
          <w:rFonts w:ascii="Bookman Old Style" w:eastAsiaTheme="minorEastAsia" w:hAnsi="Bookman Old Style"/>
        </w:rPr>
      </w:pPr>
    </w:p>
    <w:p w14:paraId="79CBB455" w14:textId="39947F31" w:rsidR="001840EF" w:rsidRDefault="001840EF" w:rsidP="001840EF">
      <w:pPr>
        <w:spacing w:after="0" w:line="240" w:lineRule="auto"/>
        <w:jc w:val="both"/>
        <w:rPr>
          <w:rFonts w:ascii="Bookman Old Style" w:eastAsiaTheme="minorEastAsia" w:hAnsi="Bookman Old Style"/>
        </w:rPr>
      </w:pPr>
      <w:r>
        <w:rPr>
          <w:rFonts w:ascii="Bookman Old Style" w:eastAsiaTheme="minorEastAsia" w:hAnsi="Bookman Old Style"/>
        </w:rPr>
        <w:t>The SML approach requires that 2 things be estimated: the market risk premium and the beta coefficient. If our estimates are poor, the resulting cost of equity is inaccurate.</w:t>
      </w:r>
    </w:p>
    <w:p w14:paraId="6A437961" w14:textId="77777777" w:rsidR="001840EF" w:rsidRDefault="001840EF" w:rsidP="001840EF">
      <w:pPr>
        <w:spacing w:after="0" w:line="240" w:lineRule="auto"/>
        <w:jc w:val="both"/>
        <w:rPr>
          <w:rFonts w:ascii="Bookman Old Style" w:eastAsiaTheme="minorEastAsia" w:hAnsi="Bookman Old Style"/>
        </w:rPr>
      </w:pPr>
    </w:p>
    <w:p w14:paraId="3177E2AD" w14:textId="5CC419FC"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As an example, our estimate of the market risk premium, 4.30%, is based on about 50 years of returns on a particular portfolio of stocks. Using different time periods or different stocks could result in very different estimates.</w:t>
      </w:r>
    </w:p>
    <w:p w14:paraId="25893CDB" w14:textId="77777777" w:rsidR="00E92D36" w:rsidRDefault="00E92D36" w:rsidP="001840EF">
      <w:pPr>
        <w:spacing w:after="0" w:line="240" w:lineRule="auto"/>
        <w:jc w:val="both"/>
        <w:rPr>
          <w:rFonts w:ascii="Bookman Old Style" w:eastAsiaTheme="minorEastAsia" w:hAnsi="Bookman Old Style"/>
        </w:rPr>
      </w:pPr>
    </w:p>
    <w:p w14:paraId="4E1BED01" w14:textId="7D231468"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Like with the dividend growth model, we basically rely on the past to predict the future when using the SML approach. Economic conditions can change quickly, so the past might not always be a good guide for the future.</w:t>
      </w:r>
    </w:p>
    <w:p w14:paraId="58D4F760" w14:textId="77777777" w:rsidR="00E92D36" w:rsidRDefault="00E92D36" w:rsidP="001840EF">
      <w:pPr>
        <w:spacing w:after="0" w:line="240" w:lineRule="auto"/>
        <w:jc w:val="both"/>
        <w:rPr>
          <w:rFonts w:ascii="Bookman Old Style" w:eastAsiaTheme="minorEastAsia" w:hAnsi="Bookman Old Style"/>
        </w:rPr>
      </w:pPr>
    </w:p>
    <w:p w14:paraId="45D2E79F" w14:textId="3905FACA"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The SML approach is considered to be the “best practice” and is most widely used.</w:t>
      </w:r>
    </w:p>
    <w:p w14:paraId="04F4A90D" w14:textId="77777777" w:rsidR="00E92D36" w:rsidRDefault="00E92D36" w:rsidP="001840EF">
      <w:pPr>
        <w:spacing w:after="0" w:line="240" w:lineRule="auto"/>
        <w:jc w:val="both"/>
        <w:rPr>
          <w:rFonts w:ascii="Bookman Old Style" w:eastAsiaTheme="minorEastAsia" w:hAnsi="Bookman Old Style"/>
        </w:rPr>
      </w:pPr>
    </w:p>
    <w:p w14:paraId="3572F186" w14:textId="385C8AB6"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The dividend valuation model can be used to check how reasonable our SML result is.</w:t>
      </w:r>
    </w:p>
    <w:p w14:paraId="390CBA86" w14:textId="77777777" w:rsidR="00E92D36" w:rsidRDefault="00E92D36" w:rsidP="001840EF">
      <w:pPr>
        <w:spacing w:after="0" w:line="240" w:lineRule="auto"/>
        <w:jc w:val="both"/>
        <w:rPr>
          <w:rFonts w:ascii="Bookman Old Style" w:eastAsiaTheme="minorEastAsia" w:hAnsi="Bookman Old Style"/>
        </w:rPr>
      </w:pPr>
    </w:p>
    <w:p w14:paraId="51422E66" w14:textId="1E8D41C7" w:rsidR="00E92D36" w:rsidRDefault="00E92D36" w:rsidP="001840EF">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lastRenderedPageBreak/>
        <w:t>THE COST OF EQUITY IN RATE HEARINGS</w:t>
      </w:r>
    </w:p>
    <w:p w14:paraId="72FAE76D" w14:textId="26351C18"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Let’s say that Provincial Power has just applied for increases in the rates charged to some customers. One test that regulators apply is called the “fair rate of return” rule.</w:t>
      </w:r>
    </w:p>
    <w:p w14:paraId="427539BF" w14:textId="77777777" w:rsidR="00E92D36" w:rsidRDefault="00E92D36" w:rsidP="001840EF">
      <w:pPr>
        <w:spacing w:after="0" w:line="240" w:lineRule="auto"/>
        <w:jc w:val="both"/>
        <w:rPr>
          <w:rFonts w:ascii="Bookman Old Style" w:eastAsiaTheme="minorEastAsia" w:hAnsi="Bookman Old Style"/>
        </w:rPr>
      </w:pPr>
    </w:p>
    <w:p w14:paraId="5E83980A" w14:textId="14D1FBA7"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This means that they determine the fair rate of return on capital for the company and allow an increase in rates only if the company can show that revenues are insufficient to achieve this fair rate.</w:t>
      </w:r>
    </w:p>
    <w:p w14:paraId="721B1A6F" w14:textId="77777777" w:rsidR="00E92D36" w:rsidRDefault="00E92D36" w:rsidP="001840EF">
      <w:pPr>
        <w:spacing w:after="0" w:line="240" w:lineRule="auto"/>
        <w:jc w:val="both"/>
        <w:rPr>
          <w:rFonts w:ascii="Bookman Old Style" w:eastAsiaTheme="minorEastAsia" w:hAnsi="Bookman Old Style"/>
        </w:rPr>
      </w:pPr>
    </w:p>
    <w:p w14:paraId="56AFFBBA" w14:textId="3858E20B"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44E480CF" w14:textId="2344F06E"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Suppose a company has capital in the form of equity of $100 and net income of $8 providing a return of 8%. If the fair rate of return were 9%, the company would be allowed a rate increase sufficient to generate one extra dollar of net income.</w:t>
      </w:r>
    </w:p>
    <w:p w14:paraId="448E544D" w14:textId="77777777" w:rsidR="00E92D36" w:rsidRDefault="00E92D36" w:rsidP="001840EF">
      <w:pPr>
        <w:spacing w:after="0" w:line="240" w:lineRule="auto"/>
        <w:jc w:val="both"/>
        <w:rPr>
          <w:rFonts w:ascii="Bookman Old Style" w:eastAsiaTheme="minorEastAsia" w:hAnsi="Bookman Old Style"/>
        </w:rPr>
      </w:pPr>
    </w:p>
    <w:p w14:paraId="26C8795D" w14:textId="7A5EB732"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Regulatory authorities determine the fair rate of return after hearing presentation by the company and consumer groups. Consultants engaged by the company argue for a higher fair rate and consultants engaged by consumer groups argue for a lower fair rate.</w:t>
      </w:r>
    </w:p>
    <w:p w14:paraId="6ECE45F5" w14:textId="77777777" w:rsidR="00E92D36" w:rsidRDefault="00E92D36" w:rsidP="001840EF">
      <w:pPr>
        <w:spacing w:after="0" w:line="240" w:lineRule="auto"/>
        <w:jc w:val="both"/>
        <w:rPr>
          <w:rFonts w:ascii="Bookman Old Style" w:eastAsiaTheme="minorEastAsia" w:hAnsi="Bookman Old Style"/>
        </w:rPr>
      </w:pPr>
    </w:p>
    <w:p w14:paraId="1EA6F3D3" w14:textId="6B58287F"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Because the fair rate depends on market conditions, consultants use the dividend growth approach and the SML approach, along with other techniques.</w:t>
      </w:r>
    </w:p>
    <w:p w14:paraId="6A2367F6" w14:textId="77777777" w:rsidR="00E92D36" w:rsidRDefault="00E92D36" w:rsidP="001840EF">
      <w:pPr>
        <w:spacing w:after="0" w:line="240" w:lineRule="auto"/>
        <w:jc w:val="both"/>
        <w:rPr>
          <w:rFonts w:ascii="Bookman Old Style" w:eastAsiaTheme="minorEastAsia" w:hAnsi="Bookman Old Style"/>
        </w:rPr>
      </w:pPr>
    </w:p>
    <w:p w14:paraId="30169210" w14:textId="5C5B83BC"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If Provincial Power has presented regulators with cost equity of 11% and you’re a consultant for a consumer group, what flaws would you look for?</w:t>
      </w:r>
    </w:p>
    <w:p w14:paraId="7444E05B" w14:textId="77777777" w:rsidR="00E92D36" w:rsidRDefault="00E92D36" w:rsidP="001840EF">
      <w:pPr>
        <w:spacing w:after="0" w:line="240" w:lineRule="auto"/>
        <w:jc w:val="both"/>
        <w:rPr>
          <w:rFonts w:ascii="Bookman Old Style" w:eastAsiaTheme="minorEastAsia" w:hAnsi="Bookman Old Style"/>
        </w:rPr>
      </w:pPr>
    </w:p>
    <w:p w14:paraId="2AC33A97" w14:textId="25A1469E" w:rsidR="00E92D36" w:rsidRDefault="00E92D36" w:rsidP="001840EF">
      <w:pPr>
        <w:spacing w:after="0" w:line="240" w:lineRule="auto"/>
        <w:jc w:val="both"/>
        <w:rPr>
          <w:rFonts w:ascii="Bookman Old Style" w:eastAsiaTheme="minorEastAsia" w:hAnsi="Bookman Old Style"/>
        </w:rPr>
      </w:pPr>
      <w:r>
        <w:rPr>
          <w:rFonts w:ascii="Bookman Old Style" w:eastAsiaTheme="minorEastAsia" w:hAnsi="Bookman Old Style"/>
        </w:rPr>
        <w:t>If you think cost equity is too high, you should challenge the assumed growth rate in dividends. Also, the market risk premium used in the SML may be too high.</w:t>
      </w:r>
    </w:p>
    <w:p w14:paraId="315B4872" w14:textId="77777777" w:rsidR="00E92D36" w:rsidRDefault="00E92D36" w:rsidP="001840EF">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E8143D" w14:paraId="59BB760E" w14:textId="77777777" w:rsidTr="00E8143D">
        <w:tc>
          <w:tcPr>
            <w:tcW w:w="9576" w:type="dxa"/>
          </w:tcPr>
          <w:p w14:paraId="07ACDEF1" w14:textId="77777777" w:rsidR="00E8143D" w:rsidRDefault="00E8143D" w:rsidP="001840EF">
            <w:pPr>
              <w:jc w:val="both"/>
              <w:rPr>
                <w:rFonts w:ascii="Bookman Old Style" w:eastAsiaTheme="minorEastAsia" w:hAnsi="Bookman Old Style"/>
              </w:rPr>
            </w:pPr>
          </w:p>
          <w:p w14:paraId="0DF16D97"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i/>
              </w:rPr>
              <w:t xml:space="preserve"> The Cost of Equity</w:t>
            </w:r>
          </w:p>
          <w:p w14:paraId="0205E984"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t>Sun Life Financial is trading on the TSX at $22.34. They had a 120-month beta of 0.78, the market risk premium historically has been around 4.30% and our estimate of the risk-free rate in 2012 was 5.00%.</w:t>
            </w:r>
          </w:p>
          <w:p w14:paraId="37DC0E26" w14:textId="77777777" w:rsidR="00E8143D" w:rsidRDefault="00E8143D" w:rsidP="00E8143D">
            <w:pPr>
              <w:jc w:val="both"/>
              <w:rPr>
                <w:rFonts w:ascii="Bookman Old Style" w:eastAsiaTheme="minorEastAsia" w:hAnsi="Bookman Old Style"/>
              </w:rPr>
            </w:pPr>
          </w:p>
          <w:p w14:paraId="10178D32"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t>Sun Life’s last dividend was $1.44 and some analysts expect that the dividends grow at 8% indefinitely. What’s Sun Life’s cost of equity?</w:t>
            </w:r>
          </w:p>
          <w:p w14:paraId="729062EB" w14:textId="77777777" w:rsidR="00E8143D" w:rsidRDefault="00E8143D" w:rsidP="00E8143D">
            <w:pPr>
              <w:jc w:val="both"/>
              <w:rPr>
                <w:rFonts w:ascii="Bookman Old Style" w:eastAsiaTheme="minorEastAsia" w:hAnsi="Bookman Old Style"/>
              </w:rPr>
            </w:pPr>
          </w:p>
          <w:p w14:paraId="282FD493" w14:textId="77777777" w:rsidR="00E8143D" w:rsidRPr="00E8143D" w:rsidRDefault="00E741F7" w:rsidP="00E8143D">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E</m:t>
                    </m:r>
                  </m:sub>
                </m:sSub>
                <m:r>
                  <w:rPr>
                    <w:rFonts w:ascii="Cambria Math" w:eastAsiaTheme="minorEastAsia" w:hAnsi="Cambria Math"/>
                  </w:rPr>
                  <m:t>*</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oMath>
            </m:oMathPara>
          </w:p>
          <w:p w14:paraId="4DFAC0FA"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w:t>
            </w:r>
          </w:p>
          <w:p w14:paraId="27CA0BCA"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5.00% + 0.78 * 4.30%</w:t>
            </w:r>
          </w:p>
          <w:p w14:paraId="0D331D7A"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w:t>
            </w:r>
          </w:p>
          <w:p w14:paraId="7CFE83AB"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8.35%</w:t>
            </w:r>
          </w:p>
          <w:p w14:paraId="4B0E39B9" w14:textId="77777777" w:rsidR="00E8143D" w:rsidRDefault="00E8143D" w:rsidP="00E8143D">
            <w:pPr>
              <w:jc w:val="both"/>
              <w:rPr>
                <w:rFonts w:ascii="Bookman Old Style" w:eastAsiaTheme="minorEastAsia" w:hAnsi="Bookman Old Style"/>
              </w:rPr>
            </w:pPr>
          </w:p>
          <w:p w14:paraId="7BC938C2"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t>This suggests that 8.35% is Sun Life’s cost of equity. Next we use the dividend growth model as a check. The projected dividend is:</w:t>
            </w:r>
          </w:p>
          <w:p w14:paraId="71936069" w14:textId="77777777" w:rsidR="00E8143D" w:rsidRDefault="00E8143D" w:rsidP="00E8143D">
            <w:pPr>
              <w:jc w:val="both"/>
              <w:rPr>
                <w:rFonts w:ascii="Bookman Old Style" w:eastAsiaTheme="minorEastAsia" w:hAnsi="Bookman Old Style"/>
              </w:rPr>
            </w:pPr>
          </w:p>
          <w:p w14:paraId="3DE698C0" w14:textId="77777777" w:rsidR="00E8143D" w:rsidRPr="00E8143D" w:rsidRDefault="00E741F7" w:rsidP="00E8143D">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1+g</m:t>
                    </m:r>
                  </m:e>
                </m:d>
                <m:r>
                  <w:rPr>
                    <w:rFonts w:ascii="Cambria Math" w:eastAsiaTheme="minorEastAsia" w:hAnsi="Cambria Math"/>
                  </w:rPr>
                  <m:t>=$1.44*</m:t>
                </m:r>
                <m:d>
                  <m:dPr>
                    <m:ctrlPr>
                      <w:rPr>
                        <w:rFonts w:ascii="Cambria Math" w:eastAsiaTheme="minorEastAsia" w:hAnsi="Cambria Math"/>
                        <w:i/>
                      </w:rPr>
                    </m:ctrlPr>
                  </m:dPr>
                  <m:e>
                    <m:r>
                      <w:rPr>
                        <w:rFonts w:ascii="Cambria Math" w:eastAsiaTheme="minorEastAsia" w:hAnsi="Cambria Math"/>
                      </w:rPr>
                      <m:t>1.08</m:t>
                    </m:r>
                  </m:e>
                </m:d>
                <m:r>
                  <w:rPr>
                    <w:rFonts w:ascii="Cambria Math" w:eastAsiaTheme="minorEastAsia" w:hAnsi="Cambria Math"/>
                  </w:rPr>
                  <m:t>=$1.56</m:t>
                </m:r>
              </m:oMath>
            </m:oMathPara>
          </w:p>
          <w:p w14:paraId="527EDA49" w14:textId="77777777" w:rsidR="00E8143D" w:rsidRDefault="00E8143D" w:rsidP="00E8143D">
            <w:pPr>
              <w:jc w:val="both"/>
              <w:rPr>
                <w:rFonts w:ascii="Bookman Old Style" w:eastAsiaTheme="minorEastAsia" w:hAnsi="Bookman Old Style"/>
              </w:rPr>
            </w:pPr>
          </w:p>
          <w:p w14:paraId="1871F5F1" w14:textId="77777777" w:rsidR="00E8143D" w:rsidRDefault="00E8143D" w:rsidP="00E8143D">
            <w:pPr>
              <w:jc w:val="both"/>
              <w:rPr>
                <w:rFonts w:ascii="Bookman Old Style" w:eastAsiaTheme="minorEastAsia" w:hAnsi="Bookman Old Style"/>
              </w:rPr>
            </w:pPr>
          </w:p>
          <w:p w14:paraId="66F4D8EB" w14:textId="77777777" w:rsidR="00E8143D" w:rsidRDefault="00E8143D" w:rsidP="00E8143D">
            <w:pPr>
              <w:jc w:val="both"/>
              <w:rPr>
                <w:rFonts w:ascii="Bookman Old Style" w:eastAsiaTheme="minorEastAsia" w:hAnsi="Bookman Old Style"/>
              </w:rPr>
            </w:pPr>
          </w:p>
          <w:p w14:paraId="678908DF"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lastRenderedPageBreak/>
              <w:t>So the expected return using this approach is:</w:t>
            </w:r>
          </w:p>
          <w:p w14:paraId="0F263180" w14:textId="77777777" w:rsidR="00E8143D" w:rsidRDefault="00E8143D" w:rsidP="00E8143D">
            <w:pPr>
              <w:jc w:val="both"/>
              <w:rPr>
                <w:rFonts w:ascii="Bookman Old Style" w:eastAsiaTheme="minorEastAsia" w:hAnsi="Bookman Old Style"/>
              </w:rPr>
            </w:pPr>
          </w:p>
          <w:p w14:paraId="4745B0D9" w14:textId="77777777" w:rsidR="00E8143D" w:rsidRPr="00E8143D" w:rsidRDefault="00E741F7" w:rsidP="00E8143D">
            <w:pPr>
              <w:jc w:val="center"/>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+g</m:t>
                </m:r>
              </m:oMath>
            </m:oMathPara>
          </w:p>
          <w:p w14:paraId="579E5B42"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w:t>
            </w:r>
          </w:p>
          <w:p w14:paraId="711FD86D" w14:textId="77777777" w:rsidR="00E8143D" w:rsidRPr="00E8143D" w:rsidRDefault="00E741F7" w:rsidP="00E8143D">
            <w:pPr>
              <w:jc w:val="center"/>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$1.56</m:t>
                    </m:r>
                  </m:num>
                  <m:den>
                    <m:r>
                      <w:rPr>
                        <w:rFonts w:ascii="Cambria Math" w:eastAsiaTheme="minorEastAsia" w:hAnsi="Cambria Math"/>
                      </w:rPr>
                      <m:t>$22.34</m:t>
                    </m:r>
                  </m:den>
                </m:f>
                <m:r>
                  <w:rPr>
                    <w:rFonts w:ascii="Cambria Math" w:eastAsiaTheme="minorEastAsia" w:hAnsi="Cambria Math"/>
                  </w:rPr>
                  <m:t>+0.08</m:t>
                </m:r>
              </m:oMath>
            </m:oMathPara>
          </w:p>
          <w:p w14:paraId="6DBECB8D"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w:t>
            </w:r>
          </w:p>
          <w:p w14:paraId="4B93C719" w14:textId="77777777" w:rsidR="00E8143D" w:rsidRDefault="00E8143D" w:rsidP="00E8143D">
            <w:pPr>
              <w:jc w:val="center"/>
              <w:rPr>
                <w:rFonts w:ascii="Bookman Old Style" w:eastAsiaTheme="minorEastAsia" w:hAnsi="Bookman Old Style"/>
              </w:rPr>
            </w:pPr>
            <w:r>
              <w:rPr>
                <w:rFonts w:ascii="Bookman Old Style" w:eastAsiaTheme="minorEastAsia" w:hAnsi="Bookman Old Style"/>
              </w:rPr>
              <w:t>14.98%</w:t>
            </w:r>
          </w:p>
          <w:p w14:paraId="7F49F30E" w14:textId="77777777" w:rsidR="00E8143D" w:rsidRDefault="00E8143D" w:rsidP="00E8143D">
            <w:pPr>
              <w:jc w:val="both"/>
              <w:rPr>
                <w:rFonts w:ascii="Bookman Old Style" w:eastAsiaTheme="minorEastAsia" w:hAnsi="Bookman Old Style"/>
              </w:rPr>
            </w:pPr>
          </w:p>
          <w:p w14:paraId="52FE4C48"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t>Our 2 estimates differ significantly – so we’ll use the one we have more confidence in, the SML.</w:t>
            </w:r>
          </w:p>
          <w:p w14:paraId="00C14B17" w14:textId="77777777" w:rsidR="00E8143D" w:rsidRDefault="00E8143D" w:rsidP="00E8143D">
            <w:pPr>
              <w:jc w:val="both"/>
              <w:rPr>
                <w:rFonts w:ascii="Bookman Old Style" w:eastAsiaTheme="minorEastAsia" w:hAnsi="Bookman Old Style"/>
              </w:rPr>
            </w:pPr>
          </w:p>
          <w:p w14:paraId="126A582C"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t>If the inputs are fairly reliable for the SML, it’s preferred over the growth model, which might not apply to all companies.</w:t>
            </w:r>
          </w:p>
          <w:p w14:paraId="14C546E9" w14:textId="77777777" w:rsidR="00E8143D" w:rsidRDefault="00E8143D" w:rsidP="00E8143D">
            <w:pPr>
              <w:jc w:val="both"/>
              <w:rPr>
                <w:rFonts w:ascii="Bookman Old Style" w:eastAsiaTheme="minorEastAsia" w:hAnsi="Bookman Old Style"/>
              </w:rPr>
            </w:pPr>
          </w:p>
          <w:p w14:paraId="6F3E1D17" w14:textId="77777777" w:rsidR="00E8143D" w:rsidRDefault="00E8143D" w:rsidP="00E8143D">
            <w:pPr>
              <w:jc w:val="both"/>
              <w:rPr>
                <w:rFonts w:ascii="Bookman Old Style" w:eastAsiaTheme="minorEastAsia" w:hAnsi="Bookman Old Style"/>
              </w:rPr>
            </w:pPr>
            <w:r>
              <w:rPr>
                <w:rFonts w:ascii="Bookman Old Style" w:eastAsiaTheme="minorEastAsia" w:hAnsi="Bookman Old Style"/>
              </w:rPr>
              <w:t>One main reason for the SML preference is that the SML considers risk (as measured by beta), while the growth model doesn’t.</w:t>
            </w:r>
          </w:p>
          <w:p w14:paraId="3CEEE5A4" w14:textId="77777777" w:rsidR="00E8143D" w:rsidRDefault="00E8143D" w:rsidP="00E8143D">
            <w:pPr>
              <w:jc w:val="both"/>
              <w:rPr>
                <w:rFonts w:ascii="Bookman Old Style" w:eastAsiaTheme="minorEastAsia" w:hAnsi="Bookman Old Style"/>
              </w:rPr>
            </w:pPr>
          </w:p>
          <w:p w14:paraId="33ECA490" w14:textId="77777777" w:rsidR="00E8143D" w:rsidRPr="00E8143D" w:rsidRDefault="00E8143D" w:rsidP="00E8143D">
            <w:pPr>
              <w:jc w:val="both"/>
              <w:rPr>
                <w:rFonts w:ascii="Bookman Old Style" w:eastAsiaTheme="minorEastAsia" w:hAnsi="Bookman Old Style"/>
              </w:rPr>
            </w:pPr>
            <w:r>
              <w:rPr>
                <w:rFonts w:ascii="Bookman Old Style" w:eastAsiaTheme="minorEastAsia" w:hAnsi="Bookman Old Style"/>
              </w:rPr>
              <w:t xml:space="preserve">Also, an 8% indefinite growth rate seems quite high, so the dividend growth model might be overestimating the cost of equity. </w:t>
            </w:r>
          </w:p>
          <w:p w14:paraId="03CC8FF6" w14:textId="77777777" w:rsidR="00E8143D" w:rsidRDefault="00E8143D" w:rsidP="001840EF">
            <w:pPr>
              <w:jc w:val="both"/>
              <w:rPr>
                <w:rFonts w:ascii="Bookman Old Style" w:eastAsiaTheme="minorEastAsia" w:hAnsi="Bookman Old Style"/>
              </w:rPr>
            </w:pPr>
          </w:p>
        </w:tc>
      </w:tr>
    </w:tbl>
    <w:p w14:paraId="2F789337" w14:textId="77777777" w:rsidR="00E8143D" w:rsidRDefault="00E8143D" w:rsidP="001840EF">
      <w:pPr>
        <w:spacing w:after="0" w:line="240" w:lineRule="auto"/>
        <w:jc w:val="both"/>
        <w:rPr>
          <w:rFonts w:ascii="Bookman Old Style" w:eastAsiaTheme="minorEastAsia" w:hAnsi="Bookman Old Style"/>
        </w:rPr>
      </w:pPr>
    </w:p>
    <w:p w14:paraId="5A329C51" w14:textId="77777777" w:rsidR="00E8143D" w:rsidRDefault="00E8143D" w:rsidP="001840EF">
      <w:pPr>
        <w:spacing w:after="0" w:line="240" w:lineRule="auto"/>
        <w:jc w:val="both"/>
        <w:rPr>
          <w:rFonts w:ascii="Bookman Old Style" w:eastAsiaTheme="minorEastAsia" w:hAnsi="Bookman Old Style"/>
        </w:rPr>
      </w:pPr>
    </w:p>
    <w:p w14:paraId="62A3AD4F" w14:textId="04C194E2" w:rsidR="00E8143D" w:rsidRDefault="00E8143D" w:rsidP="00E8143D">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COSTS OF DEBT &amp; PREFERRED STOCK</w:t>
      </w:r>
    </w:p>
    <w:p w14:paraId="1179494B" w14:textId="77777777" w:rsidR="00E8143D" w:rsidRDefault="00E8143D" w:rsidP="00E8143D">
      <w:pPr>
        <w:spacing w:after="0" w:line="240" w:lineRule="auto"/>
        <w:jc w:val="center"/>
        <w:rPr>
          <w:rFonts w:ascii="Bookman Old Style" w:eastAsiaTheme="minorEastAsia" w:hAnsi="Bookman Old Style"/>
          <w:b/>
          <w:u w:val="single"/>
        </w:rPr>
      </w:pPr>
    </w:p>
    <w:p w14:paraId="74FD75A5" w14:textId="28E2EEAE" w:rsidR="00E8143D" w:rsidRDefault="00E8143D" w:rsidP="00E8143D">
      <w:pPr>
        <w:spacing w:after="0" w:line="240" w:lineRule="auto"/>
        <w:jc w:val="both"/>
        <w:rPr>
          <w:rFonts w:ascii="Bookman Old Style" w:eastAsiaTheme="minorEastAsia" w:hAnsi="Bookman Old Style"/>
        </w:rPr>
      </w:pPr>
      <w:r>
        <w:rPr>
          <w:rFonts w:ascii="Bookman Old Style" w:eastAsiaTheme="minorEastAsia" w:hAnsi="Bookman Old Style"/>
        </w:rPr>
        <w:t>In addition to equity, firms use debt and preferred stock to finance their investments. Determining the costs of capital associated with these sources of financing is a lot easier than determining the cost of equity.</w:t>
      </w:r>
    </w:p>
    <w:p w14:paraId="24EB424F" w14:textId="77777777" w:rsidR="00E8143D" w:rsidRDefault="00E8143D" w:rsidP="00E8143D">
      <w:pPr>
        <w:spacing w:after="0" w:line="240" w:lineRule="auto"/>
        <w:jc w:val="both"/>
        <w:rPr>
          <w:rFonts w:ascii="Bookman Old Style" w:eastAsiaTheme="minorEastAsia" w:hAnsi="Bookman Old Style"/>
        </w:rPr>
      </w:pPr>
    </w:p>
    <w:p w14:paraId="705B93E8" w14:textId="044628DD" w:rsidR="00E8143D" w:rsidRDefault="00E8143D" w:rsidP="00E8143D">
      <w:pPr>
        <w:spacing w:after="0" w:line="240" w:lineRule="auto"/>
        <w:jc w:val="both"/>
        <w:rPr>
          <w:rFonts w:ascii="Bookman Old Style" w:eastAsiaTheme="minorEastAsia" w:hAnsi="Bookman Old Style"/>
        </w:rPr>
      </w:pPr>
      <w:r>
        <w:rPr>
          <w:rFonts w:ascii="Bookman Old Style" w:eastAsiaTheme="minorEastAsia" w:hAnsi="Bookman Old Style"/>
          <w:b/>
          <w:u w:val="single"/>
        </w:rPr>
        <w:t>THE COST OF DEBT</w:t>
      </w:r>
    </w:p>
    <w:p w14:paraId="129A6A40" w14:textId="208D683A" w:rsidR="00E8143D" w:rsidRDefault="00E8143D" w:rsidP="00E8143D">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cost of debt</w:t>
      </w:r>
      <w:r>
        <w:rPr>
          <w:rFonts w:ascii="Bookman Old Style" w:eastAsiaTheme="minorEastAsia" w:hAnsi="Bookman Old Style"/>
        </w:rPr>
        <w:t xml:space="preserve"> is the return that the firm’s long-term creditors demand on new borrowing. We could determine the beta for the firm’s debt and then use the SML to estimate the required return on debt the same way we estimate the required return on equity – but this isn’t really necessary.</w:t>
      </w:r>
    </w:p>
    <w:p w14:paraId="6BE44C2A" w14:textId="77777777" w:rsidR="00E8143D" w:rsidRDefault="00E8143D" w:rsidP="00E8143D">
      <w:pPr>
        <w:spacing w:after="0" w:line="240" w:lineRule="auto"/>
        <w:jc w:val="both"/>
        <w:rPr>
          <w:rFonts w:ascii="Bookman Old Style" w:eastAsiaTheme="minorEastAsia" w:hAnsi="Bookman Old Style"/>
        </w:rPr>
      </w:pPr>
    </w:p>
    <w:tbl>
      <w:tblPr>
        <w:tblStyle w:val="TableGrid"/>
        <w:tblW w:w="0" w:type="auto"/>
        <w:jc w:val="center"/>
        <w:tblInd w:w="1638" w:type="dxa"/>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7938"/>
      </w:tblGrid>
      <w:tr w:rsidR="00E8143D" w14:paraId="6B3C075B" w14:textId="77777777" w:rsidTr="00E8143D">
        <w:trPr>
          <w:jc w:val="center"/>
        </w:trPr>
        <w:tc>
          <w:tcPr>
            <w:tcW w:w="7938" w:type="dxa"/>
          </w:tcPr>
          <w:p w14:paraId="78F31D2D" w14:textId="77777777" w:rsidR="00E8143D" w:rsidRDefault="00E8143D" w:rsidP="00E8143D">
            <w:pPr>
              <w:jc w:val="both"/>
              <w:rPr>
                <w:rFonts w:ascii="Bookman Old Style" w:eastAsiaTheme="minorEastAsia" w:hAnsi="Bookman Old Style"/>
              </w:rPr>
            </w:pPr>
          </w:p>
          <w:p w14:paraId="21B32F93" w14:textId="1DE02F40" w:rsidR="00E8143D" w:rsidRPr="00E8143D" w:rsidRDefault="00E8143D" w:rsidP="00E8143D">
            <w:pPr>
              <w:jc w:val="both"/>
              <w:rPr>
                <w:rFonts w:ascii="Bookman Old Style" w:eastAsiaTheme="minorEastAsia" w:hAnsi="Bookman Old Style"/>
              </w:rPr>
            </w:pPr>
            <w:r>
              <w:rPr>
                <w:rFonts w:ascii="Bookman Old Style" w:eastAsiaTheme="minorEastAsia" w:hAnsi="Bookman Old Style"/>
                <w:b/>
              </w:rPr>
              <w:t>The Cost of Debt</w:t>
            </w:r>
            <w:r>
              <w:rPr>
                <w:rFonts w:ascii="Bookman Old Style" w:eastAsiaTheme="minorEastAsia" w:hAnsi="Bookman Old Style"/>
              </w:rPr>
              <w:t xml:space="preserve"> – The return that lenders require on the firm’s debt</w:t>
            </w:r>
          </w:p>
          <w:p w14:paraId="79848054" w14:textId="77777777" w:rsidR="00E8143D" w:rsidRDefault="00E8143D" w:rsidP="00E8143D">
            <w:pPr>
              <w:jc w:val="both"/>
              <w:rPr>
                <w:rFonts w:ascii="Bookman Old Style" w:eastAsiaTheme="minorEastAsia" w:hAnsi="Bookman Old Style"/>
              </w:rPr>
            </w:pPr>
          </w:p>
        </w:tc>
      </w:tr>
    </w:tbl>
    <w:p w14:paraId="304AD1F5" w14:textId="77777777" w:rsidR="00E8143D" w:rsidRDefault="00E8143D" w:rsidP="00E8143D">
      <w:pPr>
        <w:spacing w:after="0" w:line="240" w:lineRule="auto"/>
        <w:jc w:val="both"/>
        <w:rPr>
          <w:rFonts w:ascii="Bookman Old Style" w:eastAsiaTheme="minorEastAsia" w:hAnsi="Bookman Old Style"/>
        </w:rPr>
      </w:pPr>
    </w:p>
    <w:p w14:paraId="3C816645" w14:textId="0AF7ECD4" w:rsidR="00E8143D" w:rsidRDefault="00E8143D" w:rsidP="00E8143D">
      <w:pPr>
        <w:spacing w:after="0" w:line="240" w:lineRule="auto"/>
        <w:jc w:val="both"/>
        <w:rPr>
          <w:rFonts w:ascii="Bookman Old Style" w:eastAsiaTheme="minorEastAsia" w:hAnsi="Bookman Old Style"/>
        </w:rPr>
      </w:pPr>
      <w:r>
        <w:rPr>
          <w:rFonts w:ascii="Bookman Old Style" w:eastAsiaTheme="minorEastAsia" w:hAnsi="Bookman Old Style"/>
        </w:rPr>
        <w:t>Unlike a firm’s cost of equity, their cost of debt can usually be observed either directly or indirectly because the cost of debt is simply the interest rate the firm has to pay on new borrowing – we can observe interest rates in the financial market easily.</w:t>
      </w:r>
    </w:p>
    <w:p w14:paraId="3D4E96B2" w14:textId="77777777" w:rsidR="00E8143D" w:rsidRDefault="00E8143D" w:rsidP="00E8143D">
      <w:pPr>
        <w:spacing w:after="0" w:line="240" w:lineRule="auto"/>
        <w:jc w:val="both"/>
        <w:rPr>
          <w:rFonts w:ascii="Bookman Old Style" w:eastAsiaTheme="minorEastAsia" w:hAnsi="Bookman Old Style"/>
        </w:rPr>
      </w:pPr>
    </w:p>
    <w:p w14:paraId="64454366" w14:textId="771C2389" w:rsidR="00E8143D" w:rsidRDefault="00E8143D" w:rsidP="00E8143D">
      <w:pPr>
        <w:spacing w:after="0" w:line="240" w:lineRule="auto"/>
        <w:jc w:val="both"/>
        <w:rPr>
          <w:rFonts w:ascii="Bookman Old Style" w:eastAsiaTheme="minorEastAsia" w:hAnsi="Bookman Old Style"/>
        </w:rPr>
      </w:pPr>
      <w:r>
        <w:rPr>
          <w:rFonts w:ascii="Bookman Old Style" w:eastAsiaTheme="minorEastAsia" w:hAnsi="Bookman Old Style"/>
        </w:rPr>
        <w:t>For example, if the firm already has bonds outstanding, then the yield to maturity on those bonds is the market-required rate on the firm’s debt.</w:t>
      </w:r>
    </w:p>
    <w:p w14:paraId="1ABA4600" w14:textId="77777777" w:rsidR="00E8143D" w:rsidRDefault="00E8143D" w:rsidP="00E8143D">
      <w:pPr>
        <w:spacing w:after="0" w:line="240" w:lineRule="auto"/>
        <w:jc w:val="both"/>
        <w:rPr>
          <w:rFonts w:ascii="Bookman Old Style" w:eastAsiaTheme="minorEastAsia" w:hAnsi="Bookman Old Style"/>
        </w:rPr>
      </w:pPr>
    </w:p>
    <w:p w14:paraId="0D8C2370" w14:textId="08FB86FF" w:rsidR="00E8143D" w:rsidRDefault="00E8143D" w:rsidP="00E8143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So, there’s no need to actually estimate a beta for the debt since we can directly observe the rate we want to know.</w:t>
      </w:r>
    </w:p>
    <w:p w14:paraId="4C93701D" w14:textId="77777777" w:rsidR="00902983" w:rsidRDefault="00902983" w:rsidP="00E8143D">
      <w:pPr>
        <w:spacing w:after="0" w:line="240" w:lineRule="auto"/>
        <w:jc w:val="both"/>
        <w:rPr>
          <w:rFonts w:ascii="Bookman Old Style" w:eastAsiaTheme="minorEastAsia" w:hAnsi="Bookman Old Style"/>
        </w:rPr>
      </w:pPr>
    </w:p>
    <w:p w14:paraId="4F40F149" w14:textId="17F00C79" w:rsidR="00902983" w:rsidRDefault="00902983" w:rsidP="00E8143D">
      <w:pPr>
        <w:spacing w:after="0" w:line="240" w:lineRule="auto"/>
        <w:jc w:val="both"/>
        <w:rPr>
          <w:rFonts w:ascii="Bookman Old Style" w:eastAsiaTheme="minorEastAsia" w:hAnsi="Bookman Old Style"/>
        </w:rPr>
      </w:pPr>
      <w:r>
        <w:rPr>
          <w:rFonts w:ascii="Bookman Old Style" w:eastAsiaTheme="minorEastAsia" w:hAnsi="Bookman Old Style"/>
        </w:rPr>
        <w:t xml:space="preserve">BUT – be careful, the coupon rate on the firm’s outstanding debt is irrelevant here – all that tells us is what the firm’s cost of debt was back when the bonds were issued, not what the cost of debt is today. This is why we have to look at the </w:t>
      </w:r>
      <w:r>
        <w:rPr>
          <w:rFonts w:ascii="Bookman Old Style" w:eastAsiaTheme="minorEastAsia" w:hAnsi="Bookman Old Style"/>
          <w:u w:val="single"/>
        </w:rPr>
        <w:t>yield</w:t>
      </w:r>
      <w:r>
        <w:rPr>
          <w:rFonts w:ascii="Bookman Old Style" w:eastAsiaTheme="minorEastAsia" w:hAnsi="Bookman Old Style"/>
        </w:rPr>
        <w:t xml:space="preserve"> on the debt in today’s marketplace.</w:t>
      </w:r>
    </w:p>
    <w:p w14:paraId="65AC240E" w14:textId="77777777" w:rsidR="00902983" w:rsidRDefault="00902983" w:rsidP="00E8143D">
      <w:pPr>
        <w:spacing w:after="0" w:line="240" w:lineRule="auto"/>
        <w:jc w:val="both"/>
        <w:rPr>
          <w:rFonts w:ascii="Bookman Old Style" w:eastAsiaTheme="minorEastAsia" w:hAnsi="Bookman Old Style"/>
        </w:rPr>
      </w:pPr>
    </w:p>
    <w:p w14:paraId="6F1B3A32" w14:textId="0DCA032D" w:rsidR="00902983" w:rsidRDefault="00902983" w:rsidP="00E8143D">
      <w:pPr>
        <w:spacing w:after="0" w:line="240" w:lineRule="auto"/>
        <w:jc w:val="both"/>
        <w:rPr>
          <w:rFonts w:ascii="Bookman Old Style" w:eastAsiaTheme="minorEastAsia" w:hAnsi="Bookman Old Style"/>
        </w:rPr>
      </w:pPr>
      <w:r>
        <w:rPr>
          <w:rFonts w:ascii="Bookman Old Style" w:eastAsiaTheme="minorEastAsia" w:hAnsi="Bookman Old Style"/>
        </w:rPr>
        <w:t xml:space="preserve">We’ll use </w:t>
      </w:r>
      <m:oMath>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D</m:t>
            </m:r>
          </m:sub>
        </m:sSub>
      </m:oMath>
      <w:r>
        <w:rPr>
          <w:rFonts w:ascii="Bookman Old Style" w:eastAsiaTheme="minorEastAsia" w:hAnsi="Bookman Old Style"/>
        </w:rPr>
        <w:t xml:space="preserve"> for the cost of debt</w:t>
      </w:r>
    </w:p>
    <w:p w14:paraId="19E89AF5" w14:textId="77777777" w:rsidR="00902983" w:rsidRDefault="00902983" w:rsidP="00E8143D">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02983" w14:paraId="6F358761" w14:textId="77777777" w:rsidTr="00902983">
        <w:tc>
          <w:tcPr>
            <w:tcW w:w="9576" w:type="dxa"/>
          </w:tcPr>
          <w:p w14:paraId="739775F1" w14:textId="77777777" w:rsidR="00902983" w:rsidRDefault="00902983" w:rsidP="00E8143D">
            <w:pPr>
              <w:jc w:val="both"/>
              <w:rPr>
                <w:rFonts w:ascii="Bookman Old Style" w:eastAsiaTheme="minorEastAsia" w:hAnsi="Bookman Old Style"/>
              </w:rPr>
            </w:pPr>
          </w:p>
          <w:p w14:paraId="1494995C" w14:textId="77777777" w:rsidR="00902983" w:rsidRDefault="00902983" w:rsidP="00902983">
            <w:pPr>
              <w:jc w:val="both"/>
              <w:rPr>
                <w:rFonts w:ascii="Bookman Old Style" w:eastAsiaTheme="minorEastAsia" w:hAnsi="Bookman Old Style"/>
                <w:i/>
              </w:rPr>
            </w:pPr>
            <w:r>
              <w:rPr>
                <w:rFonts w:ascii="Bookman Old Style" w:eastAsiaTheme="minorEastAsia" w:hAnsi="Bookman Old Style"/>
                <w:i/>
                <w:u w:val="single"/>
              </w:rPr>
              <w:t>Ex.:</w:t>
            </w:r>
            <w:r>
              <w:rPr>
                <w:rFonts w:ascii="Bookman Old Style" w:eastAsiaTheme="minorEastAsia" w:hAnsi="Bookman Old Style"/>
                <w:i/>
              </w:rPr>
              <w:t xml:space="preserve"> The Cost of Debt</w:t>
            </w:r>
          </w:p>
          <w:p w14:paraId="23CC2D2C" w14:textId="77777777" w:rsidR="00902983" w:rsidRDefault="00902983" w:rsidP="00902983">
            <w:pPr>
              <w:jc w:val="both"/>
              <w:rPr>
                <w:rFonts w:ascii="Bookman Old Style" w:eastAsiaTheme="minorEastAsia" w:hAnsi="Bookman Old Style"/>
              </w:rPr>
            </w:pPr>
            <w:proofErr w:type="spellStart"/>
            <w:r>
              <w:rPr>
                <w:rFonts w:ascii="Bookman Old Style" w:eastAsiaTheme="minorEastAsia" w:hAnsi="Bookman Old Style"/>
              </w:rPr>
              <w:t>Encana</w:t>
            </w:r>
            <w:proofErr w:type="spellEnd"/>
            <w:r>
              <w:rPr>
                <w:rFonts w:ascii="Bookman Old Style" w:eastAsiaTheme="minorEastAsia" w:hAnsi="Bookman Old Style"/>
              </w:rPr>
              <w:t xml:space="preserve"> Corporation has a bond outstanding with about 6 years to maturity (12 semi-annual coupons) and a coupon rate of 5.80%. The bond was currently selling for $112.22.</w:t>
            </w:r>
          </w:p>
          <w:p w14:paraId="6AEDC726" w14:textId="77777777" w:rsidR="00902983" w:rsidRDefault="00902983" w:rsidP="00902983">
            <w:pPr>
              <w:jc w:val="both"/>
              <w:rPr>
                <w:rFonts w:ascii="Bookman Old Style" w:eastAsiaTheme="minorEastAsia" w:hAnsi="Bookman Old Style"/>
              </w:rPr>
            </w:pPr>
          </w:p>
          <w:p w14:paraId="3EFDF8A9" w14:textId="77777777" w:rsidR="00902983" w:rsidRDefault="00902983" w:rsidP="00902983">
            <w:pPr>
              <w:jc w:val="both"/>
              <w:rPr>
                <w:rFonts w:ascii="Bookman Old Style" w:eastAsiaTheme="minorEastAsia" w:hAnsi="Bookman Old Style"/>
              </w:rPr>
            </w:pPr>
            <w:r>
              <w:rPr>
                <w:rFonts w:ascii="Bookman Old Style" w:eastAsiaTheme="minorEastAsia" w:hAnsi="Bookman Old Style"/>
              </w:rPr>
              <w:t xml:space="preserve">What’s </w:t>
            </w:r>
            <w:proofErr w:type="spellStart"/>
            <w:r>
              <w:rPr>
                <w:rFonts w:ascii="Bookman Old Style" w:eastAsiaTheme="minorEastAsia" w:hAnsi="Bookman Old Style"/>
              </w:rPr>
              <w:t>Encana’s</w:t>
            </w:r>
            <w:proofErr w:type="spellEnd"/>
            <w:r>
              <w:rPr>
                <w:rFonts w:ascii="Bookman Old Style" w:eastAsiaTheme="minorEastAsia" w:hAnsi="Bookman Old Style"/>
              </w:rPr>
              <w:t xml:space="preserve"> cost of debt?</w:t>
            </w:r>
          </w:p>
          <w:p w14:paraId="30394EFA" w14:textId="77777777" w:rsidR="00902983" w:rsidRDefault="00902983" w:rsidP="00902983">
            <w:pPr>
              <w:jc w:val="both"/>
              <w:rPr>
                <w:rFonts w:ascii="Bookman Old Style" w:eastAsiaTheme="minorEastAsia" w:hAnsi="Bookman Old Style"/>
              </w:rPr>
            </w:pPr>
          </w:p>
          <w:p w14:paraId="21978FA9" w14:textId="77777777" w:rsidR="00902983" w:rsidRDefault="00902983" w:rsidP="00902983">
            <w:pPr>
              <w:jc w:val="both"/>
              <w:rPr>
                <w:rFonts w:ascii="Bookman Old Style" w:eastAsiaTheme="minorEastAsia" w:hAnsi="Bookman Old Style"/>
              </w:rPr>
            </w:pPr>
            <w:r>
              <w:rPr>
                <w:rFonts w:ascii="Bookman Old Style" w:eastAsiaTheme="minorEastAsia" w:hAnsi="Bookman Old Style"/>
              </w:rPr>
              <w:t xml:space="preserve">To answer this, we need to solve the bond pricing formula for </w:t>
            </w:r>
            <w:r>
              <w:rPr>
                <w:rFonts w:ascii="Bookman Old Style" w:eastAsiaTheme="minorEastAsia" w:hAnsi="Bookman Old Style"/>
                <w:i/>
              </w:rPr>
              <w:t>R</w:t>
            </w:r>
            <w:r>
              <w:rPr>
                <w:rFonts w:ascii="Bookman Old Style" w:eastAsiaTheme="minorEastAsia" w:hAnsi="Bookman Old Style"/>
              </w:rPr>
              <w:t>, the yield to maturity:</w:t>
            </w:r>
          </w:p>
          <w:p w14:paraId="4E6EFAC5" w14:textId="77777777" w:rsidR="00902983" w:rsidRDefault="00902983" w:rsidP="00902983">
            <w:pPr>
              <w:jc w:val="both"/>
              <w:rPr>
                <w:rFonts w:ascii="Bookman Old Style" w:eastAsiaTheme="minorEastAsia" w:hAnsi="Bookman Old Style"/>
              </w:rPr>
            </w:pPr>
          </w:p>
          <w:p w14:paraId="12973022" w14:textId="77777777" w:rsidR="00902983" w:rsidRPr="00902983" w:rsidRDefault="00902983" w:rsidP="00902983">
            <w:pPr>
              <w:jc w:val="both"/>
              <w:rPr>
                <w:rFonts w:ascii="Bookman Old Style" w:eastAsiaTheme="minorEastAsia" w:hAnsi="Bookman Old Style"/>
              </w:rPr>
            </w:pPr>
            <m:oMathPara>
              <m:oMath>
                <m:r>
                  <w:rPr>
                    <w:rFonts w:ascii="Cambria Math" w:eastAsiaTheme="minorEastAsia" w:hAnsi="Cambria Math"/>
                  </w:rPr>
                  <m:t>$112.22=</m:t>
                </m:r>
                <m:nary>
                  <m:naryPr>
                    <m:chr m:val="∑"/>
                    <m:limLoc m:val="undOvr"/>
                    <m:ctrlPr>
                      <w:rPr>
                        <w:rFonts w:ascii="Cambria Math" w:eastAsiaTheme="minorEastAsia" w:hAnsi="Cambria Math"/>
                        <w:i/>
                      </w:rPr>
                    </m:ctrlPr>
                  </m:naryPr>
                  <m:sub>
                    <m:r>
                      <w:rPr>
                        <w:rFonts w:ascii="Cambria Math" w:eastAsiaTheme="minorEastAsia" w:hAnsi="Cambria Math"/>
                      </w:rPr>
                      <m:t>t=1</m:t>
                    </m:r>
                  </m:sub>
                  <m:sup>
                    <m:r>
                      <w:rPr>
                        <w:rFonts w:ascii="Cambria Math" w:eastAsiaTheme="minorEastAsia" w:hAnsi="Cambria Math"/>
                      </w:rPr>
                      <m:t>12</m:t>
                    </m:r>
                  </m:sup>
                  <m:e>
                    <m:f>
                      <m:fPr>
                        <m:ctrlPr>
                          <w:rPr>
                            <w:rFonts w:ascii="Cambria Math" w:eastAsiaTheme="minorEastAsia" w:hAnsi="Cambria Math"/>
                            <w:i/>
                          </w:rPr>
                        </m:ctrlPr>
                      </m:fPr>
                      <m:num>
                        <m:r>
                          <w:rPr>
                            <w:rFonts w:ascii="Cambria Math" w:eastAsiaTheme="minorEastAsia" w:hAnsi="Cambria Math"/>
                          </w:rPr>
                          <m:t>$2.9</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m:t>
                                    </m:r>
                                  </m:den>
                                </m:f>
                              </m:e>
                            </m:d>
                          </m:e>
                          <m:sup>
                            <m:r>
                              <w:rPr>
                                <w:rFonts w:ascii="Cambria Math" w:eastAsiaTheme="minorEastAsia" w:hAnsi="Cambria Math"/>
                              </w:rPr>
                              <m:t>t</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m:t>
                                    </m:r>
                                  </m:den>
                                </m:f>
                              </m:e>
                            </m:d>
                          </m:e>
                          <m:sup>
                            <m:r>
                              <w:rPr>
                                <w:rFonts w:ascii="Cambria Math" w:eastAsiaTheme="minorEastAsia" w:hAnsi="Cambria Math"/>
                              </w:rPr>
                              <m:t>12</m:t>
                            </m:r>
                          </m:sup>
                        </m:sSup>
                      </m:den>
                    </m:f>
                  </m:e>
                </m:nary>
              </m:oMath>
            </m:oMathPara>
          </w:p>
          <w:p w14:paraId="4D1E56A7" w14:textId="77777777" w:rsidR="00902983" w:rsidRDefault="00902983" w:rsidP="00902983">
            <w:pPr>
              <w:jc w:val="both"/>
              <w:rPr>
                <w:rFonts w:ascii="Bookman Old Style" w:eastAsiaTheme="minorEastAsia" w:hAnsi="Bookman Old Style"/>
              </w:rPr>
            </w:pPr>
          </w:p>
          <w:p w14:paraId="1FEF1764" w14:textId="77777777" w:rsidR="00902983" w:rsidRPr="00902983" w:rsidRDefault="00902983" w:rsidP="00902983">
            <w:pPr>
              <w:jc w:val="both"/>
              <w:rPr>
                <w:rFonts w:ascii="Bookman Old Style" w:eastAsiaTheme="minorEastAsia" w:hAnsi="Bookman Old Style"/>
              </w:rPr>
            </w:pPr>
            <w:r>
              <w:rPr>
                <w:rFonts w:ascii="Bookman Old Style" w:eastAsiaTheme="minorEastAsia" w:hAnsi="Bookman Old Style"/>
              </w:rPr>
              <w:t xml:space="preserve">Using a financial calculator, we find that R is 3.52%. </w:t>
            </w:r>
            <w:proofErr w:type="spellStart"/>
            <w:r>
              <w:rPr>
                <w:rFonts w:ascii="Bookman Old Style" w:eastAsiaTheme="minorEastAsia" w:hAnsi="Bookman Old Style"/>
              </w:rPr>
              <w:t>Encana’s</w:t>
            </w:r>
            <w:proofErr w:type="spellEnd"/>
            <w:r>
              <w:rPr>
                <w:rFonts w:ascii="Bookman Old Style" w:eastAsiaTheme="minorEastAsia" w:hAnsi="Bookman Old Style"/>
              </w:rPr>
              <w:t xml:space="preserve"> cost of debt is thus 3.52%</w:t>
            </w:r>
          </w:p>
          <w:p w14:paraId="52179ED7" w14:textId="77777777" w:rsidR="00902983" w:rsidRDefault="00902983" w:rsidP="00E8143D">
            <w:pPr>
              <w:jc w:val="both"/>
              <w:rPr>
                <w:rFonts w:ascii="Bookman Old Style" w:eastAsiaTheme="minorEastAsia" w:hAnsi="Bookman Old Style"/>
              </w:rPr>
            </w:pPr>
          </w:p>
        </w:tc>
      </w:tr>
    </w:tbl>
    <w:p w14:paraId="4713242C" w14:textId="77777777" w:rsidR="00902983" w:rsidRDefault="00902983" w:rsidP="00E8143D">
      <w:pPr>
        <w:spacing w:after="0" w:line="240" w:lineRule="auto"/>
        <w:jc w:val="both"/>
        <w:rPr>
          <w:rFonts w:ascii="Bookman Old Style" w:eastAsiaTheme="minorEastAsia" w:hAnsi="Bookman Old Style"/>
        </w:rPr>
      </w:pPr>
    </w:p>
    <w:p w14:paraId="32611F2F" w14:textId="77777777" w:rsidR="00902983" w:rsidRDefault="00902983" w:rsidP="00E8143D">
      <w:pPr>
        <w:spacing w:after="0" w:line="240" w:lineRule="auto"/>
        <w:jc w:val="both"/>
        <w:rPr>
          <w:rFonts w:ascii="Bookman Old Style" w:eastAsiaTheme="minorEastAsia" w:hAnsi="Bookman Old Style"/>
        </w:rPr>
      </w:pPr>
    </w:p>
    <w:p w14:paraId="52F62F55" w14:textId="336298C7" w:rsidR="00902983" w:rsidRDefault="00902983" w:rsidP="00E8143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THE COST OF PREFERRED STOCK</w:t>
      </w:r>
    </w:p>
    <w:p w14:paraId="4982A0E0" w14:textId="24BDAC0D" w:rsidR="00902983" w:rsidRDefault="00902983" w:rsidP="00E8143D">
      <w:pPr>
        <w:spacing w:after="0" w:line="240" w:lineRule="auto"/>
        <w:jc w:val="both"/>
        <w:rPr>
          <w:rFonts w:ascii="Bookman Old Style" w:eastAsiaTheme="minorEastAsia" w:hAnsi="Bookman Old Style"/>
        </w:rPr>
      </w:pPr>
      <w:r>
        <w:rPr>
          <w:rFonts w:ascii="Bookman Old Style" w:eastAsiaTheme="minorEastAsia" w:hAnsi="Bookman Old Style"/>
        </w:rPr>
        <w:t xml:space="preserve">Preferred stock has a fixed dividend paid every period forever, so a share of preferred stock is essentially </w:t>
      </w:r>
      <w:proofErr w:type="gramStart"/>
      <w:r>
        <w:rPr>
          <w:rFonts w:ascii="Bookman Old Style" w:eastAsiaTheme="minorEastAsia" w:hAnsi="Bookman Old Style"/>
        </w:rPr>
        <w:t>a perpetuity</w:t>
      </w:r>
      <w:proofErr w:type="gramEnd"/>
      <w:r>
        <w:rPr>
          <w:rFonts w:ascii="Bookman Old Style" w:eastAsiaTheme="minorEastAsia" w:hAnsi="Bookman Old Style"/>
        </w:rPr>
        <w:t xml:space="preserve">. The cost of preferred stock,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oMath>
      <w:r>
        <w:rPr>
          <w:rFonts w:ascii="Bookman Old Style" w:eastAsiaTheme="minorEastAsia" w:hAnsi="Bookman Old Style"/>
        </w:rPr>
        <w:t>, is thus:</w:t>
      </w:r>
    </w:p>
    <w:p w14:paraId="79EA1893" w14:textId="77777777" w:rsidR="00902983" w:rsidRDefault="00902983" w:rsidP="00E8143D">
      <w:pPr>
        <w:spacing w:after="0" w:line="240" w:lineRule="auto"/>
        <w:jc w:val="both"/>
        <w:rPr>
          <w:rFonts w:ascii="Bookman Old Style" w:eastAsiaTheme="minorEastAsia" w:hAnsi="Bookman Old Style"/>
        </w:rPr>
      </w:pPr>
    </w:p>
    <w:p w14:paraId="1B7E30E3" w14:textId="64751674" w:rsidR="00902983" w:rsidRPr="00902983" w:rsidRDefault="00E741F7" w:rsidP="00E8143D">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oMath>
      </m:oMathPara>
    </w:p>
    <w:p w14:paraId="313DF444" w14:textId="77777777" w:rsidR="00902983" w:rsidRDefault="00902983" w:rsidP="00E8143D">
      <w:pPr>
        <w:spacing w:after="0" w:line="240" w:lineRule="auto"/>
        <w:jc w:val="both"/>
        <w:rPr>
          <w:rFonts w:ascii="Bookman Old Style" w:eastAsiaTheme="minorEastAsia" w:hAnsi="Bookman Old Style"/>
        </w:rPr>
      </w:pPr>
    </w:p>
    <w:p w14:paraId="30D099DD" w14:textId="47550D30" w:rsidR="00902983" w:rsidRDefault="00902983" w:rsidP="00E8143D">
      <w:pPr>
        <w:spacing w:after="0" w:line="240" w:lineRule="auto"/>
        <w:jc w:val="both"/>
        <w:rPr>
          <w:rFonts w:ascii="Bookman Old Style" w:eastAsiaTheme="minorEastAsia" w:hAnsi="Bookman Old Style"/>
        </w:rPr>
      </w:pPr>
      <w:r>
        <w:rPr>
          <w:rFonts w:ascii="Bookman Old Style" w:eastAsiaTheme="minorEastAsia" w:hAnsi="Bookman Old Style"/>
        </w:rPr>
        <w:t xml:space="preserve">D =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fixed dividend</w:t>
      </w:r>
    </w:p>
    <w:p w14:paraId="4DAB7FDD" w14:textId="3DDCD931" w:rsidR="00902983" w:rsidRDefault="00E741F7" w:rsidP="00E8143D">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oMath>
      <w:r w:rsidR="00902983">
        <w:rPr>
          <w:rFonts w:ascii="Bookman Old Style" w:eastAsiaTheme="minorEastAsia" w:hAnsi="Bookman Old Style"/>
        </w:rPr>
        <w:t>= The current price per share of the preferred stock</w:t>
      </w:r>
    </w:p>
    <w:p w14:paraId="2DF57D83" w14:textId="77777777" w:rsidR="00902983" w:rsidRDefault="00902983" w:rsidP="00E8143D">
      <w:pPr>
        <w:spacing w:after="0" w:line="240" w:lineRule="auto"/>
        <w:jc w:val="both"/>
        <w:rPr>
          <w:rFonts w:ascii="Bookman Old Style" w:eastAsiaTheme="minorEastAsia" w:hAnsi="Bookman Old Style"/>
        </w:rPr>
      </w:pPr>
    </w:p>
    <w:p w14:paraId="5C84F508" w14:textId="58726B4B" w:rsidR="00902983" w:rsidRDefault="00902983" w:rsidP="00E8143D">
      <w:pPr>
        <w:spacing w:after="0" w:line="240" w:lineRule="auto"/>
        <w:jc w:val="both"/>
        <w:rPr>
          <w:rFonts w:ascii="Bookman Old Style" w:eastAsiaTheme="minorEastAsia" w:hAnsi="Bookman Old Style"/>
        </w:rPr>
      </w:pPr>
      <w:r>
        <w:rPr>
          <w:rFonts w:ascii="Bookman Old Style" w:eastAsiaTheme="minorEastAsia" w:hAnsi="Bookman Old Style"/>
        </w:rPr>
        <w:t>Notice that the cost of preferred stock is simply equal to the dividend yield on the preferred stock.</w:t>
      </w:r>
    </w:p>
    <w:p w14:paraId="4A23BF65" w14:textId="77777777" w:rsidR="00902983" w:rsidRDefault="00902983" w:rsidP="00E8143D">
      <w:pPr>
        <w:spacing w:after="0" w:line="240" w:lineRule="auto"/>
        <w:jc w:val="both"/>
        <w:rPr>
          <w:rFonts w:ascii="Bookman Old Style" w:eastAsiaTheme="minorEastAsia" w:hAnsi="Bookman Old Style"/>
        </w:rPr>
      </w:pPr>
    </w:p>
    <w:p w14:paraId="388B01C6" w14:textId="39FEB4C7" w:rsidR="00902983" w:rsidRDefault="00902983" w:rsidP="00E8143D">
      <w:pPr>
        <w:spacing w:after="0" w:line="240" w:lineRule="auto"/>
        <w:jc w:val="both"/>
        <w:rPr>
          <w:rFonts w:ascii="Bookman Old Style" w:eastAsiaTheme="minorEastAsia" w:hAnsi="Bookman Old Style"/>
        </w:rPr>
      </w:pPr>
      <w:r>
        <w:rPr>
          <w:rFonts w:ascii="Bookman Old Style" w:eastAsiaTheme="minorEastAsia" w:hAnsi="Bookman Old Style"/>
        </w:rPr>
        <w:t>Another way to do it as that preferred stock are rated pretty much the same way as bonds, so the cost of preferred stock can be estimated by observing the required returns on other, similarly rated share of preferred stock.</w:t>
      </w:r>
    </w:p>
    <w:p w14:paraId="1A8D4E3A" w14:textId="77777777" w:rsidR="00902983" w:rsidRDefault="00902983" w:rsidP="00E8143D">
      <w:pPr>
        <w:spacing w:after="0" w:line="240" w:lineRule="auto"/>
        <w:jc w:val="both"/>
        <w:rPr>
          <w:rFonts w:ascii="Bookman Old Style" w:eastAsiaTheme="minorEastAsia" w:hAnsi="Bookman Old Style"/>
        </w:rPr>
      </w:pPr>
    </w:p>
    <w:p w14:paraId="34925A88" w14:textId="77777777" w:rsidR="00902983" w:rsidRDefault="00902983" w:rsidP="00E8143D">
      <w:pPr>
        <w:spacing w:after="0" w:line="240" w:lineRule="auto"/>
        <w:jc w:val="both"/>
        <w:rPr>
          <w:rFonts w:ascii="Bookman Old Style" w:eastAsiaTheme="minorEastAsia" w:hAnsi="Bookman Old Style"/>
        </w:rPr>
      </w:pPr>
    </w:p>
    <w:p w14:paraId="6DA7F423" w14:textId="77777777" w:rsidR="00902983" w:rsidRDefault="00902983" w:rsidP="00E8143D">
      <w:pPr>
        <w:spacing w:after="0" w:line="240" w:lineRule="auto"/>
        <w:jc w:val="both"/>
        <w:rPr>
          <w:rFonts w:ascii="Bookman Old Style" w:eastAsiaTheme="minorEastAsia" w:hAnsi="Bookman Old Style"/>
        </w:rPr>
      </w:pPr>
    </w:p>
    <w:p w14:paraId="5F4DCFA9" w14:textId="77777777" w:rsidR="00902983" w:rsidRDefault="00902983" w:rsidP="00E8143D">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02983" w14:paraId="19BE0EE9" w14:textId="77777777" w:rsidTr="00902983">
        <w:tc>
          <w:tcPr>
            <w:tcW w:w="9576" w:type="dxa"/>
          </w:tcPr>
          <w:p w14:paraId="2B4EBD6A" w14:textId="77777777" w:rsidR="00902983" w:rsidRDefault="00902983" w:rsidP="00E8143D">
            <w:pPr>
              <w:jc w:val="both"/>
              <w:rPr>
                <w:rFonts w:ascii="Bookman Old Style" w:eastAsiaTheme="minorEastAsia" w:hAnsi="Bookman Old Style"/>
                <w:u w:val="single"/>
              </w:rPr>
            </w:pPr>
          </w:p>
          <w:p w14:paraId="06C54AE7" w14:textId="77777777" w:rsidR="00902983" w:rsidRDefault="00902983" w:rsidP="00902983">
            <w:pPr>
              <w:jc w:val="both"/>
              <w:rPr>
                <w:rFonts w:ascii="Bookman Old Style" w:eastAsiaTheme="minorEastAsia" w:hAnsi="Bookman Old Style"/>
                <w:i/>
              </w:rPr>
            </w:pPr>
            <w:r w:rsidRPr="00902983">
              <w:rPr>
                <w:rFonts w:ascii="Bookman Old Style" w:eastAsiaTheme="minorEastAsia" w:hAnsi="Bookman Old Style"/>
                <w:i/>
                <w:u w:val="single"/>
              </w:rPr>
              <w:t>Ex.:</w:t>
            </w:r>
            <w:r>
              <w:rPr>
                <w:rFonts w:ascii="Bookman Old Style" w:eastAsiaTheme="minorEastAsia" w:hAnsi="Bookman Old Style"/>
                <w:i/>
              </w:rPr>
              <w:t xml:space="preserve"> Cost of Preferred Stock</w:t>
            </w:r>
          </w:p>
          <w:p w14:paraId="59D726A8" w14:textId="77777777" w:rsidR="00902983" w:rsidRDefault="00902983" w:rsidP="00902983">
            <w:pPr>
              <w:jc w:val="both"/>
              <w:rPr>
                <w:rFonts w:ascii="Bookman Old Style" w:eastAsiaTheme="minorEastAsia" w:hAnsi="Bookman Old Style"/>
              </w:rPr>
            </w:pPr>
            <w:r>
              <w:rPr>
                <w:rFonts w:ascii="Bookman Old Style" w:eastAsiaTheme="minorEastAsia" w:hAnsi="Bookman Old Style"/>
              </w:rPr>
              <w:t>On May 9</w:t>
            </w:r>
            <w:r w:rsidRPr="00902983">
              <w:rPr>
                <w:rFonts w:ascii="Bookman Old Style" w:eastAsiaTheme="minorEastAsia" w:hAnsi="Bookman Old Style"/>
                <w:vertAlign w:val="superscript"/>
              </w:rPr>
              <w:t>th</w:t>
            </w:r>
            <w:r>
              <w:rPr>
                <w:rFonts w:ascii="Bookman Old Style" w:eastAsiaTheme="minorEastAsia" w:hAnsi="Bookman Old Style"/>
              </w:rPr>
              <w:t xml:space="preserve">, 2012, </w:t>
            </w:r>
            <w:proofErr w:type="spellStart"/>
            <w:r>
              <w:rPr>
                <w:rFonts w:ascii="Bookman Old Style" w:eastAsiaTheme="minorEastAsia" w:hAnsi="Bookman Old Style"/>
              </w:rPr>
              <w:t>Aimia</w:t>
            </w:r>
            <w:proofErr w:type="spellEnd"/>
            <w:r>
              <w:rPr>
                <w:rFonts w:ascii="Bookman Old Style" w:eastAsiaTheme="minorEastAsia" w:hAnsi="Bookman Old Style"/>
              </w:rPr>
              <w:t xml:space="preserve"> Inc.’s preferred stock traded on the TSX with a dividend of $1.63 annually and a price of $26.00. What’s </w:t>
            </w:r>
            <w:proofErr w:type="spellStart"/>
            <w:r>
              <w:rPr>
                <w:rFonts w:ascii="Bookman Old Style" w:eastAsiaTheme="minorEastAsia" w:hAnsi="Bookman Old Style"/>
              </w:rPr>
              <w:t>Aimia’s</w:t>
            </w:r>
            <w:proofErr w:type="spellEnd"/>
            <w:r>
              <w:rPr>
                <w:rFonts w:ascii="Bookman Old Style" w:eastAsiaTheme="minorEastAsia" w:hAnsi="Bookman Old Style"/>
              </w:rPr>
              <w:t xml:space="preserve"> cost of preferred stock?</w:t>
            </w:r>
          </w:p>
          <w:p w14:paraId="2DF2D15A" w14:textId="77777777" w:rsidR="00902983" w:rsidRDefault="00902983" w:rsidP="00902983">
            <w:pPr>
              <w:jc w:val="both"/>
              <w:rPr>
                <w:rFonts w:ascii="Bookman Old Style" w:eastAsiaTheme="minorEastAsia" w:hAnsi="Bookman Old Style"/>
              </w:rPr>
            </w:pPr>
          </w:p>
          <w:p w14:paraId="575626C3" w14:textId="77777777" w:rsidR="00902983" w:rsidRDefault="00902983" w:rsidP="00902983">
            <w:pPr>
              <w:jc w:val="both"/>
              <w:rPr>
                <w:rFonts w:ascii="Bookman Old Style" w:eastAsiaTheme="minorEastAsia" w:hAnsi="Bookman Old Style"/>
              </w:rPr>
            </w:pPr>
            <w:r>
              <w:rPr>
                <w:rFonts w:ascii="Bookman Old Style" w:eastAsiaTheme="minorEastAsia" w:hAnsi="Bookman Old Style"/>
              </w:rPr>
              <w:t>The cost of preferred stock is:</w:t>
            </w:r>
          </w:p>
          <w:p w14:paraId="1F19E21B" w14:textId="77777777" w:rsidR="00902983" w:rsidRDefault="00902983" w:rsidP="00902983">
            <w:pPr>
              <w:jc w:val="both"/>
              <w:rPr>
                <w:rFonts w:ascii="Bookman Old Style" w:eastAsiaTheme="minorEastAsia" w:hAnsi="Bookman Old Style"/>
              </w:rPr>
            </w:pPr>
          </w:p>
          <w:p w14:paraId="3F03E26D" w14:textId="77777777" w:rsidR="00902983" w:rsidRPr="00902983" w:rsidRDefault="00E741F7" w:rsidP="00902983">
            <w:pPr>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$1.63</m:t>
                    </m:r>
                  </m:num>
                  <m:den>
                    <m:r>
                      <w:rPr>
                        <w:rFonts w:ascii="Cambria Math" w:eastAsiaTheme="minorEastAsia" w:hAnsi="Cambria Math"/>
                      </w:rPr>
                      <m:t>$26</m:t>
                    </m:r>
                  </m:den>
                </m:f>
                <m:r>
                  <w:rPr>
                    <w:rFonts w:ascii="Cambria Math" w:eastAsiaTheme="minorEastAsia" w:hAnsi="Cambria Math"/>
                  </w:rPr>
                  <m:t>=6.3%</m:t>
                </m:r>
              </m:oMath>
            </m:oMathPara>
          </w:p>
          <w:p w14:paraId="1312476B" w14:textId="77777777" w:rsidR="00902983" w:rsidRDefault="00902983" w:rsidP="00902983">
            <w:pPr>
              <w:jc w:val="both"/>
              <w:rPr>
                <w:rFonts w:ascii="Bookman Old Style" w:eastAsiaTheme="minorEastAsia" w:hAnsi="Bookman Old Style"/>
              </w:rPr>
            </w:pPr>
          </w:p>
          <w:p w14:paraId="3F4A82DA" w14:textId="77777777" w:rsidR="00902983" w:rsidRPr="00902983" w:rsidRDefault="00902983" w:rsidP="00902983">
            <w:pPr>
              <w:jc w:val="both"/>
              <w:rPr>
                <w:rFonts w:ascii="Bookman Old Style" w:eastAsiaTheme="minorEastAsia" w:hAnsi="Bookman Old Style"/>
              </w:rPr>
            </w:pPr>
            <w:r>
              <w:rPr>
                <w:rFonts w:ascii="Bookman Old Style" w:eastAsiaTheme="minorEastAsia" w:hAnsi="Bookman Old Style"/>
              </w:rPr>
              <w:t xml:space="preserve">So </w:t>
            </w:r>
            <w:proofErr w:type="spellStart"/>
            <w:r>
              <w:rPr>
                <w:rFonts w:ascii="Bookman Old Style" w:eastAsiaTheme="minorEastAsia" w:hAnsi="Bookman Old Style"/>
              </w:rPr>
              <w:t>Aimia’s</w:t>
            </w:r>
            <w:proofErr w:type="spellEnd"/>
            <w:r>
              <w:rPr>
                <w:rFonts w:ascii="Bookman Old Style" w:eastAsiaTheme="minorEastAsia" w:hAnsi="Bookman Old Style"/>
              </w:rPr>
              <w:t xml:space="preserve"> cost of preferred stock is 6.3%</w:t>
            </w:r>
          </w:p>
          <w:p w14:paraId="6284BFC7" w14:textId="77777777" w:rsidR="00902983" w:rsidRDefault="00902983" w:rsidP="00E8143D">
            <w:pPr>
              <w:jc w:val="both"/>
              <w:rPr>
                <w:rFonts w:ascii="Bookman Old Style" w:eastAsiaTheme="minorEastAsia" w:hAnsi="Bookman Old Style"/>
                <w:u w:val="single"/>
              </w:rPr>
            </w:pPr>
          </w:p>
        </w:tc>
      </w:tr>
    </w:tbl>
    <w:p w14:paraId="4D5420B9" w14:textId="77777777" w:rsidR="00902983" w:rsidRDefault="00902983" w:rsidP="00E8143D">
      <w:pPr>
        <w:spacing w:after="0" w:line="240" w:lineRule="auto"/>
        <w:jc w:val="both"/>
        <w:rPr>
          <w:rFonts w:ascii="Bookman Old Style" w:eastAsiaTheme="minorEastAsia" w:hAnsi="Bookman Old Style"/>
          <w:u w:val="single"/>
        </w:rPr>
      </w:pPr>
    </w:p>
    <w:p w14:paraId="288ABAC4" w14:textId="77777777" w:rsidR="00902983" w:rsidRDefault="00902983" w:rsidP="00E8143D">
      <w:pPr>
        <w:spacing w:after="0" w:line="240" w:lineRule="auto"/>
        <w:jc w:val="both"/>
        <w:rPr>
          <w:rFonts w:ascii="Bookman Old Style" w:eastAsiaTheme="minorEastAsia" w:hAnsi="Bookman Old Style"/>
          <w:u w:val="single"/>
        </w:rPr>
      </w:pPr>
    </w:p>
    <w:p w14:paraId="6D2BB54F" w14:textId="2A8F2338" w:rsidR="00902983" w:rsidRDefault="00902983" w:rsidP="00902983">
      <w:pPr>
        <w:spacing w:after="0" w:line="240" w:lineRule="auto"/>
        <w:jc w:val="center"/>
        <w:rPr>
          <w:rFonts w:ascii="Bookman Old Style" w:eastAsiaTheme="minorEastAsia" w:hAnsi="Bookman Old Style"/>
          <w:b/>
          <w:u w:val="single"/>
        </w:rPr>
      </w:pPr>
      <w:r w:rsidRPr="00902983">
        <w:rPr>
          <w:rFonts w:ascii="Bookman Old Style" w:eastAsiaTheme="minorEastAsia" w:hAnsi="Bookman Old Style"/>
          <w:b/>
          <w:u w:val="single"/>
        </w:rPr>
        <w:t>THE WEIGHTED</w:t>
      </w:r>
      <w:r>
        <w:rPr>
          <w:rFonts w:ascii="Bookman Old Style" w:eastAsiaTheme="minorEastAsia" w:hAnsi="Bookman Old Style"/>
          <w:b/>
          <w:u w:val="single"/>
        </w:rPr>
        <w:t xml:space="preserve"> AVERAGE COST OF CAPITAL</w:t>
      </w:r>
    </w:p>
    <w:p w14:paraId="5046F003" w14:textId="77777777" w:rsidR="00902983" w:rsidRDefault="00902983" w:rsidP="00902983">
      <w:pPr>
        <w:spacing w:after="0" w:line="240" w:lineRule="auto"/>
        <w:jc w:val="center"/>
        <w:rPr>
          <w:rFonts w:ascii="Bookman Old Style" w:eastAsiaTheme="minorEastAsia" w:hAnsi="Bookman Old Style"/>
          <w:b/>
          <w:u w:val="single"/>
        </w:rPr>
      </w:pPr>
    </w:p>
    <w:p w14:paraId="4C7286AB" w14:textId="76527607" w:rsidR="00902983" w:rsidRDefault="00902983" w:rsidP="00902983">
      <w:pPr>
        <w:spacing w:after="0" w:line="240" w:lineRule="auto"/>
        <w:jc w:val="both"/>
        <w:rPr>
          <w:rFonts w:ascii="Bookman Old Style" w:eastAsiaTheme="minorEastAsia" w:hAnsi="Bookman Old Style"/>
        </w:rPr>
      </w:pPr>
      <w:r>
        <w:rPr>
          <w:rFonts w:ascii="Bookman Old Style" w:eastAsiaTheme="minorEastAsia" w:hAnsi="Bookman Old Style"/>
        </w:rPr>
        <w:t xml:space="preserve">Now that </w:t>
      </w:r>
      <w:r w:rsidR="007C52C9">
        <w:rPr>
          <w:rFonts w:ascii="Bookman Old Style" w:eastAsiaTheme="minorEastAsia" w:hAnsi="Bookman Old Style"/>
        </w:rPr>
        <w:t>we have the costs associated with the main sources of capital that the firm uses, we need to worry about the specific mix. We take this mix (the firm’s capital structure) as given for now.</w:t>
      </w:r>
    </w:p>
    <w:p w14:paraId="4A13D801" w14:textId="77777777" w:rsidR="007C52C9" w:rsidRDefault="007C52C9" w:rsidP="00902983">
      <w:pPr>
        <w:spacing w:after="0" w:line="240" w:lineRule="auto"/>
        <w:jc w:val="both"/>
        <w:rPr>
          <w:rFonts w:ascii="Bookman Old Style" w:eastAsiaTheme="minorEastAsia" w:hAnsi="Bookman Old Style"/>
        </w:rPr>
      </w:pPr>
    </w:p>
    <w:p w14:paraId="5486D850" w14:textId="54EEB130" w:rsidR="007C52C9" w:rsidRDefault="007C52C9" w:rsidP="00902983">
      <w:pPr>
        <w:spacing w:after="0" w:line="240" w:lineRule="auto"/>
        <w:jc w:val="both"/>
        <w:rPr>
          <w:rFonts w:ascii="Bookman Old Style" w:eastAsiaTheme="minorEastAsia" w:hAnsi="Bookman Old Style"/>
        </w:rPr>
      </w:pPr>
      <w:r>
        <w:rPr>
          <w:rFonts w:ascii="Bookman Old Style" w:eastAsiaTheme="minorEastAsia" w:hAnsi="Bookman Old Style"/>
        </w:rPr>
        <w:t>One of the implications of using WACC for a project is that we’re assuming that money is raised in the optimal proportions.</w:t>
      </w:r>
    </w:p>
    <w:p w14:paraId="206B7185" w14:textId="77777777" w:rsidR="007C52C9" w:rsidRDefault="007C52C9" w:rsidP="00902983">
      <w:pPr>
        <w:spacing w:after="0" w:line="240" w:lineRule="auto"/>
        <w:jc w:val="both"/>
        <w:rPr>
          <w:rFonts w:ascii="Bookman Old Style" w:eastAsiaTheme="minorEastAsia" w:hAnsi="Bookman Old Style"/>
        </w:rPr>
      </w:pPr>
    </w:p>
    <w:p w14:paraId="64106F47" w14:textId="3231307D" w:rsidR="007C52C9" w:rsidRDefault="007C52C9" w:rsidP="00902983">
      <w:pPr>
        <w:spacing w:after="0" w:line="240" w:lineRule="auto"/>
        <w:jc w:val="both"/>
        <w:rPr>
          <w:rFonts w:ascii="Bookman Old Style" w:eastAsiaTheme="minorEastAsia" w:hAnsi="Bookman Old Style"/>
        </w:rPr>
      </w:pPr>
      <w:r>
        <w:rPr>
          <w:rFonts w:ascii="Bookman Old Style" w:eastAsiaTheme="minorEastAsia" w:hAnsi="Bookman Old Style"/>
        </w:rPr>
        <w:t>For instance, if the optimal weight for debt is 25%, raising $100 million means that $25 million will come from new debt and $75 million from common and preferred shares.</w:t>
      </w:r>
    </w:p>
    <w:p w14:paraId="5B38EEE2" w14:textId="77777777" w:rsidR="007C52C9" w:rsidRDefault="007C52C9" w:rsidP="00902983">
      <w:pPr>
        <w:spacing w:after="0" w:line="240" w:lineRule="auto"/>
        <w:jc w:val="both"/>
        <w:rPr>
          <w:rFonts w:ascii="Bookman Old Style" w:eastAsiaTheme="minorEastAsia" w:hAnsi="Bookman Old Style"/>
        </w:rPr>
      </w:pPr>
    </w:p>
    <w:p w14:paraId="241E03D4" w14:textId="63D879E8" w:rsidR="007C52C9" w:rsidRDefault="007C52C9" w:rsidP="00902983">
      <w:pPr>
        <w:spacing w:after="0" w:line="240" w:lineRule="auto"/>
        <w:jc w:val="both"/>
        <w:rPr>
          <w:rFonts w:ascii="Bookman Old Style" w:eastAsiaTheme="minorEastAsia" w:hAnsi="Bookman Old Style"/>
        </w:rPr>
      </w:pPr>
      <w:r>
        <w:rPr>
          <w:rFonts w:ascii="Bookman Old Style" w:eastAsiaTheme="minorEastAsia" w:hAnsi="Bookman Old Style"/>
        </w:rPr>
        <w:t>In a practical sense, the firm wouldn’t raise these sums simultaneously by issuing both debt &amp; equity. The firm might just use debt, or just equity – which, at that point, has the effect of upsetting the optimal debt ratio.</w:t>
      </w:r>
    </w:p>
    <w:p w14:paraId="23056D4A" w14:textId="77777777" w:rsidR="007C52C9" w:rsidRDefault="007C52C9" w:rsidP="00902983">
      <w:pPr>
        <w:spacing w:after="0" w:line="240" w:lineRule="auto"/>
        <w:jc w:val="both"/>
        <w:rPr>
          <w:rFonts w:ascii="Bookman Old Style" w:eastAsiaTheme="minorEastAsia" w:hAnsi="Bookman Old Style"/>
        </w:rPr>
      </w:pPr>
    </w:p>
    <w:p w14:paraId="500BDFDC" w14:textId="3A476E0E" w:rsidR="007C52C9" w:rsidRDefault="007C52C9" w:rsidP="00902983">
      <w:pPr>
        <w:spacing w:after="0" w:line="240" w:lineRule="auto"/>
        <w:jc w:val="both"/>
        <w:rPr>
          <w:rFonts w:ascii="Bookman Old Style" w:eastAsiaTheme="minorEastAsia" w:hAnsi="Bookman Old Style"/>
        </w:rPr>
      </w:pPr>
      <w:r>
        <w:rPr>
          <w:rFonts w:ascii="Bookman Old Style" w:eastAsiaTheme="minorEastAsia" w:hAnsi="Bookman Old Style"/>
        </w:rPr>
        <w:t>Issuing just one type of security and temporarily upsetting the optimal weights isn’t a problem as long as the subsequent issue takes the firm back to the optimal ratio.</w:t>
      </w:r>
    </w:p>
    <w:p w14:paraId="65C46444" w14:textId="77777777" w:rsidR="007C52C9" w:rsidRDefault="007C52C9" w:rsidP="00902983">
      <w:pPr>
        <w:spacing w:after="0" w:line="240" w:lineRule="auto"/>
        <w:jc w:val="both"/>
        <w:rPr>
          <w:rFonts w:ascii="Bookman Old Style" w:eastAsiaTheme="minorEastAsia" w:hAnsi="Bookman Old Style"/>
        </w:rPr>
      </w:pPr>
    </w:p>
    <w:p w14:paraId="6155D165" w14:textId="3566B74E" w:rsidR="007C52C9" w:rsidRDefault="007C52C9" w:rsidP="00902983">
      <w:pPr>
        <w:spacing w:after="0" w:line="240" w:lineRule="auto"/>
        <w:jc w:val="both"/>
        <w:rPr>
          <w:rFonts w:ascii="Bookman Old Style" w:eastAsiaTheme="minorEastAsia" w:hAnsi="Bookman Old Style"/>
        </w:rPr>
      </w:pPr>
      <w:r>
        <w:rPr>
          <w:rFonts w:ascii="Bookman Old Style" w:eastAsiaTheme="minorEastAsia" w:hAnsi="Bookman Old Style"/>
        </w:rPr>
        <w:t xml:space="preserve">The point is that the firm’s capital structure weights might fluctuate within some range in the </w:t>
      </w:r>
      <w:r>
        <w:rPr>
          <w:rFonts w:ascii="Bookman Old Style" w:eastAsiaTheme="minorEastAsia" w:hAnsi="Bookman Old Style"/>
          <w:i/>
        </w:rPr>
        <w:t>short-term</w:t>
      </w:r>
      <w:r>
        <w:rPr>
          <w:rFonts w:ascii="Bookman Old Style" w:eastAsiaTheme="minorEastAsia" w:hAnsi="Bookman Old Style"/>
        </w:rPr>
        <w:t>, but the target weights should always be used in computing the WACC.</w:t>
      </w:r>
    </w:p>
    <w:p w14:paraId="0DA606FC" w14:textId="77777777" w:rsidR="007C52C9" w:rsidRDefault="007C52C9" w:rsidP="00902983">
      <w:pPr>
        <w:spacing w:after="0" w:line="240" w:lineRule="auto"/>
        <w:jc w:val="both"/>
        <w:rPr>
          <w:rFonts w:ascii="Bookman Old Style" w:eastAsiaTheme="minorEastAsia" w:hAnsi="Bookman Old Style"/>
        </w:rPr>
      </w:pPr>
    </w:p>
    <w:p w14:paraId="0D399946" w14:textId="25935D6F" w:rsidR="00AA211D" w:rsidRDefault="00AA211D" w:rsidP="00902983">
      <w:pPr>
        <w:spacing w:after="0" w:line="240" w:lineRule="auto"/>
        <w:jc w:val="both"/>
        <w:rPr>
          <w:rFonts w:ascii="Bookman Old Style" w:eastAsiaTheme="minorEastAsia" w:hAnsi="Bookman Old Style"/>
        </w:rPr>
      </w:pPr>
      <w:r>
        <w:rPr>
          <w:rFonts w:ascii="Bookman Old Style" w:eastAsiaTheme="minorEastAsia" w:hAnsi="Bookman Old Style"/>
        </w:rPr>
        <w:t>Financial analysts usually focus on a firm’s total capitalization – the sum of their long-term debt and equity.</w:t>
      </w:r>
    </w:p>
    <w:p w14:paraId="287066CF" w14:textId="77777777" w:rsidR="00AA211D" w:rsidRDefault="00AA211D" w:rsidP="00902983">
      <w:pPr>
        <w:spacing w:after="0" w:line="240" w:lineRule="auto"/>
        <w:jc w:val="both"/>
        <w:rPr>
          <w:rFonts w:ascii="Bookman Old Style" w:eastAsiaTheme="minorEastAsia" w:hAnsi="Bookman Old Style"/>
        </w:rPr>
      </w:pPr>
    </w:p>
    <w:p w14:paraId="0DDE55EF" w14:textId="79E8B429" w:rsidR="00AA211D" w:rsidRDefault="00AA211D" w:rsidP="006F2196">
      <w:pPr>
        <w:pStyle w:val="ListParagraph"/>
        <w:numPr>
          <w:ilvl w:val="0"/>
          <w:numId w:val="1"/>
        </w:numPr>
        <w:spacing w:after="0" w:line="240" w:lineRule="auto"/>
        <w:jc w:val="both"/>
        <w:rPr>
          <w:rFonts w:ascii="Bookman Old Style" w:eastAsiaTheme="minorEastAsia" w:hAnsi="Bookman Old Style"/>
        </w:rPr>
      </w:pPr>
      <w:r>
        <w:rPr>
          <w:rFonts w:ascii="Bookman Old Style" w:eastAsiaTheme="minorEastAsia" w:hAnsi="Bookman Old Style"/>
        </w:rPr>
        <w:t>This is particularly true in determining the cost of capital; short-term liabilities are usually ignored in the process. Short-term liabilities such as accounts payable rise automatically with sales increases and have already been incorporated into cash flow estimates – so we ignore them to avoid double counting.</w:t>
      </w:r>
    </w:p>
    <w:p w14:paraId="158EA3BA" w14:textId="77777777" w:rsidR="00AA211D" w:rsidRDefault="00AA211D" w:rsidP="00AA211D">
      <w:pPr>
        <w:spacing w:after="0" w:line="240" w:lineRule="auto"/>
        <w:jc w:val="both"/>
        <w:rPr>
          <w:rFonts w:ascii="Bookman Old Style" w:eastAsiaTheme="minorEastAsia" w:hAnsi="Bookman Old Style"/>
        </w:rPr>
      </w:pPr>
    </w:p>
    <w:p w14:paraId="02A0142D" w14:textId="5232AB7C" w:rsidR="00AA211D" w:rsidRDefault="00AA211D" w:rsidP="00AA211D">
      <w:pPr>
        <w:spacing w:after="0" w:line="240" w:lineRule="auto"/>
        <w:ind w:left="720"/>
        <w:jc w:val="both"/>
        <w:rPr>
          <w:rFonts w:ascii="Bookman Old Style" w:eastAsiaTheme="minorEastAsia" w:hAnsi="Bookman Old Style"/>
        </w:rPr>
      </w:pPr>
      <w:r>
        <w:rPr>
          <w:rFonts w:ascii="Bookman Old Style" w:eastAsiaTheme="minorEastAsia" w:hAnsi="Bookman Old Style"/>
        </w:rPr>
        <w:t>Other current liabilities, like short-term bank borrowing, are excluded because they support seasonal needs and aren’t part of the permanent capital structure.</w:t>
      </w:r>
    </w:p>
    <w:p w14:paraId="7CE9832C" w14:textId="255A18A3"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b/>
          <w:u w:val="single"/>
        </w:rPr>
        <w:lastRenderedPageBreak/>
        <w:t>THE CAPITAL STUCTURE WEIGHTS</w:t>
      </w:r>
    </w:p>
    <w:p w14:paraId="0C6FDD31" w14:textId="1894389C"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We use the symbol </w:t>
      </w:r>
      <w:r w:rsidRPr="00AA211D">
        <w:rPr>
          <w:rFonts w:ascii="Bookman Old Style" w:eastAsiaTheme="minorEastAsia" w:hAnsi="Bookman Old Style"/>
          <w:b/>
          <w:i/>
        </w:rPr>
        <w:t>E</w:t>
      </w:r>
      <w:r>
        <w:rPr>
          <w:rFonts w:ascii="Bookman Old Style" w:eastAsiaTheme="minorEastAsia" w:hAnsi="Bookman Old Style"/>
        </w:rPr>
        <w:t xml:space="preserve"> (for </w:t>
      </w:r>
      <w:r w:rsidRPr="00AA211D">
        <w:rPr>
          <w:rFonts w:ascii="Bookman Old Style" w:eastAsiaTheme="minorEastAsia" w:hAnsi="Bookman Old Style"/>
          <w:u w:val="single"/>
        </w:rPr>
        <w:t>equity</w:t>
      </w:r>
      <w:r>
        <w:rPr>
          <w:rFonts w:ascii="Bookman Old Style" w:eastAsiaTheme="minorEastAsia" w:hAnsi="Bookman Old Style"/>
        </w:rPr>
        <w:t>) to stand for the market value of the firm’s equity. We calculate this as follows:</w:t>
      </w:r>
    </w:p>
    <w:p w14:paraId="7A912C4E" w14:textId="77777777" w:rsidR="00AA211D" w:rsidRDefault="00AA211D" w:rsidP="00902983">
      <w:pPr>
        <w:spacing w:after="0" w:line="240" w:lineRule="auto"/>
        <w:jc w:val="both"/>
        <w:rPr>
          <w:rFonts w:ascii="Bookman Old Style" w:eastAsiaTheme="minorEastAsia" w:hAnsi="Bookman Old Style"/>
        </w:rPr>
      </w:pPr>
    </w:p>
    <w:tbl>
      <w:tblPr>
        <w:tblStyle w:val="MediumGrid1-Accent4"/>
        <w:tblW w:w="0" w:type="auto"/>
        <w:jc w:val="center"/>
        <w:tblInd w:w="3438" w:type="dxa"/>
        <w:tblLook w:val="04A0" w:firstRow="1" w:lastRow="0" w:firstColumn="1" w:lastColumn="0" w:noHBand="0" w:noVBand="1"/>
      </w:tblPr>
      <w:tblGrid>
        <w:gridCol w:w="6138"/>
      </w:tblGrid>
      <w:tr w:rsidR="00AA211D" w14:paraId="2C8F4E30" w14:textId="77777777" w:rsidTr="00AA21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38" w:type="dxa"/>
          </w:tcPr>
          <w:p w14:paraId="10B74E53" w14:textId="77777777" w:rsidR="00AA211D" w:rsidRDefault="00AA211D" w:rsidP="00902983">
            <w:pPr>
              <w:jc w:val="both"/>
              <w:rPr>
                <w:rFonts w:ascii="Bookman Old Style" w:eastAsiaTheme="minorEastAsia" w:hAnsi="Bookman Old Style"/>
              </w:rPr>
            </w:pPr>
          </w:p>
          <w:p w14:paraId="5403B248" w14:textId="77777777" w:rsidR="00AA211D" w:rsidRPr="00AA211D" w:rsidRDefault="00AA211D" w:rsidP="00AA211D">
            <w:pPr>
              <w:jc w:val="center"/>
              <w:rPr>
                <w:rFonts w:ascii="Bookman Old Style" w:eastAsiaTheme="minorEastAsia" w:hAnsi="Bookman Old Style"/>
              </w:rPr>
            </w:pPr>
            <w:r>
              <w:rPr>
                <w:rFonts w:ascii="Bookman Old Style" w:eastAsiaTheme="minorEastAsia" w:hAnsi="Bookman Old Style"/>
              </w:rPr>
              <w:t>[Number of Outstanding Shares] * [Price Per Share]</w:t>
            </w:r>
          </w:p>
          <w:p w14:paraId="35EBA7C0" w14:textId="77777777" w:rsidR="00AA211D" w:rsidRDefault="00AA211D" w:rsidP="00902983">
            <w:pPr>
              <w:jc w:val="both"/>
              <w:rPr>
                <w:rFonts w:ascii="Bookman Old Style" w:eastAsiaTheme="minorEastAsia" w:hAnsi="Bookman Old Style"/>
              </w:rPr>
            </w:pPr>
          </w:p>
        </w:tc>
      </w:tr>
    </w:tbl>
    <w:p w14:paraId="2E5DA57F" w14:textId="77777777" w:rsidR="00AA211D" w:rsidRDefault="00AA211D" w:rsidP="00902983">
      <w:pPr>
        <w:spacing w:after="0" w:line="240" w:lineRule="auto"/>
        <w:jc w:val="both"/>
        <w:rPr>
          <w:rFonts w:ascii="Bookman Old Style" w:eastAsiaTheme="minorEastAsia" w:hAnsi="Bookman Old Style"/>
        </w:rPr>
      </w:pPr>
    </w:p>
    <w:p w14:paraId="59A2C809" w14:textId="77777777" w:rsidR="00AA211D" w:rsidRDefault="00AA211D" w:rsidP="00902983">
      <w:pPr>
        <w:spacing w:after="0" w:line="240" w:lineRule="auto"/>
        <w:jc w:val="both"/>
        <w:rPr>
          <w:rFonts w:ascii="Bookman Old Style" w:eastAsiaTheme="minorEastAsia" w:hAnsi="Bookman Old Style"/>
        </w:rPr>
      </w:pPr>
    </w:p>
    <w:p w14:paraId="17BE43DB" w14:textId="24802850" w:rsidR="00AA211D" w:rsidRDefault="00AA211D" w:rsidP="00902983">
      <w:pPr>
        <w:spacing w:after="0" w:line="240" w:lineRule="auto"/>
        <w:jc w:val="both"/>
        <w:rPr>
          <w:rFonts w:ascii="Bookman Old Style" w:eastAsiaTheme="minorEastAsia" w:hAnsi="Bookman Old Style"/>
        </w:rPr>
      </w:pPr>
      <w:r>
        <w:rPr>
          <w:rFonts w:ascii="Bookman Old Style" w:eastAsiaTheme="minorEastAsia" w:hAnsi="Bookman Old Style"/>
        </w:rPr>
        <w:t xml:space="preserve">We use the symbol </w:t>
      </w:r>
      <m:oMath>
        <m:sSub>
          <m:sSubPr>
            <m:ctrlPr>
              <w:rPr>
                <w:rFonts w:ascii="Cambria Math" w:eastAsiaTheme="minorEastAsia" w:hAnsi="Cambria Math"/>
                <w:b/>
                <w:i/>
              </w:rPr>
            </m:ctrlPr>
          </m:sSubPr>
          <m:e>
            <m:r>
              <m:rPr>
                <m:sty m:val="bi"/>
              </m:rPr>
              <w:rPr>
                <w:rFonts w:ascii="Cambria Math" w:eastAsiaTheme="minorEastAsia" w:hAnsi="Cambria Math"/>
              </w:rPr>
              <m:t>D</m:t>
            </m:r>
          </m:e>
          <m:sub>
            <m:r>
              <m:rPr>
                <m:sty m:val="bi"/>
              </m:rPr>
              <w:rPr>
                <w:rFonts w:ascii="Cambria Math" w:eastAsiaTheme="minorEastAsia" w:hAnsi="Cambria Math"/>
              </w:rPr>
              <m:t>m</m:t>
            </m:r>
          </m:sub>
        </m:sSub>
      </m:oMath>
      <w:r>
        <w:rPr>
          <w:rFonts w:ascii="Bookman Old Style" w:eastAsiaTheme="minorEastAsia" w:hAnsi="Bookman Old Style"/>
        </w:rPr>
        <w:t xml:space="preserve"> (for </w:t>
      </w:r>
      <w:r w:rsidRPr="00AA211D">
        <w:rPr>
          <w:rFonts w:ascii="Bookman Old Style" w:eastAsiaTheme="minorEastAsia" w:hAnsi="Bookman Old Style"/>
          <w:u w:val="single"/>
        </w:rPr>
        <w:t>debt</w:t>
      </w:r>
      <w:r>
        <w:rPr>
          <w:rFonts w:ascii="Bookman Old Style" w:eastAsiaTheme="minorEastAsia" w:hAnsi="Bookman Old Style"/>
        </w:rPr>
        <w:t xml:space="preserve">) to stand for the market value of the firm’s debt. For </w:t>
      </w:r>
      <w:r>
        <w:rPr>
          <w:rFonts w:ascii="Bookman Old Style" w:eastAsiaTheme="minorEastAsia" w:hAnsi="Bookman Old Style"/>
          <w:u w:val="single"/>
        </w:rPr>
        <w:t>long-term debt</w:t>
      </w:r>
      <w:r>
        <w:rPr>
          <w:rFonts w:ascii="Bookman Old Style" w:eastAsiaTheme="minorEastAsia" w:hAnsi="Bookman Old Style"/>
          <w:u w:val="single"/>
        </w:rPr>
        <w:softHyphen/>
      </w:r>
      <w:r>
        <w:rPr>
          <w:rFonts w:ascii="Bookman Old Style" w:eastAsiaTheme="minorEastAsia" w:hAnsi="Bookman Old Style"/>
        </w:rPr>
        <w:t>, we this as follows:</w:t>
      </w:r>
    </w:p>
    <w:p w14:paraId="27BAE5DB" w14:textId="77777777" w:rsidR="00AA211D" w:rsidRDefault="00AA211D" w:rsidP="00902983">
      <w:pPr>
        <w:spacing w:after="0" w:line="240" w:lineRule="auto"/>
        <w:jc w:val="both"/>
        <w:rPr>
          <w:rFonts w:ascii="Bookman Old Style" w:eastAsiaTheme="minorEastAsia" w:hAnsi="Bookman Old Style"/>
        </w:rPr>
      </w:pPr>
    </w:p>
    <w:tbl>
      <w:tblPr>
        <w:tblStyle w:val="MediumGrid1-Accent4"/>
        <w:tblW w:w="0" w:type="auto"/>
        <w:jc w:val="center"/>
        <w:tblInd w:w="828" w:type="dxa"/>
        <w:tblLook w:val="04A0" w:firstRow="1" w:lastRow="0" w:firstColumn="1" w:lastColumn="0" w:noHBand="0" w:noVBand="1"/>
      </w:tblPr>
      <w:tblGrid>
        <w:gridCol w:w="7650"/>
      </w:tblGrid>
      <w:tr w:rsidR="00AA211D" w14:paraId="20E821B9" w14:textId="77777777" w:rsidTr="00AA21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50" w:type="dxa"/>
          </w:tcPr>
          <w:p w14:paraId="4F2108E0" w14:textId="77777777" w:rsidR="00AA211D" w:rsidRDefault="00AA211D" w:rsidP="00AA211D">
            <w:pPr>
              <w:jc w:val="center"/>
              <w:rPr>
                <w:rFonts w:ascii="Bookman Old Style" w:eastAsiaTheme="minorEastAsia" w:hAnsi="Bookman Old Style"/>
              </w:rPr>
            </w:pPr>
          </w:p>
          <w:p w14:paraId="04626DF5" w14:textId="77777777" w:rsidR="00AA211D" w:rsidRDefault="00AA211D" w:rsidP="00AA211D">
            <w:pPr>
              <w:jc w:val="center"/>
              <w:rPr>
                <w:rFonts w:ascii="Bookman Old Style" w:eastAsiaTheme="minorEastAsia" w:hAnsi="Bookman Old Style"/>
              </w:rPr>
            </w:pPr>
            <w:r>
              <w:rPr>
                <w:rFonts w:ascii="Bookman Old Style" w:eastAsiaTheme="minorEastAsia" w:hAnsi="Bookman Old Style"/>
              </w:rPr>
              <w:t>[Market Price of a Single Bond] * [Number of Bonds Outstanding]</w:t>
            </w:r>
          </w:p>
          <w:p w14:paraId="54DC424B" w14:textId="77777777" w:rsidR="00AA211D" w:rsidRDefault="00AA211D" w:rsidP="00AA211D">
            <w:pPr>
              <w:jc w:val="center"/>
              <w:rPr>
                <w:rFonts w:ascii="Bookman Old Style" w:eastAsiaTheme="minorEastAsia" w:hAnsi="Bookman Old Style"/>
              </w:rPr>
            </w:pPr>
          </w:p>
        </w:tc>
      </w:tr>
    </w:tbl>
    <w:p w14:paraId="53156209" w14:textId="77777777" w:rsidR="00AA211D" w:rsidRDefault="00AA211D" w:rsidP="00AA211D">
      <w:pPr>
        <w:spacing w:after="0" w:line="240" w:lineRule="auto"/>
        <w:jc w:val="center"/>
        <w:rPr>
          <w:rFonts w:ascii="Bookman Old Style" w:eastAsiaTheme="minorEastAsia" w:hAnsi="Bookman Old Style"/>
        </w:rPr>
      </w:pPr>
    </w:p>
    <w:p w14:paraId="52D75323" w14:textId="77777777"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For multiple bond issues, we repeat this calculation for each and then add the results. </w:t>
      </w:r>
    </w:p>
    <w:p w14:paraId="14A10DF6" w14:textId="77777777" w:rsidR="00AA211D" w:rsidRDefault="00AA211D" w:rsidP="00AA211D">
      <w:pPr>
        <w:spacing w:after="0" w:line="240" w:lineRule="auto"/>
        <w:jc w:val="both"/>
        <w:rPr>
          <w:rFonts w:ascii="Bookman Old Style" w:eastAsiaTheme="minorEastAsia" w:hAnsi="Bookman Old Style"/>
        </w:rPr>
      </w:pPr>
    </w:p>
    <w:p w14:paraId="765EC4DD" w14:textId="299D5A61"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rPr>
        <w:t>If there’s debt that’s not publicly traded (because it was privately placed with a life insurance company, for example), we have to observe yields on similar, publicly traded debt and estimate the market value of the privately held debt using this yield as the discount rate.</w:t>
      </w:r>
    </w:p>
    <w:p w14:paraId="7BAAF0BF" w14:textId="77777777" w:rsidR="00AA211D" w:rsidRDefault="00AA211D" w:rsidP="00AA211D">
      <w:pPr>
        <w:spacing w:after="0" w:line="240" w:lineRule="auto"/>
        <w:jc w:val="both"/>
        <w:rPr>
          <w:rFonts w:ascii="Bookman Old Style" w:eastAsiaTheme="minorEastAsia" w:hAnsi="Bookman Old Style"/>
        </w:rPr>
      </w:pPr>
    </w:p>
    <w:p w14:paraId="0145DC92" w14:textId="67A24E24"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We use the symbol </w:t>
      </w:r>
      <w:r w:rsidRPr="00AA211D">
        <w:rPr>
          <w:rFonts w:ascii="Bookman Old Style" w:eastAsiaTheme="minorEastAsia" w:hAnsi="Bookman Old Style"/>
          <w:b/>
          <w:i/>
        </w:rPr>
        <w:t>V</w:t>
      </w:r>
      <w:r>
        <w:rPr>
          <w:rFonts w:ascii="Bookman Old Style" w:eastAsiaTheme="minorEastAsia" w:hAnsi="Bookman Old Style"/>
        </w:rPr>
        <w:t xml:space="preserve"> (for </w:t>
      </w:r>
      <w:r w:rsidRPr="00AA211D">
        <w:rPr>
          <w:rFonts w:ascii="Bookman Old Style" w:eastAsiaTheme="minorEastAsia" w:hAnsi="Bookman Old Style"/>
          <w:u w:val="single"/>
        </w:rPr>
        <w:t>value</w:t>
      </w:r>
      <w:r>
        <w:rPr>
          <w:rFonts w:ascii="Bookman Old Style" w:eastAsiaTheme="minorEastAsia" w:hAnsi="Bookman Old Style"/>
        </w:rPr>
        <w:t>) to stand for the combined market value of the debt and equity:</w:t>
      </w:r>
    </w:p>
    <w:tbl>
      <w:tblPr>
        <w:tblStyle w:val="MediumGrid1-Accent4"/>
        <w:tblW w:w="0" w:type="auto"/>
        <w:jc w:val="center"/>
        <w:tblInd w:w="7578" w:type="dxa"/>
        <w:tblLook w:val="04A0" w:firstRow="1" w:lastRow="0" w:firstColumn="1" w:lastColumn="0" w:noHBand="0" w:noVBand="1"/>
      </w:tblPr>
      <w:tblGrid>
        <w:gridCol w:w="1998"/>
      </w:tblGrid>
      <w:tr w:rsidR="00AA211D" w14:paraId="6C8BE484" w14:textId="77777777" w:rsidTr="00AA21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8" w:type="dxa"/>
          </w:tcPr>
          <w:p w14:paraId="4DCA87D9" w14:textId="77777777" w:rsidR="00AA211D" w:rsidRDefault="00AA211D" w:rsidP="00AA211D">
            <w:pPr>
              <w:jc w:val="both"/>
              <w:rPr>
                <w:rFonts w:ascii="Bookman Old Style" w:eastAsiaTheme="minorEastAsia" w:hAnsi="Bookman Old Style"/>
              </w:rPr>
            </w:pPr>
          </w:p>
          <w:p w14:paraId="6DCA7F3F" w14:textId="078DD906" w:rsidR="00AA211D" w:rsidRPr="00AA211D" w:rsidRDefault="00AA211D" w:rsidP="00AA211D">
            <w:pPr>
              <w:jc w:val="both"/>
              <w:rPr>
                <w:rFonts w:ascii="Bookman Old Style" w:eastAsiaTheme="minorEastAsia" w:hAnsi="Bookman Old Style"/>
              </w:rPr>
            </w:pPr>
            <m:oMathPara>
              <m:oMath>
                <m:r>
                  <m:rPr>
                    <m:sty m:val="bi"/>
                  </m:rPr>
                  <w:rPr>
                    <w:rFonts w:ascii="Cambria Math" w:eastAsiaTheme="minorEastAsia" w:hAnsi="Cambria Math"/>
                  </w:rPr>
                  <m:t>V=E+</m:t>
                </m:r>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m</m:t>
                    </m:r>
                  </m:sub>
                </m:sSub>
              </m:oMath>
            </m:oMathPara>
          </w:p>
          <w:p w14:paraId="3730F74C" w14:textId="77777777" w:rsidR="00AA211D" w:rsidRDefault="00AA211D" w:rsidP="00AA211D">
            <w:pPr>
              <w:jc w:val="both"/>
              <w:rPr>
                <w:rFonts w:ascii="Bookman Old Style" w:eastAsiaTheme="minorEastAsia" w:hAnsi="Bookman Old Style"/>
              </w:rPr>
            </w:pPr>
          </w:p>
        </w:tc>
      </w:tr>
    </w:tbl>
    <w:p w14:paraId="26A891F7" w14:textId="77777777" w:rsidR="00AA211D" w:rsidRDefault="00AA211D" w:rsidP="00AA211D">
      <w:pPr>
        <w:spacing w:after="0" w:line="240" w:lineRule="auto"/>
        <w:jc w:val="both"/>
        <w:rPr>
          <w:rFonts w:ascii="Bookman Old Style" w:eastAsiaTheme="minorEastAsia" w:hAnsi="Bookman Old Style"/>
        </w:rPr>
      </w:pPr>
    </w:p>
    <w:p w14:paraId="67CB7027" w14:textId="79D7496F"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If we divide both sides by </w:t>
      </w:r>
      <w:r>
        <w:rPr>
          <w:rFonts w:ascii="Bookman Old Style" w:eastAsiaTheme="minorEastAsia" w:hAnsi="Bookman Old Style"/>
          <w:i/>
        </w:rPr>
        <w:t>V</w:t>
      </w:r>
      <w:r>
        <w:rPr>
          <w:rFonts w:ascii="Bookman Old Style" w:eastAsiaTheme="minorEastAsia" w:hAnsi="Bookman Old Style"/>
        </w:rPr>
        <w:t>, we can calculate the percentages of the total capital represented by the debt &amp; equity:</w:t>
      </w:r>
    </w:p>
    <w:p w14:paraId="35939566" w14:textId="77777777" w:rsidR="00AA211D" w:rsidRDefault="00AA211D" w:rsidP="00AA211D">
      <w:pPr>
        <w:spacing w:after="0" w:line="240" w:lineRule="auto"/>
        <w:jc w:val="both"/>
        <w:rPr>
          <w:rFonts w:ascii="Bookman Old Style" w:eastAsiaTheme="minorEastAsia" w:hAnsi="Bookman Old Style"/>
        </w:rPr>
      </w:pPr>
    </w:p>
    <w:tbl>
      <w:tblPr>
        <w:tblStyle w:val="MediumGrid1-Accent4"/>
        <w:tblW w:w="0" w:type="auto"/>
        <w:jc w:val="center"/>
        <w:tblLook w:val="04A0" w:firstRow="1" w:lastRow="0" w:firstColumn="1" w:lastColumn="0" w:noHBand="0" w:noVBand="1"/>
      </w:tblPr>
      <w:tblGrid>
        <w:gridCol w:w="2088"/>
      </w:tblGrid>
      <w:tr w:rsidR="00AA211D" w14:paraId="1D71AB18" w14:textId="77777777" w:rsidTr="00AA21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88" w:type="dxa"/>
          </w:tcPr>
          <w:p w14:paraId="2CBD7E61" w14:textId="2ADC2A31" w:rsidR="00AA211D" w:rsidRDefault="00AA211D" w:rsidP="00AA211D">
            <w:pPr>
              <w:jc w:val="both"/>
              <w:rPr>
                <w:rFonts w:ascii="Bookman Old Style" w:eastAsiaTheme="minorEastAsia" w:hAnsi="Bookman Old Style"/>
              </w:rPr>
            </w:pPr>
          </w:p>
          <w:p w14:paraId="7CA60DBA" w14:textId="2D342EDA" w:rsidR="00AA211D" w:rsidRPr="00AA211D" w:rsidRDefault="00AA211D" w:rsidP="00AA211D">
            <w:pPr>
              <w:jc w:val="center"/>
              <w:rPr>
                <w:rFonts w:ascii="Bookman Old Style" w:eastAsiaTheme="minorEastAsia" w:hAnsi="Bookman Old Style"/>
              </w:rPr>
            </w:pPr>
            <w:r w:rsidRPr="00AA211D">
              <w:rPr>
                <w:rFonts w:ascii="Bookman Old Style" w:eastAsiaTheme="minorEastAsia" w:hAnsi="Bookman Old Style"/>
              </w:rPr>
              <w:t>100%</w:t>
            </w:r>
          </w:p>
          <w:p w14:paraId="45F63C3C" w14:textId="77777777" w:rsidR="00AA211D" w:rsidRPr="00AA211D" w:rsidRDefault="00AA211D" w:rsidP="00AA211D">
            <w:pPr>
              <w:jc w:val="center"/>
              <w:rPr>
                <w:rFonts w:ascii="Bookman Old Style" w:eastAsiaTheme="minorEastAsia" w:hAnsi="Bookman Old Style"/>
                <w:b w:val="0"/>
              </w:rPr>
            </w:pPr>
            <w:r w:rsidRPr="00AA211D">
              <w:rPr>
                <w:rFonts w:ascii="Bookman Old Style" w:eastAsiaTheme="minorEastAsia" w:hAnsi="Bookman Old Style"/>
                <w:b w:val="0"/>
              </w:rPr>
              <w:t>=</w:t>
            </w:r>
          </w:p>
          <w:p w14:paraId="127197E0" w14:textId="00E0C418" w:rsidR="00AA211D" w:rsidRPr="00AA211D" w:rsidRDefault="00E741F7" w:rsidP="00AA211D">
            <w:pPr>
              <w:jc w:val="both"/>
              <w:rPr>
                <w:rFonts w:ascii="Bookman Old Style" w:eastAsiaTheme="minorEastAsia" w:hAnsi="Bookman Old Style"/>
                <w:b w:val="0"/>
              </w:rPr>
            </w:pPr>
            <m:oMathPara>
              <m:oMath>
                <m:f>
                  <m:fPr>
                    <m:ctrlPr>
                      <w:rPr>
                        <w:rFonts w:ascii="Cambria Math" w:eastAsiaTheme="minorEastAsia" w:hAnsi="Cambria Math"/>
                        <w:b w:val="0"/>
                        <w:i/>
                      </w:rPr>
                    </m:ctrlPr>
                  </m:fPr>
                  <m:num>
                    <m:r>
                      <m:rPr>
                        <m:sty m:val="bi"/>
                      </m:rPr>
                      <w:rPr>
                        <w:rFonts w:ascii="Cambria Math" w:eastAsiaTheme="minorEastAsia" w:hAnsi="Cambria Math"/>
                      </w:rPr>
                      <m:t>E</m:t>
                    </m:r>
                  </m:num>
                  <m:den>
                    <m:r>
                      <m:rPr>
                        <m:sty m:val="bi"/>
                      </m:rPr>
                      <w:rPr>
                        <w:rFonts w:ascii="Cambria Math" w:eastAsiaTheme="minorEastAsia" w:hAnsi="Cambria Math"/>
                      </w:rPr>
                      <m:t>V</m:t>
                    </m:r>
                  </m:den>
                </m:f>
                <m:r>
                  <m:rPr>
                    <m:sty m:val="bi"/>
                  </m:rPr>
                  <w:rPr>
                    <w:rFonts w:ascii="Cambria Math" w:eastAsiaTheme="minorEastAsia" w:hAnsi="Cambria Math"/>
                  </w:rPr>
                  <m:t>+</m:t>
                </m:r>
                <m:f>
                  <m:fPr>
                    <m:ctrlPr>
                      <w:rPr>
                        <w:rFonts w:ascii="Cambria Math" w:eastAsiaTheme="minorEastAsia" w:hAnsi="Cambria Math"/>
                        <w:b w:val="0"/>
                        <w:i/>
                      </w:rPr>
                    </m:ctrlPr>
                  </m:fPr>
                  <m:num>
                    <m:sSub>
                      <m:sSubPr>
                        <m:ctrlPr>
                          <w:rPr>
                            <w:rFonts w:ascii="Cambria Math" w:eastAsiaTheme="minorEastAsia" w:hAnsi="Cambria Math"/>
                            <w:b w:val="0"/>
                            <w:bCs w:val="0"/>
                            <w:i/>
                          </w:rPr>
                        </m:ctrlPr>
                      </m:sSubPr>
                      <m:e>
                        <m:r>
                          <m:rPr>
                            <m:sty m:val="bi"/>
                          </m:rPr>
                          <w:rPr>
                            <w:rFonts w:ascii="Cambria Math" w:eastAsiaTheme="minorEastAsia" w:hAnsi="Cambria Math"/>
                          </w:rPr>
                          <m:t>D</m:t>
                        </m:r>
                      </m:e>
                      <m:sub>
                        <m:r>
                          <m:rPr>
                            <m:sty m:val="bi"/>
                          </m:rPr>
                          <w:rPr>
                            <w:rFonts w:ascii="Cambria Math" w:eastAsiaTheme="minorEastAsia" w:hAnsi="Cambria Math"/>
                          </w:rPr>
                          <m:t>m</m:t>
                        </m:r>
                      </m:sub>
                    </m:sSub>
                  </m:num>
                  <m:den>
                    <m:r>
                      <m:rPr>
                        <m:sty m:val="bi"/>
                      </m:rPr>
                      <w:rPr>
                        <w:rFonts w:ascii="Cambria Math" w:eastAsiaTheme="minorEastAsia" w:hAnsi="Cambria Math"/>
                      </w:rPr>
                      <m:t>V</m:t>
                    </m:r>
                  </m:den>
                </m:f>
              </m:oMath>
            </m:oMathPara>
          </w:p>
          <w:p w14:paraId="1F2D06FC" w14:textId="77777777" w:rsidR="00AA211D" w:rsidRDefault="00AA211D" w:rsidP="00AA211D">
            <w:pPr>
              <w:jc w:val="both"/>
              <w:rPr>
                <w:rFonts w:ascii="Bookman Old Style" w:eastAsiaTheme="minorEastAsia" w:hAnsi="Bookman Old Style"/>
              </w:rPr>
            </w:pPr>
          </w:p>
        </w:tc>
      </w:tr>
    </w:tbl>
    <w:p w14:paraId="5329304B" w14:textId="77777777" w:rsidR="00AA211D" w:rsidRDefault="00AA211D" w:rsidP="00AA211D">
      <w:pPr>
        <w:spacing w:after="0" w:line="240" w:lineRule="auto"/>
        <w:jc w:val="both"/>
        <w:rPr>
          <w:rFonts w:ascii="Bookman Old Style" w:eastAsiaTheme="minorEastAsia" w:hAnsi="Bookman Old Style"/>
        </w:rPr>
      </w:pPr>
    </w:p>
    <w:p w14:paraId="3814524E" w14:textId="27AD7F07" w:rsidR="00AA211D" w:rsidRDefault="00AA211D" w:rsidP="00AA211D">
      <w:pPr>
        <w:spacing w:after="0" w:line="240" w:lineRule="auto"/>
        <w:jc w:val="both"/>
        <w:rPr>
          <w:rFonts w:ascii="Bookman Old Style" w:eastAsiaTheme="minorEastAsia" w:hAnsi="Bookman Old Style"/>
        </w:rPr>
      </w:pPr>
      <w:r>
        <w:rPr>
          <w:rFonts w:ascii="Bookman Old Style" w:eastAsiaTheme="minorEastAsia" w:hAnsi="Bookman Old Style"/>
        </w:rPr>
        <w:t>These percentages can be interpreted just like portfolio weights</w:t>
      </w:r>
      <w:r w:rsidR="00A1012D">
        <w:rPr>
          <w:rFonts w:ascii="Bookman Old Style" w:eastAsiaTheme="minorEastAsia" w:hAnsi="Bookman Old Style"/>
        </w:rPr>
        <w:t xml:space="preserve"> and they’re often called the capital structure weights.</w:t>
      </w:r>
    </w:p>
    <w:p w14:paraId="7F8EE328" w14:textId="77777777" w:rsidR="00A1012D" w:rsidRDefault="00A1012D" w:rsidP="00AA211D">
      <w:pPr>
        <w:spacing w:after="0" w:line="240" w:lineRule="auto"/>
        <w:jc w:val="both"/>
        <w:rPr>
          <w:rFonts w:ascii="Bookman Old Style" w:eastAsiaTheme="minorEastAsia" w:hAnsi="Bookman Old Style"/>
        </w:rPr>
      </w:pPr>
    </w:p>
    <w:p w14:paraId="45EEEF02" w14:textId="7A53F3CB" w:rsidR="00A1012D" w:rsidRDefault="00A1012D" w:rsidP="00AA211D">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1BCAB4F" w14:textId="23DBF89F" w:rsidR="00A1012D" w:rsidRDefault="00A1012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If the total market value of a company’s stock was calculated as $200 million and the total market value of the company’s debt was calculated as $50 million, the combined value would be $250 million. </w:t>
      </w:r>
    </w:p>
    <w:p w14:paraId="48DDB138" w14:textId="77777777" w:rsidR="00A1012D" w:rsidRDefault="00A1012D" w:rsidP="00AA211D">
      <w:pPr>
        <w:spacing w:after="0" w:line="240" w:lineRule="auto"/>
        <w:jc w:val="both"/>
        <w:rPr>
          <w:rFonts w:ascii="Bookman Old Style" w:eastAsiaTheme="minorEastAsia" w:hAnsi="Bookman Old Style"/>
        </w:rPr>
      </w:pPr>
    </w:p>
    <w:p w14:paraId="7BE499CA" w14:textId="5DA293D8" w:rsidR="00A1012D" w:rsidRDefault="00A1012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Of this total, </w:t>
      </w:r>
      <w:r w:rsidRPr="00A1012D">
        <w:rPr>
          <w:rFonts w:ascii="Bookman Old Style" w:eastAsiaTheme="minorEastAsia" w:hAnsi="Bookman Old Style"/>
          <w:i/>
        </w:rPr>
        <w:t>E/V</w:t>
      </w:r>
      <w:r>
        <w:rPr>
          <w:rFonts w:ascii="Bookman Old Style" w:eastAsiaTheme="minorEastAsia" w:hAnsi="Bookman Old Style"/>
        </w:rPr>
        <w:t xml:space="preserve"> = $200/$250 = 80%, so 80% of the firm’s financing is equity and the remaining 20% is debt.</w:t>
      </w:r>
    </w:p>
    <w:p w14:paraId="15AB09C5" w14:textId="79D0E318" w:rsidR="00A1012D" w:rsidRDefault="00A1012D" w:rsidP="00AA211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correct way to proceed is to use the market values of the debt &amp; equity. This is because market values measure management’s success in achieving its goal: maximizing shareholder wealth.</w:t>
      </w:r>
    </w:p>
    <w:p w14:paraId="75708CA7" w14:textId="77777777" w:rsidR="00A1012D" w:rsidRDefault="00A1012D" w:rsidP="00AA211D">
      <w:pPr>
        <w:spacing w:after="0" w:line="240" w:lineRule="auto"/>
        <w:jc w:val="both"/>
        <w:rPr>
          <w:rFonts w:ascii="Bookman Old Style" w:eastAsiaTheme="minorEastAsia" w:hAnsi="Bookman Old Style"/>
        </w:rPr>
      </w:pPr>
    </w:p>
    <w:p w14:paraId="5DA4F672" w14:textId="0DC08F12" w:rsidR="00A1012D" w:rsidRDefault="00A1012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In certain circumstances, like a privately owned company, it might not be possible to get reliable estimates of these quantities. Even for publicly traded firms, market value weights may fluctuate significantly so that the </w:t>
      </w:r>
      <w:r>
        <w:rPr>
          <w:rFonts w:ascii="Bookman Old Style" w:eastAsiaTheme="minorEastAsia" w:hAnsi="Bookman Old Style"/>
          <w:b/>
        </w:rPr>
        <w:t>weighted average cost of capital (WACC)</w:t>
      </w:r>
      <w:r>
        <w:rPr>
          <w:rFonts w:ascii="Bookman Old Style" w:eastAsiaTheme="minorEastAsia" w:hAnsi="Bookman Old Style"/>
        </w:rPr>
        <w:t xml:space="preserve"> is another number by the time a weekend is over.</w:t>
      </w:r>
    </w:p>
    <w:p w14:paraId="25036182" w14:textId="77777777" w:rsidR="00A1012D" w:rsidRDefault="00A1012D" w:rsidP="00AA211D">
      <w:pPr>
        <w:spacing w:after="0" w:line="240" w:lineRule="auto"/>
        <w:jc w:val="both"/>
        <w:rPr>
          <w:rFonts w:ascii="Bookman Old Style" w:eastAsiaTheme="minorEastAsia" w:hAnsi="Bookman Old Style"/>
        </w:rPr>
      </w:pPr>
    </w:p>
    <w:p w14:paraId="2F3D6D06" w14:textId="6F0E10DA" w:rsidR="00A1012D" w:rsidRDefault="00A1012D" w:rsidP="00AA211D">
      <w:pPr>
        <w:spacing w:after="0" w:line="240" w:lineRule="auto"/>
        <w:jc w:val="both"/>
        <w:rPr>
          <w:rFonts w:ascii="Bookman Old Style" w:eastAsiaTheme="minorEastAsia" w:hAnsi="Bookman Old Style"/>
        </w:rPr>
      </w:pPr>
      <w:r>
        <w:rPr>
          <w:rFonts w:ascii="Bookman Old Style" w:eastAsiaTheme="minorEastAsia" w:hAnsi="Bookman Old Style"/>
        </w:rPr>
        <w:t>Because practitioners encounter some of these problems in computing WACC using market value weights, book values are usually the better alternative when market values aren’t readily available.</w:t>
      </w:r>
    </w:p>
    <w:p w14:paraId="22353A66" w14:textId="77777777" w:rsidR="00A1012D" w:rsidRDefault="00A1012D" w:rsidP="00AA211D">
      <w:pPr>
        <w:spacing w:after="0" w:line="240" w:lineRule="auto"/>
        <w:jc w:val="both"/>
        <w:rPr>
          <w:rFonts w:ascii="Bookman Old Style" w:eastAsiaTheme="minorEastAsia" w:hAnsi="Bookman Old Style"/>
        </w:rPr>
      </w:pPr>
    </w:p>
    <w:p w14:paraId="09A96513" w14:textId="77777777" w:rsidR="00A1012D" w:rsidRPr="00A1012D" w:rsidRDefault="00A1012D" w:rsidP="00AA211D">
      <w:pPr>
        <w:spacing w:after="0" w:line="240" w:lineRule="auto"/>
        <w:jc w:val="both"/>
        <w:rPr>
          <w:rFonts w:ascii="Bookman Old Style" w:eastAsiaTheme="minorEastAsia" w:hAnsi="Bookman Old Style"/>
        </w:rPr>
      </w:pPr>
    </w:p>
    <w:p w14:paraId="410EB809" w14:textId="67A37ECD" w:rsidR="00A1012D" w:rsidRDefault="006F3F5D" w:rsidP="00AA211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TAXES &amp; THE WEIGHTED AVERAGE COST OF CAPITAL</w:t>
      </w:r>
    </w:p>
    <w:p w14:paraId="6D7975A7" w14:textId="0F5BE007" w:rsidR="006F3F5D" w:rsidRDefault="006F3F5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The preceding result that we got was the unadjusted WACC because we didn’t consider the taxes. We’re </w:t>
      </w:r>
      <w:r>
        <w:rPr>
          <w:rFonts w:ascii="Bookman Old Style" w:eastAsiaTheme="minorEastAsia" w:hAnsi="Bookman Old Style"/>
          <w:u w:val="single"/>
        </w:rPr>
        <w:t>always</w:t>
      </w:r>
      <w:r>
        <w:rPr>
          <w:rFonts w:ascii="Bookman Old Style" w:eastAsiaTheme="minorEastAsia" w:hAnsi="Bookman Old Style"/>
        </w:rPr>
        <w:t xml:space="preserve"> concerned with after-tax cash flows.</w:t>
      </w:r>
    </w:p>
    <w:p w14:paraId="7BAF4E4D" w14:textId="77777777" w:rsidR="006F3F5D" w:rsidRDefault="006F3F5D" w:rsidP="00AA211D">
      <w:pPr>
        <w:spacing w:after="0" w:line="240" w:lineRule="auto"/>
        <w:jc w:val="both"/>
        <w:rPr>
          <w:rFonts w:ascii="Bookman Old Style" w:eastAsiaTheme="minorEastAsia" w:hAnsi="Bookman Old Style"/>
        </w:rPr>
      </w:pPr>
    </w:p>
    <w:p w14:paraId="52AE305A" w14:textId="7C214533" w:rsidR="006F3F5D" w:rsidRDefault="006F3F5D" w:rsidP="00AA211D">
      <w:pPr>
        <w:spacing w:after="0" w:line="240" w:lineRule="auto"/>
        <w:jc w:val="both"/>
        <w:rPr>
          <w:rFonts w:ascii="Bookman Old Style" w:eastAsiaTheme="minorEastAsia" w:hAnsi="Bookman Old Style"/>
        </w:rPr>
      </w:pPr>
      <w:r>
        <w:rPr>
          <w:rFonts w:ascii="Bookman Old Style" w:eastAsiaTheme="minorEastAsia" w:hAnsi="Bookman Old Style"/>
        </w:rPr>
        <w:t>If we’re determining the discount rate appropriate to those cash flows, the discount rate also needs to be expressed on an after-tax basis.</w:t>
      </w:r>
    </w:p>
    <w:p w14:paraId="4F78BC17" w14:textId="77777777" w:rsidR="006F3F5D" w:rsidRDefault="006F3F5D" w:rsidP="00AA211D">
      <w:pPr>
        <w:spacing w:after="0" w:line="240" w:lineRule="auto"/>
        <w:jc w:val="both"/>
        <w:rPr>
          <w:rFonts w:ascii="Bookman Old Style" w:eastAsiaTheme="minorEastAsia" w:hAnsi="Bookman Old Style"/>
        </w:rPr>
      </w:pPr>
    </w:p>
    <w:p w14:paraId="2368B2CF" w14:textId="5E213485" w:rsidR="006F3F5D" w:rsidRDefault="006F3F5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Remember </w:t>
      </w:r>
      <w:r w:rsidRPr="006F3F5D">
        <w:rPr>
          <w:rFonts w:ascii="Bookman Old Style" w:eastAsiaTheme="minorEastAsia" w:hAnsi="Bookman Old Style"/>
        </w:rPr>
        <w:sym w:font="Wingdings" w:char="F0E0"/>
      </w:r>
      <w:r>
        <w:rPr>
          <w:rFonts w:ascii="Bookman Old Style" w:eastAsiaTheme="minorEastAsia" w:hAnsi="Bookman Old Style"/>
        </w:rPr>
        <w:t xml:space="preserve"> </w:t>
      </w:r>
      <w:r>
        <w:rPr>
          <w:rFonts w:ascii="Bookman Old Style" w:eastAsiaTheme="minorEastAsia" w:hAnsi="Bookman Old Style"/>
        </w:rPr>
        <w:tab/>
        <w:t>Interest paid by a corporation is deductible for tax purposes.</w:t>
      </w:r>
    </w:p>
    <w:p w14:paraId="60044291" w14:textId="60553D21" w:rsidR="006F3F5D" w:rsidRDefault="006F3F5D" w:rsidP="00AA211D">
      <w:pPr>
        <w:spacing w:after="0" w:line="240" w:lineRule="auto"/>
        <w:jc w:val="both"/>
        <w:rPr>
          <w:rFonts w:ascii="Bookman Old Style" w:eastAsiaTheme="minorEastAsia" w:hAnsi="Bookman Old Style"/>
          <w:u w:val="single"/>
        </w:rPr>
      </w:pPr>
      <w:r>
        <w:rPr>
          <w:rFonts w:ascii="Bookman Old Style" w:eastAsiaTheme="minorEastAsia" w:hAnsi="Bookman Old Style"/>
        </w:rPr>
        <w:tab/>
      </w:r>
      <w:r>
        <w:rPr>
          <w:rFonts w:ascii="Bookman Old Style" w:eastAsiaTheme="minorEastAsia" w:hAnsi="Bookman Old Style"/>
        </w:rPr>
        <w:tab/>
      </w:r>
      <w:r>
        <w:rPr>
          <w:rFonts w:ascii="Bookman Old Style" w:eastAsiaTheme="minorEastAsia" w:hAnsi="Bookman Old Style"/>
        </w:rPr>
        <w:tab/>
        <w:t xml:space="preserve">Dividends to shareholders </w:t>
      </w:r>
      <w:r>
        <w:rPr>
          <w:rFonts w:ascii="Bookman Old Style" w:eastAsiaTheme="minorEastAsia" w:hAnsi="Bookman Old Style"/>
          <w:u w:val="single"/>
        </w:rPr>
        <w:t>are not</w:t>
      </w:r>
    </w:p>
    <w:p w14:paraId="41170CE1" w14:textId="77777777" w:rsidR="006F3F5D" w:rsidRDefault="006F3F5D" w:rsidP="00AA211D">
      <w:pPr>
        <w:spacing w:after="0" w:line="240" w:lineRule="auto"/>
        <w:jc w:val="both"/>
        <w:rPr>
          <w:rFonts w:ascii="Bookman Old Style" w:eastAsiaTheme="minorEastAsia" w:hAnsi="Bookman Old Style"/>
          <w:u w:val="single"/>
        </w:rPr>
      </w:pPr>
    </w:p>
    <w:p w14:paraId="2A6EEA5A" w14:textId="23966D21" w:rsidR="006F3F5D" w:rsidRDefault="006F3F5D" w:rsidP="00AA211D">
      <w:pPr>
        <w:spacing w:after="0" w:line="240" w:lineRule="auto"/>
        <w:jc w:val="both"/>
        <w:rPr>
          <w:rFonts w:ascii="Bookman Old Style" w:eastAsiaTheme="minorEastAsia" w:hAnsi="Bookman Old Style"/>
        </w:rPr>
      </w:pPr>
      <w:r w:rsidRPr="006F3F5D">
        <w:rPr>
          <w:rFonts w:ascii="Bookman Old Style" w:eastAsiaTheme="minorEastAsia" w:hAnsi="Bookman Old Style"/>
        </w:rPr>
        <w:t>This mean</w:t>
      </w:r>
      <w:r>
        <w:rPr>
          <w:rFonts w:ascii="Bookman Old Style" w:eastAsiaTheme="minorEastAsia" w:hAnsi="Bookman Old Style"/>
        </w:rPr>
        <w:t>s that basically the government pays some of the interest provided the firm expects to have positive taxable income. So in determining an after-tax discount, we have to distinguish between the pre-tax and the after-tax cost of debt.</w:t>
      </w:r>
    </w:p>
    <w:p w14:paraId="69169D1E" w14:textId="77777777" w:rsidR="006F3F5D" w:rsidRDefault="006F3F5D" w:rsidP="00AA211D">
      <w:pPr>
        <w:spacing w:after="0" w:line="240" w:lineRule="auto"/>
        <w:jc w:val="both"/>
        <w:rPr>
          <w:rFonts w:ascii="Bookman Old Style" w:eastAsiaTheme="minorEastAsia" w:hAnsi="Bookman Old Style"/>
        </w:rPr>
      </w:pPr>
    </w:p>
    <w:p w14:paraId="5CE54DAC" w14:textId="63E1B2A6" w:rsidR="006F3F5D" w:rsidRDefault="006F3F5D" w:rsidP="00AA211D">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648F6B1C" w14:textId="2788F6C2" w:rsidR="006F3F5D" w:rsidRDefault="006F3F5D" w:rsidP="00AA211D">
      <w:pPr>
        <w:spacing w:after="0" w:line="240" w:lineRule="auto"/>
        <w:jc w:val="both"/>
        <w:rPr>
          <w:rFonts w:ascii="Bookman Old Style" w:eastAsiaTheme="minorEastAsia" w:hAnsi="Bookman Old Style"/>
        </w:rPr>
      </w:pPr>
      <w:r>
        <w:rPr>
          <w:rFonts w:ascii="Bookman Old Style" w:eastAsiaTheme="minorEastAsia" w:hAnsi="Bookman Old Style"/>
        </w:rPr>
        <w:t>A firm borrows $1 million at 9% interest.</w:t>
      </w:r>
    </w:p>
    <w:p w14:paraId="6D0D0515" w14:textId="2B0E5007" w:rsidR="006F3F5D" w:rsidRDefault="006F3F5D" w:rsidP="00AA211D">
      <w:pPr>
        <w:spacing w:after="0" w:line="240" w:lineRule="auto"/>
        <w:jc w:val="both"/>
        <w:rPr>
          <w:rFonts w:ascii="Bookman Old Style" w:eastAsiaTheme="minorEastAsia" w:hAnsi="Bookman Old Style"/>
        </w:rPr>
      </w:pPr>
      <w:r>
        <w:rPr>
          <w:rFonts w:ascii="Bookman Old Style" w:eastAsiaTheme="minorEastAsia" w:hAnsi="Bookman Old Style"/>
        </w:rPr>
        <w:t xml:space="preserve">The corporate tax rate </w:t>
      </w:r>
      <w:r w:rsidR="0043637F">
        <w:rPr>
          <w:rFonts w:ascii="Bookman Old Style" w:eastAsiaTheme="minorEastAsia" w:hAnsi="Bookman Old Style"/>
        </w:rPr>
        <w:t>is 40%</w:t>
      </w:r>
    </w:p>
    <w:p w14:paraId="3F8D4EA1" w14:textId="67D5B447" w:rsidR="0043637F" w:rsidRDefault="0043637F" w:rsidP="00AA211D">
      <w:pPr>
        <w:spacing w:after="0" w:line="240" w:lineRule="auto"/>
        <w:jc w:val="both"/>
        <w:rPr>
          <w:rFonts w:ascii="Bookman Old Style" w:eastAsiaTheme="minorEastAsia" w:hAnsi="Bookman Old Style"/>
        </w:rPr>
      </w:pPr>
      <w:r>
        <w:rPr>
          <w:rFonts w:ascii="Bookman Old Style" w:eastAsiaTheme="minorEastAsia" w:hAnsi="Bookman Old Style"/>
        </w:rPr>
        <w:t>What’s the after-tax interest rate on this loan?</w:t>
      </w:r>
    </w:p>
    <w:p w14:paraId="2CEE7D7D" w14:textId="77777777" w:rsidR="0043637F" w:rsidRDefault="0043637F" w:rsidP="00AA211D">
      <w:pPr>
        <w:spacing w:after="0" w:line="240" w:lineRule="auto"/>
        <w:jc w:val="both"/>
        <w:rPr>
          <w:rFonts w:ascii="Bookman Old Style" w:eastAsiaTheme="minorEastAsia" w:hAnsi="Bookman Old Style"/>
        </w:rPr>
      </w:pPr>
    </w:p>
    <w:p w14:paraId="42422E68" w14:textId="5E2097DE" w:rsidR="0043637F" w:rsidRDefault="0043637F" w:rsidP="00AA211D">
      <w:pPr>
        <w:spacing w:after="0" w:line="240" w:lineRule="auto"/>
        <w:jc w:val="both"/>
        <w:rPr>
          <w:rFonts w:ascii="Bookman Old Style" w:eastAsiaTheme="minorEastAsia" w:hAnsi="Bookman Old Style"/>
        </w:rPr>
      </w:pPr>
      <w:r>
        <w:rPr>
          <w:rFonts w:ascii="Bookman Old Style" w:eastAsiaTheme="minorEastAsia" w:hAnsi="Bookman Old Style"/>
        </w:rPr>
        <w:t>The total interest bill would be $90,000 per year – this amount is tax deductible. So the $90,000 interest reduces our tax bill by 40% * $90,000 = $36,000</w:t>
      </w:r>
    </w:p>
    <w:p w14:paraId="25FFB71D" w14:textId="77777777" w:rsidR="0043637F" w:rsidRDefault="0043637F" w:rsidP="00AA211D">
      <w:pPr>
        <w:spacing w:after="0" w:line="240" w:lineRule="auto"/>
        <w:jc w:val="both"/>
        <w:rPr>
          <w:rFonts w:ascii="Bookman Old Style" w:eastAsiaTheme="minorEastAsia" w:hAnsi="Bookman Old Style"/>
        </w:rPr>
      </w:pPr>
    </w:p>
    <w:p w14:paraId="236F12AA" w14:textId="772BD6A0" w:rsidR="0043637F" w:rsidRDefault="0043637F" w:rsidP="00AA211D">
      <w:pPr>
        <w:spacing w:after="0" w:line="240" w:lineRule="auto"/>
        <w:jc w:val="both"/>
        <w:rPr>
          <w:rFonts w:ascii="Bookman Old Style" w:eastAsiaTheme="minorEastAsia" w:hAnsi="Bookman Old Style"/>
        </w:rPr>
      </w:pPr>
      <w:r>
        <w:rPr>
          <w:rFonts w:ascii="Bookman Old Style" w:eastAsiaTheme="minorEastAsia" w:hAnsi="Bookman Old Style"/>
        </w:rPr>
        <w:t>The after-tax interest bill is therefore $90,000 - $36,000 = $54,000</w:t>
      </w:r>
    </w:p>
    <w:p w14:paraId="0C720740" w14:textId="77777777" w:rsidR="0043637F" w:rsidRDefault="0043637F" w:rsidP="00AA211D">
      <w:pPr>
        <w:spacing w:after="0" w:line="240" w:lineRule="auto"/>
        <w:jc w:val="both"/>
        <w:rPr>
          <w:rFonts w:ascii="Bookman Old Style" w:eastAsiaTheme="minorEastAsia" w:hAnsi="Bookman Old Style"/>
        </w:rPr>
      </w:pPr>
    </w:p>
    <w:p w14:paraId="0D8CD49B" w14:textId="70E708B2" w:rsidR="0043637F" w:rsidRDefault="0043637F" w:rsidP="00AA211D">
      <w:pPr>
        <w:spacing w:after="0" w:line="240" w:lineRule="auto"/>
        <w:jc w:val="both"/>
        <w:rPr>
          <w:rFonts w:ascii="Bookman Old Style" w:eastAsiaTheme="minorEastAsia" w:hAnsi="Bookman Old Style"/>
        </w:rPr>
      </w:pPr>
      <w:r>
        <w:rPr>
          <w:rFonts w:ascii="Bookman Old Style" w:eastAsiaTheme="minorEastAsia" w:hAnsi="Bookman Old Style"/>
        </w:rPr>
        <w:t>The after-tax interest rate is $54,000/$1 million = 5.4%</w:t>
      </w:r>
    </w:p>
    <w:p w14:paraId="68E33EA4" w14:textId="77777777" w:rsidR="0043637F" w:rsidRDefault="0043637F" w:rsidP="00AA211D">
      <w:pPr>
        <w:spacing w:after="0" w:line="240" w:lineRule="auto"/>
        <w:jc w:val="both"/>
        <w:rPr>
          <w:rFonts w:ascii="Bookman Old Style" w:eastAsiaTheme="minorEastAsia" w:hAnsi="Bookman Old Style"/>
        </w:rPr>
      </w:pPr>
    </w:p>
    <w:p w14:paraId="6A457CD0" w14:textId="5F1A717B" w:rsidR="0043637F" w:rsidRDefault="0043637F" w:rsidP="00AA211D">
      <w:pPr>
        <w:spacing w:after="0" w:line="240" w:lineRule="auto"/>
        <w:jc w:val="both"/>
        <w:rPr>
          <w:rFonts w:ascii="Bookman Old Style" w:eastAsiaTheme="minorEastAsia" w:hAnsi="Bookman Old Style"/>
        </w:rPr>
      </w:pPr>
      <w:r>
        <w:rPr>
          <w:rFonts w:ascii="Bookman Old Style" w:eastAsiaTheme="minorEastAsia" w:hAnsi="Bookman Old Style"/>
        </w:rPr>
        <w:t>Generally, the after-tax interest rate is simply equal to the pre-tax rate multiplied by one minus the tax rate. For example, using the numbers above, we find that the after-tax interest rate is:</w:t>
      </w:r>
    </w:p>
    <w:p w14:paraId="148052AE" w14:textId="07631314" w:rsidR="0043637F" w:rsidRDefault="0043637F" w:rsidP="0043637F">
      <w:pPr>
        <w:spacing w:after="0" w:line="240" w:lineRule="auto"/>
        <w:jc w:val="center"/>
        <w:rPr>
          <w:rFonts w:ascii="Bookman Old Style" w:eastAsiaTheme="minorEastAsia" w:hAnsi="Bookman Old Style"/>
        </w:rPr>
      </w:pPr>
      <w:r>
        <w:rPr>
          <w:rFonts w:ascii="Bookman Old Style" w:eastAsiaTheme="minorEastAsia" w:hAnsi="Bookman Old Style"/>
        </w:rPr>
        <w:t>9% * (1 – 0.40) = 5.4%</w:t>
      </w:r>
    </w:p>
    <w:p w14:paraId="7EDF9B9C" w14:textId="77777777" w:rsidR="0043637F" w:rsidRDefault="0043637F" w:rsidP="0043637F">
      <w:pPr>
        <w:spacing w:after="0" w:line="240" w:lineRule="auto"/>
        <w:jc w:val="center"/>
        <w:rPr>
          <w:rFonts w:ascii="Bookman Old Style" w:eastAsiaTheme="minorEastAsia" w:hAnsi="Bookman Old Style"/>
        </w:rPr>
      </w:pPr>
    </w:p>
    <w:p w14:paraId="74DF8D9F" w14:textId="2475A611" w:rsidR="0043637F" w:rsidRDefault="0043637F" w:rsidP="0043637F">
      <w:pPr>
        <w:spacing w:after="0" w:line="240" w:lineRule="auto"/>
        <w:jc w:val="both"/>
        <w:rPr>
          <w:rFonts w:ascii="Bookman Old Style" w:eastAsiaTheme="minorEastAsia" w:hAnsi="Bookman Old Style"/>
        </w:rPr>
      </w:pPr>
      <w:r>
        <w:rPr>
          <w:rFonts w:ascii="Bookman Old Style" w:eastAsiaTheme="minorEastAsia" w:hAnsi="Bookman Old Style"/>
        </w:rPr>
        <w:t>We use the following symbols in our next equation:</w:t>
      </w:r>
    </w:p>
    <w:p w14:paraId="306EC483" w14:textId="7EC76544" w:rsidR="0043637F" w:rsidRDefault="00E741F7" w:rsidP="0043637F">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0043637F">
        <w:rPr>
          <w:rFonts w:ascii="Bookman Old Style" w:eastAsiaTheme="minorEastAsia" w:hAnsi="Bookman Old Style"/>
        </w:rPr>
        <w:t xml:space="preserve"> = Corporate tax rate</w:t>
      </w:r>
    </w:p>
    <w:p w14:paraId="1576848A" w14:textId="384E3962" w:rsidR="0043637F" w:rsidRDefault="00E741F7" w:rsidP="0043637F">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oMath>
      <w:r w:rsidR="0043637F">
        <w:rPr>
          <w:rFonts w:ascii="Bookman Old Style" w:eastAsiaTheme="minorEastAsia" w:hAnsi="Bookman Old Style"/>
        </w:rPr>
        <w:t xml:space="preserve"> = After-tax rate used in WACC calculation</w:t>
      </w:r>
    </w:p>
    <w:p w14:paraId="3F490360" w14:textId="77777777" w:rsidR="0043637F" w:rsidRDefault="0043637F" w:rsidP="0043637F">
      <w:pPr>
        <w:spacing w:after="0" w:line="240" w:lineRule="auto"/>
        <w:jc w:val="both"/>
        <w:rPr>
          <w:rFonts w:ascii="Bookman Old Style" w:eastAsiaTheme="minorEastAsia" w:hAnsi="Bookman Old Style"/>
        </w:rPr>
      </w:pPr>
    </w:p>
    <w:p w14:paraId="6361BC76" w14:textId="0406087B" w:rsidR="0043637F" w:rsidRDefault="0043637F" w:rsidP="0043637F">
      <w:pPr>
        <w:spacing w:after="0" w:line="240" w:lineRule="auto"/>
        <w:jc w:val="both"/>
        <w:rPr>
          <w:rFonts w:ascii="Bookman Old Style" w:eastAsiaTheme="minorEastAsia" w:hAnsi="Bookman Old Style"/>
        </w:rPr>
      </w:pPr>
      <w:r>
        <w:rPr>
          <w:rFonts w:ascii="Bookman Old Style" w:eastAsiaTheme="minorEastAsia" w:hAnsi="Bookman Old Style"/>
        </w:rPr>
        <w:t>So once we consider the effect of taxes, the WACC is:</w:t>
      </w:r>
    </w:p>
    <w:tbl>
      <w:tblPr>
        <w:tblStyle w:val="MediumGrid1-Accent4"/>
        <w:tblW w:w="0" w:type="auto"/>
        <w:jc w:val="center"/>
        <w:tblInd w:w="4928" w:type="dxa"/>
        <w:tblLook w:val="04A0" w:firstRow="1" w:lastRow="0" w:firstColumn="1" w:lastColumn="0" w:noHBand="0" w:noVBand="1"/>
      </w:tblPr>
      <w:tblGrid>
        <w:gridCol w:w="4648"/>
      </w:tblGrid>
      <w:tr w:rsidR="0043637F" w14:paraId="1AEDFBDE" w14:textId="77777777" w:rsidTr="0043637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48" w:type="dxa"/>
          </w:tcPr>
          <w:p w14:paraId="36E44638" w14:textId="63072CB8" w:rsidR="0043637F" w:rsidRDefault="0043637F" w:rsidP="0043637F">
            <w:pPr>
              <w:jc w:val="both"/>
              <w:rPr>
                <w:rFonts w:ascii="Bookman Old Style" w:eastAsiaTheme="minorEastAsia" w:hAnsi="Bookman Old Style"/>
              </w:rPr>
            </w:pPr>
          </w:p>
          <w:p w14:paraId="76800B21" w14:textId="77777777" w:rsidR="0043637F" w:rsidRDefault="0043637F" w:rsidP="0043637F">
            <w:pPr>
              <w:jc w:val="center"/>
              <w:rPr>
                <w:rFonts w:ascii="Bookman Old Style" w:eastAsiaTheme="minorEastAsia" w:hAnsi="Bookman Old Style"/>
              </w:rPr>
            </w:pPr>
            <w:r>
              <w:rPr>
                <w:rFonts w:ascii="Bookman Old Style" w:eastAsiaTheme="minorEastAsia" w:hAnsi="Bookman Old Style"/>
              </w:rPr>
              <w:t>After-Tax WACC</w:t>
            </w:r>
          </w:p>
          <w:p w14:paraId="2937F6E3" w14:textId="77777777" w:rsidR="0043637F" w:rsidRDefault="0043637F" w:rsidP="0043637F">
            <w:pPr>
              <w:jc w:val="both"/>
              <w:rPr>
                <w:rFonts w:ascii="Bookman Old Style" w:eastAsiaTheme="minorEastAsia" w:hAnsi="Bookman Old Style"/>
              </w:rPr>
            </w:pPr>
          </w:p>
          <w:p w14:paraId="254B68E9" w14:textId="66E0FB40" w:rsidR="0043637F" w:rsidRPr="0043637F" w:rsidRDefault="00E741F7" w:rsidP="0043637F">
            <w:pPr>
              <w:jc w:val="both"/>
              <w:rPr>
                <w:rFonts w:ascii="Bookman Old Style" w:eastAsiaTheme="minorEastAsia" w:hAnsi="Bookman Old Style"/>
              </w:rPr>
            </w:pPr>
            <m:oMathPara>
              <m:oMath>
                <m:d>
                  <m:dPr>
                    <m:ctrlPr>
                      <w:rPr>
                        <w:rFonts w:ascii="Cambria Math" w:eastAsiaTheme="minorEastAsia" w:hAnsi="Cambria Math"/>
                        <w:i/>
                      </w:rPr>
                    </m:ctrlPr>
                  </m:dPr>
                  <m:e>
                    <m:f>
                      <m:fPr>
                        <m:ctrlPr>
                          <w:rPr>
                            <w:rFonts w:ascii="Cambria Math" w:eastAsiaTheme="minorEastAsia" w:hAnsi="Cambria Math"/>
                            <w:i/>
                          </w:rPr>
                        </m:ctrlPr>
                      </m:fPr>
                      <m:num>
                        <m:r>
                          <m:rPr>
                            <m:sty m:val="bi"/>
                          </m:rPr>
                          <w:rPr>
                            <w:rFonts w:ascii="Cambria Math" w:eastAsiaTheme="minorEastAsia" w:hAnsi="Cambria Math"/>
                          </w:rPr>
                          <m:t>E</m:t>
                        </m:r>
                      </m:num>
                      <m:den>
                        <m:r>
                          <m:rPr>
                            <m:sty m:val="bi"/>
                          </m:rPr>
                          <w:rPr>
                            <w:rFonts w:ascii="Cambria Math" w:eastAsiaTheme="minorEastAsia" w:hAnsi="Cambria Math"/>
                          </w:rPr>
                          <m:t>V</m:t>
                        </m:r>
                      </m:den>
                    </m:f>
                  </m:e>
                </m:d>
                <m:r>
                  <m:rPr>
                    <m:sty m:val="bi"/>
                  </m:rPr>
                  <w:rPr>
                    <w:rFonts w:ascii="Cambria Math" w:eastAsiaTheme="minorEastAsia" w:hAnsi="Cambria Math"/>
                  </w:rPr>
                  <m:t>*</m:t>
                </m:r>
                <m:sSub>
                  <m:sSubPr>
                    <m:ctrlPr>
                      <w:rPr>
                        <w:rFonts w:ascii="Cambria Math" w:eastAsiaTheme="minorEastAsia" w:hAnsi="Cambria Math"/>
                        <w:bCs w:val="0"/>
                        <w:i/>
                      </w:rPr>
                    </m:ctrlPr>
                  </m:sSubPr>
                  <m:e>
                    <m:r>
                      <m:rPr>
                        <m:sty m:val="bi"/>
                      </m:rPr>
                      <w:rPr>
                        <w:rFonts w:ascii="Cambria Math" w:eastAsiaTheme="minorEastAsia" w:hAnsi="Cambria Math"/>
                      </w:rPr>
                      <m:t>R</m:t>
                    </m:r>
                  </m:e>
                  <m:sub>
                    <m:r>
                      <m:rPr>
                        <m:sty m:val="bi"/>
                      </m:rPr>
                      <w:rPr>
                        <w:rFonts w:ascii="Cambria Math" w:eastAsiaTheme="minorEastAsia" w:hAnsi="Cambria Math"/>
                      </w:rPr>
                      <m:t>E</m:t>
                    </m:r>
                  </m:sub>
                </m:sSub>
                <m:r>
                  <m:rPr>
                    <m:sty m:val="bi"/>
                  </m:rP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m:rPr>
                            <m:sty m:val="bi"/>
                          </m:rPr>
                          <w:rPr>
                            <w:rFonts w:ascii="Cambria Math" w:eastAsiaTheme="minorEastAsia" w:hAnsi="Cambria Math"/>
                          </w:rPr>
                          <m:t>P</m:t>
                        </m:r>
                      </m:num>
                      <m:den>
                        <m:r>
                          <m:rPr>
                            <m:sty m:val="bi"/>
                          </m:rPr>
                          <w:rPr>
                            <w:rFonts w:ascii="Cambria Math" w:eastAsiaTheme="minorEastAsia" w:hAnsi="Cambria Math"/>
                          </w:rPr>
                          <m:t>V</m:t>
                        </m:r>
                      </m:den>
                    </m:f>
                  </m:e>
                </m:d>
                <m:r>
                  <m:rPr>
                    <m:sty m:val="bi"/>
                  </m:rPr>
                  <w:rPr>
                    <w:rFonts w:ascii="Cambria Math" w:eastAsiaTheme="minorEastAsia" w:hAnsi="Cambria Math"/>
                  </w:rPr>
                  <m:t>*</m:t>
                </m:r>
                <m:sSub>
                  <m:sSubPr>
                    <m:ctrlPr>
                      <w:rPr>
                        <w:rFonts w:ascii="Cambria Math" w:eastAsiaTheme="minorEastAsia" w:hAnsi="Cambria Math"/>
                        <w:bCs w:val="0"/>
                        <w:i/>
                      </w:rPr>
                    </m:ctrlPr>
                  </m:sSubPr>
                  <m:e>
                    <m:r>
                      <m:rPr>
                        <m:sty m:val="bi"/>
                      </m:rPr>
                      <w:rPr>
                        <w:rFonts w:ascii="Cambria Math" w:eastAsiaTheme="minorEastAsia" w:hAnsi="Cambria Math"/>
                      </w:rPr>
                      <m:t>R</m:t>
                    </m:r>
                  </m:e>
                  <m:sub>
                    <m:r>
                      <m:rPr>
                        <m:sty m:val="bi"/>
                      </m:rPr>
                      <w:rPr>
                        <w:rFonts w:ascii="Cambria Math" w:eastAsiaTheme="minorEastAsia" w:hAnsi="Cambria Math"/>
                      </w:rPr>
                      <m:t>P</m:t>
                    </m:r>
                  </m:sub>
                </m:sSub>
                <m:r>
                  <m:rPr>
                    <m:sty m:val="bi"/>
                  </m:rP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bCs w:val="0"/>
                                <w:i/>
                              </w:rPr>
                            </m:ctrlPr>
                          </m:sSubPr>
                          <m:e>
                            <m:r>
                              <m:rPr>
                                <m:sty m:val="bi"/>
                              </m:rPr>
                              <w:rPr>
                                <w:rFonts w:ascii="Cambria Math" w:eastAsiaTheme="minorEastAsia" w:hAnsi="Cambria Math"/>
                              </w:rPr>
                              <m:t>D</m:t>
                            </m:r>
                          </m:e>
                          <m:sub>
                            <m:r>
                              <m:rPr>
                                <m:sty m:val="bi"/>
                              </m:rPr>
                              <w:rPr>
                                <w:rFonts w:ascii="Cambria Math" w:eastAsiaTheme="minorEastAsia" w:hAnsi="Cambria Math"/>
                              </w:rPr>
                              <m:t>m</m:t>
                            </m:r>
                          </m:sub>
                        </m:sSub>
                      </m:num>
                      <m:den>
                        <m:r>
                          <m:rPr>
                            <m:sty m:val="bi"/>
                          </m:rPr>
                          <w:rPr>
                            <w:rFonts w:ascii="Cambria Math" w:eastAsiaTheme="minorEastAsia" w:hAnsi="Cambria Math"/>
                          </w:rPr>
                          <m:t>V</m:t>
                        </m:r>
                      </m:den>
                    </m:f>
                  </m:e>
                </m:d>
                <m:r>
                  <m:rPr>
                    <m:sty m:val="bi"/>
                  </m:rPr>
                  <w:rPr>
                    <w:rFonts w:ascii="Cambria Math" w:eastAsiaTheme="minorEastAsia" w:hAnsi="Cambria Math"/>
                  </w:rPr>
                  <m:t>*</m:t>
                </m:r>
                <m:sSub>
                  <m:sSubPr>
                    <m:ctrlPr>
                      <w:rPr>
                        <w:rFonts w:ascii="Cambria Math" w:eastAsiaTheme="minorEastAsia" w:hAnsi="Cambria Math"/>
                        <w:bCs w:val="0"/>
                        <w:i/>
                      </w:rPr>
                    </m:ctrlPr>
                  </m:sSubPr>
                  <m:e>
                    <m:r>
                      <m:rPr>
                        <m:sty m:val="bi"/>
                      </m:rPr>
                      <w:rPr>
                        <w:rFonts w:ascii="Cambria Math" w:eastAsiaTheme="minorEastAsia" w:hAnsi="Cambria Math"/>
                      </w:rPr>
                      <m:t>R</m:t>
                    </m:r>
                  </m:e>
                  <m:sub>
                    <m:r>
                      <m:rPr>
                        <m:sty m:val="bi"/>
                      </m:rPr>
                      <w:rPr>
                        <w:rFonts w:ascii="Cambria Math" w:eastAsiaTheme="minorEastAsia" w:hAnsi="Cambria Math"/>
                      </w:rPr>
                      <m:t>D</m:t>
                    </m:r>
                  </m:sub>
                </m:sSub>
                <m:r>
                  <m:rPr>
                    <m:sty m:val="bi"/>
                  </m:rPr>
                  <w:rPr>
                    <w:rFonts w:ascii="Cambria Math" w:eastAsiaTheme="minorEastAsia" w:hAnsi="Cambria Math"/>
                  </w:rPr>
                  <m:t>*(1-</m:t>
                </m:r>
                <m:sSub>
                  <m:sSubPr>
                    <m:ctrlPr>
                      <w:rPr>
                        <w:rFonts w:ascii="Cambria Math" w:eastAsiaTheme="minorEastAsia" w:hAnsi="Cambria Math"/>
                        <w:bCs w:val="0"/>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r>
                  <m:rPr>
                    <m:sty m:val="bi"/>
                  </m:rPr>
                  <w:rPr>
                    <w:rFonts w:ascii="Cambria Math" w:eastAsiaTheme="minorEastAsia" w:hAnsi="Cambria Math"/>
                  </w:rPr>
                  <m:t>)</m:t>
                </m:r>
              </m:oMath>
            </m:oMathPara>
          </w:p>
          <w:p w14:paraId="0FF3E6E8" w14:textId="77777777" w:rsidR="0043637F" w:rsidRDefault="0043637F" w:rsidP="0043637F">
            <w:pPr>
              <w:jc w:val="both"/>
              <w:rPr>
                <w:rFonts w:ascii="Bookman Old Style" w:eastAsiaTheme="minorEastAsia" w:hAnsi="Bookman Old Style"/>
              </w:rPr>
            </w:pPr>
          </w:p>
        </w:tc>
      </w:tr>
    </w:tbl>
    <w:p w14:paraId="2677B6EF" w14:textId="77777777" w:rsidR="0043637F" w:rsidRDefault="0043637F" w:rsidP="0043637F">
      <w:pPr>
        <w:spacing w:after="0" w:line="240" w:lineRule="auto"/>
        <w:jc w:val="both"/>
        <w:rPr>
          <w:rFonts w:ascii="Bookman Old Style" w:eastAsiaTheme="minorEastAsia" w:hAnsi="Bookman Old Style"/>
        </w:rPr>
      </w:pPr>
    </w:p>
    <w:p w14:paraId="6013A22F" w14:textId="364ACEDF" w:rsidR="0043637F" w:rsidRDefault="0043637F" w:rsidP="0043637F">
      <w:pPr>
        <w:spacing w:after="0" w:line="240" w:lineRule="auto"/>
        <w:jc w:val="both"/>
        <w:rPr>
          <w:rFonts w:ascii="Bookman Old Style" w:eastAsiaTheme="minorEastAsia" w:hAnsi="Bookman Old Style"/>
        </w:rPr>
      </w:pPr>
      <w:r>
        <w:rPr>
          <w:rFonts w:ascii="Bookman Old Style" w:eastAsiaTheme="minorEastAsia" w:hAnsi="Bookman Old Style"/>
        </w:rPr>
        <w:t>So when we speak of the WACC from now on, this is the number we have in mind.</w:t>
      </w:r>
    </w:p>
    <w:p w14:paraId="6C41E067" w14:textId="77777777" w:rsidR="0043637F" w:rsidRDefault="0043637F" w:rsidP="0043637F">
      <w:pPr>
        <w:spacing w:after="0" w:line="240" w:lineRule="auto"/>
        <w:jc w:val="both"/>
        <w:rPr>
          <w:rFonts w:ascii="Bookman Old Style" w:eastAsiaTheme="minorEastAsia" w:hAnsi="Bookman Old Style"/>
        </w:rPr>
      </w:pPr>
    </w:p>
    <w:p w14:paraId="65BDB0AD" w14:textId="39577715" w:rsidR="0043637F" w:rsidRDefault="0043637F" w:rsidP="0043637F">
      <w:pPr>
        <w:spacing w:after="0" w:line="240" w:lineRule="auto"/>
        <w:jc w:val="both"/>
        <w:rPr>
          <w:rFonts w:ascii="Bookman Old Style" w:eastAsiaTheme="minorEastAsia" w:hAnsi="Bookman Old Style"/>
        </w:rPr>
      </w:pPr>
      <w:r>
        <w:rPr>
          <w:rFonts w:ascii="Bookman Old Style" w:eastAsiaTheme="minorEastAsia" w:hAnsi="Bookman Old Style"/>
        </w:rPr>
        <w:t>WACC interpretation</w:t>
      </w:r>
      <w:r w:rsidR="008B2607">
        <w:rPr>
          <w:rFonts w:ascii="Bookman Old Style" w:eastAsiaTheme="minorEastAsia" w:hAnsi="Bookman Old Style"/>
        </w:rPr>
        <w:t xml:space="preserve"> – it’s</w:t>
      </w:r>
      <w:r>
        <w:rPr>
          <w:rFonts w:ascii="Bookman Old Style" w:eastAsiaTheme="minorEastAsia" w:hAnsi="Bookman Old Style"/>
        </w:rPr>
        <w:t>:</w:t>
      </w:r>
    </w:p>
    <w:p w14:paraId="6B4A8E67" w14:textId="671BD8E4" w:rsidR="008B2607" w:rsidRPr="008B2607" w:rsidRDefault="008B2607" w:rsidP="006F2196">
      <w:pPr>
        <w:pStyle w:val="ListParagraph"/>
        <w:numPr>
          <w:ilvl w:val="0"/>
          <w:numId w:val="9"/>
        </w:numPr>
        <w:spacing w:after="0" w:line="240" w:lineRule="auto"/>
        <w:jc w:val="both"/>
        <w:rPr>
          <w:rFonts w:ascii="Bookman Old Style" w:eastAsiaTheme="minorEastAsia" w:hAnsi="Bookman Old Style"/>
        </w:rPr>
      </w:pPr>
      <w:r w:rsidRPr="008B2607">
        <w:rPr>
          <w:rFonts w:ascii="Bookman Old Style" w:eastAsiaTheme="minorEastAsia" w:hAnsi="Bookman Old Style"/>
        </w:rPr>
        <w:t>T</w:t>
      </w:r>
      <w:r w:rsidR="0043637F" w:rsidRPr="008B2607">
        <w:rPr>
          <w:rFonts w:ascii="Bookman Old Style" w:eastAsiaTheme="minorEastAsia" w:hAnsi="Bookman Old Style"/>
        </w:rPr>
        <w:t>he overall return that the firm has to earn on its existing assets to maintain the value of its stock</w:t>
      </w:r>
    </w:p>
    <w:p w14:paraId="3DDD2BB7" w14:textId="77777777" w:rsidR="008B2607" w:rsidRDefault="008B2607" w:rsidP="008B2607">
      <w:pPr>
        <w:pStyle w:val="ListParagraph"/>
        <w:spacing w:after="0" w:line="240" w:lineRule="auto"/>
        <w:jc w:val="both"/>
        <w:rPr>
          <w:rFonts w:ascii="Bookman Old Style" w:eastAsiaTheme="minorEastAsia" w:hAnsi="Bookman Old Style"/>
        </w:rPr>
      </w:pPr>
    </w:p>
    <w:p w14:paraId="4D044036" w14:textId="02F1225E" w:rsidR="0043637F" w:rsidRDefault="0043637F" w:rsidP="006F2196">
      <w:pPr>
        <w:pStyle w:val="ListParagraph"/>
        <w:numPr>
          <w:ilvl w:val="0"/>
          <w:numId w:val="9"/>
        </w:numPr>
        <w:spacing w:after="0" w:line="240" w:lineRule="auto"/>
        <w:jc w:val="both"/>
        <w:rPr>
          <w:rFonts w:ascii="Bookman Old Style" w:eastAsiaTheme="minorEastAsia" w:hAnsi="Bookman Old Style"/>
        </w:rPr>
      </w:pPr>
      <w:r w:rsidRPr="008B2607">
        <w:rPr>
          <w:rFonts w:ascii="Bookman Old Style" w:eastAsiaTheme="minorEastAsia" w:hAnsi="Bookman Old Style"/>
        </w:rPr>
        <w:t>It’s also the required return on</w:t>
      </w:r>
      <w:r w:rsidR="008B2607">
        <w:rPr>
          <w:rFonts w:ascii="Bookman Old Style" w:eastAsiaTheme="minorEastAsia" w:hAnsi="Bookman Old Style"/>
        </w:rPr>
        <w:t xml:space="preserve"> any investments by the firm that have essentially the same risks as existing operations – so, if we’re evaluating the cash flows from a proposed expansion of existing operations, this is the discount rate we’d use.</w:t>
      </w:r>
    </w:p>
    <w:p w14:paraId="7CFAF53E" w14:textId="77777777" w:rsidR="00E741F7" w:rsidRDefault="00E741F7" w:rsidP="008B2607">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E741F7" w14:paraId="10669B10" w14:textId="77777777" w:rsidTr="00E741F7">
        <w:tc>
          <w:tcPr>
            <w:tcW w:w="9576" w:type="dxa"/>
          </w:tcPr>
          <w:p w14:paraId="4B57770C" w14:textId="77777777" w:rsidR="00E741F7" w:rsidRDefault="00E741F7" w:rsidP="008B2607">
            <w:pPr>
              <w:jc w:val="both"/>
              <w:rPr>
                <w:rFonts w:ascii="Bookman Old Style" w:eastAsiaTheme="minorEastAsia" w:hAnsi="Bookman Old Style"/>
              </w:rPr>
            </w:pPr>
          </w:p>
          <w:p w14:paraId="22D98D70"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i/>
              </w:rPr>
              <w:t xml:space="preserve"> Calculating the WACC</w:t>
            </w:r>
          </w:p>
          <w:p w14:paraId="0F13CD25"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BB Lean Company has 1.4 million share of stock outstanding.</w:t>
            </w:r>
          </w:p>
          <w:p w14:paraId="05B1B48D"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stock currently sells for $20 per share.</w:t>
            </w:r>
          </w:p>
          <w:p w14:paraId="0D6829DE"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firm’s debt is publicly traded and was recently quoted at 93% of face value.</w:t>
            </w:r>
          </w:p>
          <w:p w14:paraId="701AD64E"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It has a total face value of $5 million and it’s currently priced to yield 11%</w:t>
            </w:r>
          </w:p>
          <w:p w14:paraId="509C5211"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risk-free rate is 8% and the market risk premium is 3.4%</w:t>
            </w:r>
          </w:p>
          <w:p w14:paraId="18052707"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You’ve estimated that they have a beta of 0.74</w:t>
            </w:r>
          </w:p>
          <w:p w14:paraId="18B6EAA6"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If the corporate tax rate is 40%, what’s the WACC of Lean Co.?</w:t>
            </w:r>
          </w:p>
          <w:p w14:paraId="3C549123" w14:textId="77777777" w:rsidR="00E741F7" w:rsidRDefault="00E741F7" w:rsidP="00E741F7">
            <w:pPr>
              <w:jc w:val="both"/>
              <w:rPr>
                <w:rFonts w:ascii="Bookman Old Style" w:eastAsiaTheme="minorEastAsia" w:hAnsi="Bookman Old Style"/>
              </w:rPr>
            </w:pPr>
          </w:p>
          <w:p w14:paraId="1350B359"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We start be determining the cost of equity &amp; the cost of debt.</w:t>
            </w:r>
          </w:p>
          <w:p w14:paraId="19FD29B0"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From the SML, the cost of equity is 8% + 0.74 * 3.4% = 10.52%</w:t>
            </w:r>
          </w:p>
          <w:p w14:paraId="2034FBF0"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total value of the equity is 1.4 million * $20 = $28 million</w:t>
            </w:r>
          </w:p>
          <w:p w14:paraId="2BB1E61A"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pre-tax cost of debt is the current yield to maturity on the outstanding debt, 11%.</w:t>
            </w:r>
          </w:p>
          <w:p w14:paraId="62D54AF6"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debt sells for 93% of its face value, so its current market value is 0.93 * $5 million = $4.635 million</w:t>
            </w:r>
          </w:p>
          <w:p w14:paraId="2BA99F34"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The total market value of the equity and debt together is $28 + 4.65 = $32.65 million</w:t>
            </w:r>
          </w:p>
          <w:p w14:paraId="254D4D95" w14:textId="77777777" w:rsidR="00E741F7" w:rsidRDefault="00E741F7" w:rsidP="00E741F7">
            <w:pPr>
              <w:jc w:val="both"/>
              <w:rPr>
                <w:rFonts w:ascii="Bookman Old Style" w:eastAsiaTheme="minorEastAsia" w:hAnsi="Bookman Old Style"/>
              </w:rPr>
            </w:pPr>
          </w:p>
          <w:p w14:paraId="21A60FBE"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 xml:space="preserve">From here, we can calculate the WACC easily. </w:t>
            </w:r>
          </w:p>
          <w:p w14:paraId="7AB6B1DA" w14:textId="7650E676" w:rsidR="00E741F7" w:rsidRDefault="00E741F7" w:rsidP="00E741F7">
            <w:pPr>
              <w:jc w:val="both"/>
              <w:rPr>
                <w:rFonts w:ascii="Bookman Old Style" w:eastAsiaTheme="minorEastAsia" w:hAnsi="Bookman Old Style"/>
              </w:rPr>
            </w:pPr>
            <w:r>
              <w:rPr>
                <w:rFonts w:ascii="Bookman Old Style" w:eastAsiaTheme="minorEastAsia" w:hAnsi="Bookman Old Style"/>
              </w:rPr>
              <w:t>The percentage of equity used to finance operations is $28/$32.65 = 85.76%</w:t>
            </w:r>
          </w:p>
          <w:p w14:paraId="4DD2037D" w14:textId="18A62878" w:rsidR="00E741F7" w:rsidRDefault="00E741F7" w:rsidP="00E741F7">
            <w:pPr>
              <w:jc w:val="both"/>
              <w:rPr>
                <w:rFonts w:ascii="Bookman Old Style" w:eastAsiaTheme="minorEastAsia" w:hAnsi="Bookman Old Style"/>
              </w:rPr>
            </w:pPr>
            <w:r>
              <w:rPr>
                <w:rFonts w:ascii="Bookman Old Style" w:eastAsiaTheme="minorEastAsia" w:hAnsi="Bookman Old Style"/>
              </w:rPr>
              <w:t>Because weights have to add up to 1, the percentage of debt is 1 – 0.8576 = 14.24%</w:t>
            </w:r>
          </w:p>
          <w:p w14:paraId="0CDC9FAA" w14:textId="77777777" w:rsidR="00E741F7" w:rsidRDefault="00E741F7" w:rsidP="00E741F7">
            <w:pPr>
              <w:jc w:val="both"/>
              <w:rPr>
                <w:rFonts w:ascii="Bookman Old Style" w:eastAsiaTheme="minorEastAsia" w:hAnsi="Bookman Old Style"/>
              </w:rPr>
            </w:pPr>
            <w:r>
              <w:rPr>
                <w:rFonts w:ascii="Bookman Old Style" w:eastAsiaTheme="minorEastAsia" w:hAnsi="Bookman Old Style"/>
              </w:rPr>
              <w:t>So, the WACC is:</w:t>
            </w:r>
          </w:p>
          <w:p w14:paraId="06E5FAA7" w14:textId="77777777" w:rsidR="00E741F7" w:rsidRPr="00E741F7" w:rsidRDefault="00E741F7" w:rsidP="00E741F7">
            <w:pPr>
              <w:jc w:val="both"/>
              <w:rPr>
                <w:rFonts w:ascii="Bookman Old Style" w:eastAsiaTheme="minorEastAsia" w:hAnsi="Bookman Old Style"/>
              </w:rPr>
            </w:pPr>
            <m:oMathPara>
              <m:oMath>
                <m:r>
                  <w:rPr>
                    <w:rFonts w:ascii="Cambria Math" w:eastAsiaTheme="minorEastAsia" w:hAnsi="Cambria Math"/>
                  </w:rPr>
                  <m:t>WACC=</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E</m:t>
                        </m:r>
                      </m:num>
                      <m:den>
                        <m:r>
                          <w:rPr>
                            <w:rFonts w:ascii="Cambria Math" w:eastAsiaTheme="minorEastAsia" w:hAnsi="Cambria Math"/>
                          </w:rPr>
                          <m:t>V</m:t>
                        </m:r>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m:t>
                            </m:r>
                          </m:sub>
                        </m:sSub>
                      </m:num>
                      <m:den>
                        <m:r>
                          <w:rPr>
                            <w:rFonts w:ascii="Cambria Math" w:eastAsiaTheme="minorEastAsia" w:hAnsi="Cambria Math"/>
                          </w:rPr>
                          <m:t>V</m:t>
                        </m:r>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oMath>
            </m:oMathPara>
          </w:p>
          <w:p w14:paraId="3FCD8D7E" w14:textId="77777777" w:rsidR="00E741F7" w:rsidRDefault="00E741F7" w:rsidP="00E741F7">
            <w:pPr>
              <w:jc w:val="center"/>
              <w:rPr>
                <w:rFonts w:ascii="Bookman Old Style" w:eastAsiaTheme="minorEastAsia" w:hAnsi="Bookman Old Style"/>
              </w:rPr>
            </w:pPr>
            <w:r>
              <w:rPr>
                <w:rFonts w:ascii="Bookman Old Style" w:eastAsiaTheme="minorEastAsia" w:hAnsi="Bookman Old Style"/>
              </w:rPr>
              <w:t>=</w:t>
            </w:r>
          </w:p>
          <w:p w14:paraId="4BB9F6C9" w14:textId="77777777" w:rsidR="00E741F7" w:rsidRPr="00E741F7" w:rsidRDefault="00E741F7" w:rsidP="00E741F7">
            <w:pPr>
              <w:jc w:val="center"/>
              <w:rPr>
                <w:rFonts w:ascii="Bookman Old Style" w:eastAsiaTheme="minorEastAsia" w:hAnsi="Bookman Old Style"/>
              </w:rPr>
            </w:pPr>
            <m:oMathPara>
              <m:oMath>
                <m:r>
                  <w:rPr>
                    <w:rFonts w:ascii="Cambria Math" w:eastAsiaTheme="minorEastAsia" w:hAnsi="Cambria Math"/>
                  </w:rPr>
                  <m:t>0.8576*10.52%+0.1424*11%*</m:t>
                </m:r>
                <m:d>
                  <m:dPr>
                    <m:ctrlPr>
                      <w:rPr>
                        <w:rFonts w:ascii="Cambria Math" w:eastAsiaTheme="minorEastAsia" w:hAnsi="Cambria Math"/>
                        <w:i/>
                      </w:rPr>
                    </m:ctrlPr>
                  </m:dPr>
                  <m:e>
                    <m:r>
                      <w:rPr>
                        <w:rFonts w:ascii="Cambria Math" w:eastAsiaTheme="minorEastAsia" w:hAnsi="Cambria Math"/>
                      </w:rPr>
                      <m:t>1-0.40</m:t>
                    </m:r>
                  </m:e>
                </m:d>
              </m:oMath>
            </m:oMathPara>
          </w:p>
          <w:p w14:paraId="383D58F5" w14:textId="77777777" w:rsidR="00E741F7" w:rsidRDefault="00E741F7" w:rsidP="00E741F7">
            <w:pPr>
              <w:jc w:val="center"/>
              <w:rPr>
                <w:rFonts w:ascii="Bookman Old Style" w:eastAsiaTheme="minorEastAsia" w:hAnsi="Bookman Old Style"/>
              </w:rPr>
            </w:pPr>
            <w:r>
              <w:rPr>
                <w:rFonts w:ascii="Bookman Old Style" w:eastAsiaTheme="minorEastAsia" w:hAnsi="Bookman Old Style"/>
              </w:rPr>
              <w:t>=</w:t>
            </w:r>
          </w:p>
          <w:p w14:paraId="248A83F9" w14:textId="77777777" w:rsidR="00E741F7" w:rsidRPr="00E741F7" w:rsidRDefault="00E741F7" w:rsidP="00E741F7">
            <w:pPr>
              <w:jc w:val="center"/>
              <w:rPr>
                <w:rFonts w:ascii="Bookman Old Style" w:eastAsiaTheme="minorEastAsia" w:hAnsi="Bookman Old Style"/>
              </w:rPr>
            </w:pPr>
            <w:r>
              <w:rPr>
                <w:rFonts w:ascii="Bookman Old Style" w:eastAsiaTheme="minorEastAsia" w:hAnsi="Bookman Old Style"/>
              </w:rPr>
              <w:t>9.96%</w:t>
            </w:r>
          </w:p>
          <w:p w14:paraId="603B0A13" w14:textId="77777777" w:rsidR="00E741F7" w:rsidRDefault="00E741F7" w:rsidP="00E741F7">
            <w:pPr>
              <w:jc w:val="both"/>
              <w:rPr>
                <w:rFonts w:ascii="Bookman Old Style" w:eastAsiaTheme="minorEastAsia" w:hAnsi="Bookman Old Style"/>
              </w:rPr>
            </w:pPr>
          </w:p>
          <w:p w14:paraId="70F5C08B" w14:textId="53FE5531" w:rsidR="00E741F7" w:rsidRDefault="00E741F7" w:rsidP="00E741F7">
            <w:pPr>
              <w:jc w:val="both"/>
              <w:rPr>
                <w:rFonts w:ascii="Bookman Old Style" w:eastAsiaTheme="minorEastAsia" w:hAnsi="Bookman Old Style"/>
              </w:rPr>
            </w:pPr>
            <w:r>
              <w:rPr>
                <w:rFonts w:ascii="Bookman Old Style" w:eastAsiaTheme="minorEastAsia" w:hAnsi="Bookman Old Style"/>
              </w:rPr>
              <w:t>BB Lean has an overall weighted average cost of capital of 9.96%</w:t>
            </w:r>
          </w:p>
          <w:p w14:paraId="4D0D403F" w14:textId="77777777" w:rsidR="00E741F7" w:rsidRDefault="00E741F7" w:rsidP="008B2607">
            <w:pPr>
              <w:jc w:val="both"/>
              <w:rPr>
                <w:rFonts w:ascii="Bookman Old Style" w:eastAsiaTheme="minorEastAsia" w:hAnsi="Bookman Old Style"/>
              </w:rPr>
            </w:pPr>
          </w:p>
        </w:tc>
      </w:tr>
    </w:tbl>
    <w:p w14:paraId="25AE379C" w14:textId="49714880" w:rsidR="008B2607" w:rsidRDefault="0016127D" w:rsidP="008B260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lastRenderedPageBreak/>
        <w:t>SOLVING WAREHOUSE PROBLEM &amp; SIMILAR CAPITAL BUDGETING PROBLEMS</w:t>
      </w:r>
    </w:p>
    <w:p w14:paraId="4B0C7CB0" w14:textId="77777777" w:rsidR="0016127D" w:rsidRDefault="0016127D" w:rsidP="008B2607">
      <w:pPr>
        <w:spacing w:after="0" w:line="240" w:lineRule="auto"/>
        <w:jc w:val="both"/>
        <w:rPr>
          <w:rFonts w:ascii="Bookman Old Style" w:eastAsiaTheme="minorEastAsia" w:hAnsi="Bookman Old Style"/>
          <w:b/>
          <w:u w:val="single"/>
        </w:rPr>
      </w:pPr>
    </w:p>
    <w:p w14:paraId="759DF96A" w14:textId="0C396AFA" w:rsidR="0016127D" w:rsidRDefault="0016127D" w:rsidP="008B2607">
      <w:pPr>
        <w:spacing w:after="0" w:line="240" w:lineRule="auto"/>
        <w:jc w:val="both"/>
        <w:rPr>
          <w:rFonts w:ascii="Bookman Old Style" w:eastAsiaTheme="minorEastAsia" w:hAnsi="Bookman Old Style"/>
        </w:rPr>
      </w:pPr>
      <w:r>
        <w:rPr>
          <w:rFonts w:ascii="Bookman Old Style" w:eastAsiaTheme="minorEastAsia" w:hAnsi="Bookman Old Style"/>
        </w:rPr>
        <w:t>We can now solve the warehouse problem that we saw before</w:t>
      </w:r>
      <w:r w:rsidR="00E93778">
        <w:rPr>
          <w:rFonts w:ascii="Bookman Old Style" w:eastAsiaTheme="minorEastAsia" w:hAnsi="Bookman Old Style"/>
        </w:rPr>
        <w:t xml:space="preserve"> - </w:t>
      </w:r>
      <w:r>
        <w:rPr>
          <w:rFonts w:ascii="Bookman Old Style" w:eastAsiaTheme="minorEastAsia" w:hAnsi="Bookman Old Style"/>
        </w:rPr>
        <w:t>before rushing to discount the cash flows at the WACC to estimate NPV, we need to make sure we’re doing the right thing.</w:t>
      </w:r>
    </w:p>
    <w:p w14:paraId="49C61A45" w14:textId="77777777" w:rsidR="0016127D" w:rsidRDefault="0016127D" w:rsidP="008B2607">
      <w:pPr>
        <w:spacing w:after="0" w:line="240" w:lineRule="auto"/>
        <w:jc w:val="both"/>
        <w:rPr>
          <w:rFonts w:ascii="Bookman Old Style" w:eastAsiaTheme="minorEastAsia" w:hAnsi="Bookman Old Style"/>
        </w:rPr>
      </w:pPr>
    </w:p>
    <w:p w14:paraId="4FEAAAB3" w14:textId="11DF12EA" w:rsidR="0016127D"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F</w:t>
      </w:r>
      <w:r w:rsidR="0016127D">
        <w:rPr>
          <w:rFonts w:ascii="Bookman Old Style" w:eastAsiaTheme="minorEastAsia" w:hAnsi="Bookman Old Style"/>
        </w:rPr>
        <w:t>irst we have to find an alternative in the financial markets that’s comparable</w:t>
      </w:r>
      <w:r>
        <w:rPr>
          <w:rFonts w:ascii="Bookman Old Style" w:eastAsiaTheme="minorEastAsia" w:hAnsi="Bookman Old Style"/>
        </w:rPr>
        <w:t xml:space="preserve"> to the warehouse renovation</w:t>
      </w:r>
      <w:r w:rsidR="0016127D">
        <w:rPr>
          <w:rFonts w:ascii="Bookman Old Style" w:eastAsiaTheme="minorEastAsia" w:hAnsi="Bookman Old Style"/>
        </w:rPr>
        <w:t>. To be comparable, an alternative must be of the same risk. Projects having the same risk are said to be in the same risk class.</w:t>
      </w:r>
    </w:p>
    <w:p w14:paraId="6D415ACA" w14:textId="77777777" w:rsidR="0016127D" w:rsidRDefault="0016127D" w:rsidP="008B2607">
      <w:pPr>
        <w:spacing w:after="0" w:line="240" w:lineRule="auto"/>
        <w:jc w:val="both"/>
        <w:rPr>
          <w:rFonts w:ascii="Bookman Old Style" w:eastAsiaTheme="minorEastAsia" w:hAnsi="Bookman Old Style"/>
        </w:rPr>
      </w:pPr>
    </w:p>
    <w:p w14:paraId="262B2B50" w14:textId="783DF025" w:rsidR="00E93778"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The WACC for a firm reflects the risk &amp; target capital structure of the firm’s existing assets as a whole – as a result, the firm’s WACC is the appropriate discount rate only if the proposed investment is a replica of the firm’s existing operating activities. So, we can only use the WACC to value the warehouse project if it’s in the same risk class as the firm.</w:t>
      </w:r>
    </w:p>
    <w:p w14:paraId="41946037" w14:textId="77777777" w:rsidR="00E93778" w:rsidRDefault="00E93778" w:rsidP="008B2607">
      <w:pPr>
        <w:spacing w:after="0" w:line="240" w:lineRule="auto"/>
        <w:jc w:val="both"/>
        <w:rPr>
          <w:rFonts w:ascii="Bookman Old Style" w:eastAsiaTheme="minorEastAsia" w:hAnsi="Bookman Old Style"/>
        </w:rPr>
      </w:pPr>
    </w:p>
    <w:p w14:paraId="09D424D7" w14:textId="50C77D07" w:rsidR="00E93778"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Projects like the warehouse renovation that are intimately related to the firm’s existing operations are usually seen as being in the same risk class as the overall firm.</w:t>
      </w:r>
      <w:r w:rsidR="001A7CB7">
        <w:rPr>
          <w:rFonts w:ascii="Bookman Old Style" w:eastAsiaTheme="minorEastAsia" w:hAnsi="Bookman Old Style"/>
        </w:rPr>
        <w:t xml:space="preserve"> </w:t>
      </w:r>
      <w:r>
        <w:rPr>
          <w:rFonts w:ascii="Bookman Old Style" w:eastAsiaTheme="minorEastAsia" w:hAnsi="Bookman Old Style"/>
        </w:rPr>
        <w:t>We can now see what the President should do.</w:t>
      </w:r>
    </w:p>
    <w:p w14:paraId="101448DE" w14:textId="77777777" w:rsidR="001A7CB7" w:rsidRDefault="001A7CB7" w:rsidP="008B2607">
      <w:pPr>
        <w:spacing w:after="0" w:line="240" w:lineRule="auto"/>
        <w:jc w:val="both"/>
        <w:rPr>
          <w:rFonts w:ascii="Bookman Old Style" w:eastAsiaTheme="minorEastAsia" w:hAnsi="Bookman Old Style"/>
        </w:rPr>
      </w:pPr>
    </w:p>
    <w:p w14:paraId="3C59D82B" w14:textId="22A08BED" w:rsidR="00E93778"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Suppose the firm has a target debt/equity ratio of 1/3 – in this case:</w:t>
      </w:r>
    </w:p>
    <w:p w14:paraId="661F33C0" w14:textId="77777777" w:rsidR="004E052C" w:rsidRDefault="004E052C" w:rsidP="008B2607">
      <w:pPr>
        <w:spacing w:after="0" w:line="240" w:lineRule="auto"/>
        <w:jc w:val="both"/>
        <w:rPr>
          <w:rFonts w:ascii="Bookman Old Style" w:eastAsiaTheme="minorEastAsia" w:hAnsi="Bookman Old Style"/>
        </w:rPr>
      </w:pPr>
    </w:p>
    <w:p w14:paraId="31D3BA58" w14:textId="62DBF5A6" w:rsidR="00E93778" w:rsidRPr="00E93778" w:rsidRDefault="00E93778" w:rsidP="00E93778">
      <w:pPr>
        <w:spacing w:after="0" w:line="240" w:lineRule="auto"/>
        <w:jc w:val="center"/>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E</m:t>
              </m:r>
            </m:num>
            <m:den>
              <m:r>
                <w:rPr>
                  <w:rFonts w:ascii="Cambria Math" w:eastAsiaTheme="minorEastAsia" w:hAnsi="Cambria Math"/>
                </w:rPr>
                <m:t>V</m:t>
              </m:r>
            </m:den>
          </m:f>
          <m:r>
            <w:rPr>
              <w:rFonts w:ascii="Cambria Math" w:eastAsiaTheme="minorEastAsia" w:hAnsi="Cambria Math"/>
            </w:rPr>
            <m:t>=0.75</m:t>
          </m:r>
        </m:oMath>
      </m:oMathPara>
    </w:p>
    <w:p w14:paraId="157397B4" w14:textId="60C0CAEB" w:rsidR="00E93778" w:rsidRDefault="00E93778" w:rsidP="00E93778">
      <w:pPr>
        <w:spacing w:after="0" w:line="240" w:lineRule="auto"/>
        <w:jc w:val="center"/>
        <w:rPr>
          <w:rFonts w:ascii="Bookman Old Style" w:eastAsiaTheme="minorEastAsia" w:hAnsi="Bookman Old Style"/>
        </w:rPr>
      </w:pPr>
      <w:r>
        <w:rPr>
          <w:rFonts w:ascii="Bookman Old Style" w:eastAsiaTheme="minorEastAsia" w:hAnsi="Bookman Old Style"/>
        </w:rPr>
        <w:t>&amp;</w:t>
      </w:r>
    </w:p>
    <w:p w14:paraId="0E8F8625" w14:textId="32065DBA" w:rsidR="00E93778" w:rsidRPr="00E93778" w:rsidRDefault="00E93778" w:rsidP="00E93778">
      <w:pPr>
        <w:spacing w:after="0" w:line="240" w:lineRule="auto"/>
        <w:jc w:val="center"/>
        <w:rPr>
          <w:rFonts w:ascii="Bookman Old Style" w:eastAsiaTheme="minorEastAsia" w:hAnsi="Bookman Old Style"/>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m:t>
                  </m:r>
                </m:sub>
              </m:sSub>
            </m:num>
            <m:den>
              <m:r>
                <w:rPr>
                  <w:rFonts w:ascii="Cambria Math" w:eastAsiaTheme="minorEastAsia" w:hAnsi="Cambria Math"/>
                </w:rPr>
                <m:t>V</m:t>
              </m:r>
            </m:den>
          </m:f>
          <m:r>
            <w:rPr>
              <w:rFonts w:ascii="Cambria Math" w:eastAsiaTheme="minorEastAsia" w:hAnsi="Cambria Math"/>
            </w:rPr>
            <m:t>=0.25</m:t>
          </m:r>
        </m:oMath>
      </m:oMathPara>
    </w:p>
    <w:p w14:paraId="48765BD5" w14:textId="77777777" w:rsidR="0016127D" w:rsidRDefault="0016127D" w:rsidP="008B2607">
      <w:pPr>
        <w:spacing w:after="0" w:line="240" w:lineRule="auto"/>
        <w:jc w:val="both"/>
        <w:rPr>
          <w:rFonts w:ascii="Bookman Old Style" w:eastAsiaTheme="minorEastAsia" w:hAnsi="Bookman Old Style"/>
        </w:rPr>
      </w:pPr>
    </w:p>
    <w:p w14:paraId="7FADCBD3" w14:textId="12C3A93F" w:rsidR="0016127D"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The cost of debt is 10% and the cost of equity is 20%. Assuming a 40% tax rate, the WACC is:</w:t>
      </w:r>
    </w:p>
    <w:p w14:paraId="2F7EA338" w14:textId="77777777" w:rsidR="001A7CB7" w:rsidRDefault="001A7CB7" w:rsidP="008B2607">
      <w:pPr>
        <w:spacing w:after="0" w:line="240" w:lineRule="auto"/>
        <w:jc w:val="both"/>
        <w:rPr>
          <w:rFonts w:ascii="Bookman Old Style" w:eastAsiaTheme="minorEastAsia" w:hAnsi="Bookman Old Style"/>
        </w:rPr>
      </w:pPr>
    </w:p>
    <w:p w14:paraId="78A66A8E" w14:textId="677C881D" w:rsidR="00E93778" w:rsidRPr="00E93778" w:rsidRDefault="00E93778" w:rsidP="001A7CB7">
      <w:pPr>
        <w:spacing w:after="0" w:line="240" w:lineRule="auto"/>
        <w:jc w:val="both"/>
        <w:rPr>
          <w:rFonts w:ascii="Bookman Old Style" w:eastAsiaTheme="minorEastAsia" w:hAnsi="Bookman Old Style"/>
        </w:rPr>
      </w:pPr>
      <m:oMath>
        <m:r>
          <w:rPr>
            <w:rFonts w:ascii="Cambria Math" w:eastAsiaTheme="minorEastAsia" w:hAnsi="Cambria Math"/>
          </w:rPr>
          <m:t>WACC=</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E</m:t>
                </m:r>
              </m:num>
              <m:den>
                <m:r>
                  <w:rPr>
                    <w:rFonts w:ascii="Cambria Math" w:eastAsiaTheme="minorEastAsia" w:hAnsi="Cambria Math"/>
                  </w:rPr>
                  <m:t>V</m:t>
                </m:r>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m:t>
                    </m:r>
                  </m:sub>
                </m:sSub>
              </m:num>
              <m:den>
                <m:r>
                  <w:rPr>
                    <w:rFonts w:ascii="Cambria Math" w:eastAsiaTheme="minorEastAsia" w:hAnsi="Cambria Math"/>
                  </w:rPr>
                  <m:t>V</m:t>
                </m:r>
              </m:den>
            </m:f>
          </m:e>
        </m:d>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e>
        </m:d>
      </m:oMath>
      <w:r w:rsidR="001A7CB7">
        <w:rPr>
          <w:rFonts w:ascii="Bookman Old Style" w:eastAsiaTheme="minorEastAsia" w:hAnsi="Bookman Old Style"/>
        </w:rPr>
        <w:t xml:space="preserve"> </w:t>
      </w:r>
      <w:r>
        <w:rPr>
          <w:rFonts w:ascii="Bookman Old Style" w:eastAsiaTheme="minorEastAsia" w:hAnsi="Bookman Old Style"/>
        </w:rPr>
        <w:t>=</w:t>
      </w:r>
      <w:r w:rsidR="001A7CB7">
        <w:rPr>
          <w:rFonts w:ascii="Bookman Old Style" w:eastAsiaTheme="minorEastAsia" w:hAnsi="Bookman Old Style"/>
        </w:rPr>
        <w:t xml:space="preserve"> </w:t>
      </w:r>
      <w:r>
        <w:rPr>
          <w:rFonts w:ascii="Bookman Old Style" w:eastAsiaTheme="minorEastAsia" w:hAnsi="Bookman Old Style"/>
        </w:rPr>
        <w:t>0.75 * 20% + 0.25 * 10% * (1 – 0.40)</w:t>
      </w:r>
      <w:r w:rsidR="001A7CB7">
        <w:rPr>
          <w:rFonts w:ascii="Bookman Old Style" w:eastAsiaTheme="minorEastAsia" w:hAnsi="Bookman Old Style"/>
        </w:rPr>
        <w:t xml:space="preserve"> </w:t>
      </w:r>
      <w:r>
        <w:rPr>
          <w:rFonts w:ascii="Bookman Old Style" w:eastAsiaTheme="minorEastAsia" w:hAnsi="Bookman Old Style"/>
        </w:rPr>
        <w:t>=</w:t>
      </w:r>
      <w:r w:rsidR="001A7CB7">
        <w:rPr>
          <w:rFonts w:ascii="Bookman Old Style" w:eastAsiaTheme="minorEastAsia" w:hAnsi="Bookman Old Style"/>
        </w:rPr>
        <w:t xml:space="preserve"> </w:t>
      </w:r>
      <w:r>
        <w:rPr>
          <w:rFonts w:ascii="Bookman Old Style" w:eastAsiaTheme="minorEastAsia" w:hAnsi="Bookman Old Style"/>
        </w:rPr>
        <w:t>16.5%</w:t>
      </w:r>
    </w:p>
    <w:p w14:paraId="5F3588F0" w14:textId="77777777" w:rsidR="00E93778" w:rsidRDefault="00E93778" w:rsidP="008B2607">
      <w:pPr>
        <w:spacing w:after="0" w:line="240" w:lineRule="auto"/>
        <w:jc w:val="both"/>
        <w:rPr>
          <w:rFonts w:ascii="Bookman Old Style" w:eastAsiaTheme="minorEastAsia" w:hAnsi="Bookman Old Style"/>
        </w:rPr>
      </w:pPr>
    </w:p>
    <w:p w14:paraId="7BE31C28" w14:textId="360CA8DE" w:rsidR="00E93778"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Remember that the warehouse project had a cost of $50 million and expected after-tax cash flows (the cost savings) of $12 million per year for 6 years. The NPV is thus:</w:t>
      </w:r>
    </w:p>
    <w:p w14:paraId="153F3CD0" w14:textId="77777777" w:rsidR="00E93778" w:rsidRDefault="00E93778" w:rsidP="008B2607">
      <w:pPr>
        <w:spacing w:after="0" w:line="240" w:lineRule="auto"/>
        <w:jc w:val="both"/>
        <w:rPr>
          <w:rFonts w:ascii="Bookman Old Style" w:eastAsiaTheme="minorEastAsia" w:hAnsi="Bookman Old Style"/>
        </w:rPr>
      </w:pPr>
    </w:p>
    <w:p w14:paraId="1EB7140F" w14:textId="2EE922A6" w:rsidR="00E93778" w:rsidRPr="00E93778" w:rsidRDefault="00E93778" w:rsidP="008B2607">
      <w:pPr>
        <w:spacing w:after="0" w:line="240" w:lineRule="auto"/>
        <w:jc w:val="both"/>
        <w:rPr>
          <w:rFonts w:ascii="Bookman Old Style" w:eastAsiaTheme="minorEastAsia" w:hAnsi="Bookman Old Style"/>
        </w:rPr>
      </w:pPr>
      <m:oMathPara>
        <m:oMath>
          <m:r>
            <w:rPr>
              <w:rFonts w:ascii="Cambria Math" w:eastAsiaTheme="minorEastAsia" w:hAnsi="Cambria Math"/>
            </w:rPr>
            <m:t>N</m:t>
          </m:r>
          <m:r>
            <w:rPr>
              <w:rFonts w:ascii="Cambria Math" w:eastAsiaTheme="minorEastAsia" w:hAnsi="Cambria Math"/>
            </w:rPr>
            <m:t>PV=-$50+</m:t>
          </m:r>
          <m:f>
            <m:fPr>
              <m:ctrlPr>
                <w:rPr>
                  <w:rFonts w:ascii="Cambria Math" w:eastAsiaTheme="minorEastAsia" w:hAnsi="Cambria Math"/>
                  <w:i/>
                </w:rPr>
              </m:ctrlPr>
            </m:fPr>
            <m:num>
              <m:r>
                <w:rPr>
                  <w:rFonts w:ascii="Cambria Math" w:eastAsiaTheme="minorEastAsia" w:hAnsi="Cambria Math"/>
                </w:rPr>
                <m:t>$12</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1+WACC</m:t>
                      </m:r>
                    </m:e>
                  </m:d>
                </m:e>
                <m:sup>
                  <m:r>
                    <w:rPr>
                      <w:rFonts w:ascii="Cambria Math" w:eastAsiaTheme="minorEastAsia" w:hAnsi="Cambria Math"/>
                    </w:rPr>
                    <m:t>1</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$12</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1+WACC</m:t>
                      </m:r>
                    </m:e>
                  </m:d>
                </m:e>
                <m:sup>
                  <m:r>
                    <w:rPr>
                      <w:rFonts w:ascii="Cambria Math" w:eastAsiaTheme="minorEastAsia" w:hAnsi="Cambria Math"/>
                    </w:rPr>
                    <m:t>6</m:t>
                  </m:r>
                </m:sup>
              </m:sSup>
            </m:den>
          </m:f>
        </m:oMath>
      </m:oMathPara>
    </w:p>
    <w:p w14:paraId="5DB77898" w14:textId="77777777" w:rsidR="00E93778" w:rsidRDefault="00E93778" w:rsidP="008B2607">
      <w:pPr>
        <w:spacing w:after="0" w:line="240" w:lineRule="auto"/>
        <w:jc w:val="both"/>
        <w:rPr>
          <w:rFonts w:ascii="Bookman Old Style" w:eastAsiaTheme="minorEastAsia" w:hAnsi="Bookman Old Style"/>
        </w:rPr>
      </w:pPr>
    </w:p>
    <w:p w14:paraId="629A3BD4" w14:textId="33D10D99" w:rsidR="00E93778" w:rsidRDefault="00E93778" w:rsidP="008B2607">
      <w:pPr>
        <w:spacing w:after="0" w:line="240" w:lineRule="auto"/>
        <w:jc w:val="both"/>
        <w:rPr>
          <w:rFonts w:ascii="Bookman Old Style" w:eastAsiaTheme="minorEastAsia" w:hAnsi="Bookman Old Style"/>
        </w:rPr>
      </w:pPr>
      <w:r>
        <w:rPr>
          <w:rFonts w:ascii="Bookman Old Style" w:eastAsiaTheme="minorEastAsia" w:hAnsi="Bookman Old Style"/>
        </w:rPr>
        <w:t>Since the cash flows are in the form of an ordinary annuity, we can calculate this NPV using 16.5% (the WACC) as the discount rate as follows:</w:t>
      </w:r>
    </w:p>
    <w:p w14:paraId="7528A864" w14:textId="77777777" w:rsidR="00E93778" w:rsidRDefault="00E93778" w:rsidP="008B2607">
      <w:pPr>
        <w:spacing w:after="0" w:line="240" w:lineRule="auto"/>
        <w:jc w:val="both"/>
        <w:rPr>
          <w:rFonts w:ascii="Bookman Old Style" w:eastAsiaTheme="minorEastAsia" w:hAnsi="Bookman Old Style"/>
        </w:rPr>
      </w:pPr>
    </w:p>
    <w:p w14:paraId="3DD74532" w14:textId="4A9AF973" w:rsidR="00E93778" w:rsidRPr="001A7CB7" w:rsidRDefault="001A7CB7" w:rsidP="008B2607">
      <w:pPr>
        <w:spacing w:after="0" w:line="240" w:lineRule="auto"/>
        <w:jc w:val="both"/>
        <w:rPr>
          <w:rFonts w:ascii="Bookman Old Style" w:eastAsiaTheme="minorEastAsia" w:hAnsi="Bookman Old Style"/>
        </w:rPr>
      </w:pPr>
      <m:oMathPara>
        <m:oMath>
          <m:r>
            <w:rPr>
              <w:rFonts w:ascii="Cambria Math" w:eastAsiaTheme="minorEastAsia" w:hAnsi="Cambria Math"/>
            </w:rPr>
            <m:t>NPV=</m:t>
          </m:r>
          <m:r>
            <w:rPr>
              <w:rFonts w:ascii="Cambria Math" w:eastAsiaTheme="minorEastAsia" w:hAnsi="Cambria Math"/>
            </w:rPr>
            <m:t>-$50+$12*</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1-</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1+0.165</m:t>
                                  </m:r>
                                </m:e>
                              </m:d>
                            </m:e>
                            <m:sup>
                              <m:r>
                                <w:rPr>
                                  <w:rFonts w:ascii="Cambria Math" w:eastAsiaTheme="minorEastAsia" w:hAnsi="Cambria Math"/>
                                </w:rPr>
                                <m:t>6</m:t>
                              </m:r>
                            </m:sup>
                          </m:sSup>
                        </m:den>
                      </m:f>
                    </m:e>
                  </m:d>
                </m:e>
              </m:d>
            </m:num>
            <m:den>
              <m:r>
                <w:rPr>
                  <w:rFonts w:ascii="Cambria Math" w:eastAsiaTheme="minorEastAsia" w:hAnsi="Cambria Math"/>
                </w:rPr>
                <m:t>0.165</m:t>
              </m:r>
            </m:den>
          </m:f>
          <m:r>
            <w:rPr>
              <w:rFonts w:ascii="Cambria Math" w:eastAsiaTheme="minorEastAsia" w:hAnsi="Cambria Math"/>
            </w:rPr>
            <m:t>=-$50+$12*3.6365= -$6.36</m:t>
          </m:r>
        </m:oMath>
      </m:oMathPara>
    </w:p>
    <w:p w14:paraId="7DF8BDEC" w14:textId="77777777" w:rsidR="001A7CB7" w:rsidRDefault="001A7CB7" w:rsidP="008B2607">
      <w:pPr>
        <w:spacing w:after="0" w:line="240" w:lineRule="auto"/>
        <w:jc w:val="both"/>
        <w:rPr>
          <w:rFonts w:ascii="Bookman Old Style" w:eastAsiaTheme="minorEastAsia" w:hAnsi="Bookman Old Style"/>
        </w:rPr>
      </w:pPr>
    </w:p>
    <w:p w14:paraId="36608E37" w14:textId="13F8366A" w:rsidR="001A7CB7" w:rsidRPr="001A7CB7" w:rsidRDefault="001A7CB7" w:rsidP="008B2607">
      <w:pPr>
        <w:spacing w:after="0" w:line="240" w:lineRule="auto"/>
        <w:jc w:val="both"/>
        <w:rPr>
          <w:rFonts w:ascii="Bookman Old Style" w:eastAsiaTheme="minorEastAsia" w:hAnsi="Bookman Old Style"/>
        </w:rPr>
      </w:pPr>
      <w:r>
        <w:rPr>
          <w:rFonts w:ascii="Bookman Old Style" w:eastAsiaTheme="minorEastAsia" w:hAnsi="Bookman Old Style"/>
        </w:rPr>
        <w:t>The project has a negative NPV using the firm’s WACC - this means the financial markets offer superior projects in the same risk class (namely, the firm itself). So the answer is clear: the project should be rejected.</w:t>
      </w: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4E052C" w14:paraId="60C07C09" w14:textId="77777777" w:rsidTr="004E052C">
        <w:tc>
          <w:tcPr>
            <w:tcW w:w="9576" w:type="dxa"/>
          </w:tcPr>
          <w:p w14:paraId="53634301" w14:textId="77777777" w:rsidR="004E052C" w:rsidRDefault="004E052C" w:rsidP="008B2607">
            <w:pPr>
              <w:jc w:val="both"/>
              <w:rPr>
                <w:rFonts w:ascii="Bookman Old Style" w:eastAsiaTheme="minorEastAsia" w:hAnsi="Bookman Old Style"/>
              </w:rPr>
            </w:pPr>
          </w:p>
          <w:p w14:paraId="220E601F"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i/>
              </w:rPr>
              <w:t xml:space="preserve"> Using the WACC</w:t>
            </w:r>
          </w:p>
          <w:p w14:paraId="1C8A482D"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A firm is considering a project that will result in initial cash savings of $5 million at the end of the first year and for an infinite period. These savings will grow at the rate of 5% per year.</w:t>
            </w:r>
          </w:p>
          <w:p w14:paraId="7FFFA1B0" w14:textId="77777777" w:rsidR="004E052C" w:rsidRDefault="004E052C" w:rsidP="004E052C">
            <w:pPr>
              <w:jc w:val="both"/>
              <w:rPr>
                <w:rFonts w:ascii="Bookman Old Style" w:eastAsiaTheme="minorEastAsia" w:hAnsi="Bookman Old Style"/>
              </w:rPr>
            </w:pPr>
          </w:p>
          <w:p w14:paraId="0CEAD7C0"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The firm has a debt/equity ratio of 0.5, a cost of equity of 29.2% and a cost of debt of 10%.</w:t>
            </w:r>
          </w:p>
          <w:p w14:paraId="28638923" w14:textId="77777777" w:rsidR="004E052C" w:rsidRDefault="004E052C" w:rsidP="004E052C">
            <w:pPr>
              <w:jc w:val="both"/>
              <w:rPr>
                <w:rFonts w:ascii="Bookman Old Style" w:eastAsiaTheme="minorEastAsia" w:hAnsi="Bookman Old Style"/>
              </w:rPr>
            </w:pPr>
          </w:p>
          <w:p w14:paraId="0D90D9E3"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The cost-saving proposal is closely related to the firm’s core business, so it’s viewed as having the same risks as the overall firm. Should the firm take on the project?</w:t>
            </w:r>
          </w:p>
          <w:p w14:paraId="09038899" w14:textId="77777777" w:rsidR="004E052C" w:rsidRDefault="004E052C" w:rsidP="004E052C">
            <w:pPr>
              <w:jc w:val="both"/>
              <w:rPr>
                <w:rFonts w:ascii="Bookman Old Style" w:eastAsiaTheme="minorEastAsia" w:hAnsi="Bookman Old Style"/>
              </w:rPr>
            </w:pPr>
          </w:p>
          <w:p w14:paraId="679C12B9"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Assuming a 40% tax rate, the firm should take on this project if it costs less than $30.36 million.</w:t>
            </w:r>
          </w:p>
          <w:p w14:paraId="69872570" w14:textId="77777777" w:rsidR="004E052C" w:rsidRDefault="004E052C" w:rsidP="004E052C">
            <w:pPr>
              <w:jc w:val="both"/>
              <w:rPr>
                <w:rFonts w:ascii="Bookman Old Style" w:eastAsiaTheme="minorEastAsia" w:hAnsi="Bookman Old Style"/>
              </w:rPr>
            </w:pPr>
          </w:p>
          <w:p w14:paraId="00B4188D"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To see this, first note that the PV is:</w:t>
            </w:r>
          </w:p>
          <w:p w14:paraId="181E8B0E" w14:textId="77777777" w:rsidR="004E052C" w:rsidRPr="001A7CB7" w:rsidRDefault="004E052C" w:rsidP="004E052C">
            <w:pPr>
              <w:jc w:val="both"/>
              <w:rPr>
                <w:rFonts w:ascii="Bookman Old Style" w:eastAsiaTheme="minorEastAsia" w:hAnsi="Bookman Old Style"/>
              </w:rPr>
            </w:pPr>
            <m:oMathPara>
              <m:oMath>
                <m:r>
                  <w:rPr>
                    <w:rFonts w:ascii="Cambria Math" w:eastAsiaTheme="minorEastAsia" w:hAnsi="Cambria Math"/>
                  </w:rPr>
                  <m:t>PV=</m:t>
                </m:r>
                <m:f>
                  <m:fPr>
                    <m:ctrlPr>
                      <w:rPr>
                        <w:rFonts w:ascii="Cambria Math" w:eastAsiaTheme="minorEastAsia" w:hAnsi="Cambria Math"/>
                        <w:i/>
                      </w:rPr>
                    </m:ctrlPr>
                  </m:fPr>
                  <m:num>
                    <m:r>
                      <w:rPr>
                        <w:rFonts w:ascii="Cambria Math" w:eastAsiaTheme="minorEastAsia" w:hAnsi="Cambria Math"/>
                      </w:rPr>
                      <m:t>$5million</m:t>
                    </m:r>
                  </m:num>
                  <m:den>
                    <m:d>
                      <m:dPr>
                        <m:begChr m:val="["/>
                        <m:endChr m:val="]"/>
                        <m:ctrlPr>
                          <w:rPr>
                            <w:rFonts w:ascii="Cambria Math" w:eastAsiaTheme="minorEastAsia" w:hAnsi="Cambria Math"/>
                            <w:i/>
                          </w:rPr>
                        </m:ctrlPr>
                      </m:dPr>
                      <m:e>
                        <m:r>
                          <w:rPr>
                            <w:rFonts w:ascii="Cambria Math" w:eastAsiaTheme="minorEastAsia" w:hAnsi="Cambria Math"/>
                          </w:rPr>
                          <m:t>WACC-0.05</m:t>
                        </m:r>
                      </m:e>
                    </m:d>
                  </m:den>
                </m:f>
              </m:oMath>
            </m:oMathPara>
          </w:p>
          <w:p w14:paraId="66C9438B" w14:textId="77777777" w:rsidR="004E052C" w:rsidRDefault="004E052C" w:rsidP="004E052C">
            <w:pPr>
              <w:jc w:val="both"/>
              <w:rPr>
                <w:rFonts w:ascii="Bookman Old Style" w:eastAsiaTheme="minorEastAsia" w:hAnsi="Bookman Old Style"/>
              </w:rPr>
            </w:pPr>
          </w:p>
          <w:p w14:paraId="52311E53"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This is an example of a growing perpetuity. The WACC is:</w:t>
            </w:r>
          </w:p>
          <w:p w14:paraId="41652AD2" w14:textId="77777777" w:rsidR="004E052C" w:rsidRDefault="004E052C" w:rsidP="004E052C">
            <w:pPr>
              <w:jc w:val="both"/>
              <w:rPr>
                <w:rFonts w:ascii="Bookman Old Style" w:eastAsiaTheme="minorEastAsia" w:hAnsi="Bookman Old Style"/>
              </w:rPr>
            </w:pPr>
          </w:p>
          <w:p w14:paraId="61289DDE" w14:textId="77777777" w:rsidR="004E052C" w:rsidRPr="001A7CB7" w:rsidRDefault="004E052C" w:rsidP="004E052C">
            <w:pPr>
              <w:jc w:val="both"/>
              <w:rPr>
                <w:rFonts w:ascii="Bookman Old Style" w:eastAsiaTheme="minorEastAsia" w:hAnsi="Bookman Old Style"/>
              </w:rPr>
            </w:pPr>
            <m:oMathPara>
              <m:oMath>
                <m:r>
                  <w:rPr>
                    <w:rFonts w:ascii="Cambria Math" w:eastAsiaTheme="minorEastAsia" w:hAnsi="Cambria Math"/>
                  </w:rPr>
                  <m:t>WACC=</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E</m:t>
                        </m:r>
                      </m:num>
                      <m:den>
                        <m:r>
                          <w:rPr>
                            <w:rFonts w:ascii="Cambria Math" w:eastAsiaTheme="minorEastAsia" w:hAnsi="Cambria Math"/>
                          </w:rPr>
                          <m:t>V</m:t>
                        </m:r>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m:t>
                            </m:r>
                          </m:sub>
                        </m:sSub>
                      </m:num>
                      <m:den>
                        <m:r>
                          <w:rPr>
                            <w:rFonts w:ascii="Cambria Math" w:eastAsiaTheme="minorEastAsia" w:hAnsi="Cambria Math"/>
                          </w:rPr>
                          <m:t>V</m:t>
                        </m:r>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*29.2%+</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*10%*</m:t>
                </m:r>
                <m:d>
                  <m:dPr>
                    <m:ctrlPr>
                      <w:rPr>
                        <w:rFonts w:ascii="Cambria Math" w:eastAsiaTheme="minorEastAsia" w:hAnsi="Cambria Math"/>
                        <w:i/>
                      </w:rPr>
                    </m:ctrlPr>
                  </m:dPr>
                  <m:e>
                    <m:r>
                      <w:rPr>
                        <w:rFonts w:ascii="Cambria Math" w:eastAsiaTheme="minorEastAsia" w:hAnsi="Cambria Math"/>
                      </w:rPr>
                      <m:t>1-0.40</m:t>
                    </m:r>
                  </m:e>
                </m:d>
                <m:r>
                  <w:rPr>
                    <w:rFonts w:ascii="Cambria Math" w:eastAsiaTheme="minorEastAsia" w:hAnsi="Cambria Math"/>
                  </w:rPr>
                  <m:t>=21.47%</m:t>
                </m:r>
              </m:oMath>
            </m:oMathPara>
          </w:p>
          <w:p w14:paraId="6E3D36D8" w14:textId="77777777" w:rsidR="004E052C" w:rsidRDefault="004E052C" w:rsidP="004E052C">
            <w:pPr>
              <w:jc w:val="both"/>
              <w:rPr>
                <w:rFonts w:ascii="Bookman Old Style" w:eastAsiaTheme="minorEastAsia" w:hAnsi="Bookman Old Style"/>
              </w:rPr>
            </w:pPr>
          </w:p>
          <w:p w14:paraId="3D6DFD92"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The PV is thus:</w:t>
            </w:r>
          </w:p>
          <w:p w14:paraId="3FA5A2AE" w14:textId="77777777" w:rsidR="004E052C" w:rsidRPr="004E052C" w:rsidRDefault="004E052C" w:rsidP="004E052C">
            <w:pPr>
              <w:jc w:val="both"/>
              <w:rPr>
                <w:rFonts w:ascii="Bookman Old Style" w:eastAsiaTheme="minorEastAsia" w:hAnsi="Bookman Old Style"/>
              </w:rPr>
            </w:pPr>
            <m:oMathPara>
              <m:oMath>
                <m:r>
                  <w:rPr>
                    <w:rFonts w:ascii="Cambria Math" w:eastAsiaTheme="minorEastAsia" w:hAnsi="Cambria Math"/>
                  </w:rPr>
                  <m:t>PV=$5</m:t>
                </m:r>
                <m:f>
                  <m:fPr>
                    <m:ctrlPr>
                      <w:rPr>
                        <w:rFonts w:ascii="Cambria Math" w:eastAsiaTheme="minorEastAsia" w:hAnsi="Cambria Math"/>
                        <w:i/>
                      </w:rPr>
                    </m:ctrlPr>
                  </m:fPr>
                  <m:num>
                    <m:r>
                      <w:rPr>
                        <w:rFonts w:ascii="Cambria Math" w:eastAsiaTheme="minorEastAsia" w:hAnsi="Cambria Math"/>
                      </w:rPr>
                      <m:t>million</m:t>
                    </m:r>
                  </m:num>
                  <m:den>
                    <m:d>
                      <m:dPr>
                        <m:begChr m:val="["/>
                        <m:endChr m:val="]"/>
                        <m:ctrlPr>
                          <w:rPr>
                            <w:rFonts w:ascii="Cambria Math" w:eastAsiaTheme="minorEastAsia" w:hAnsi="Cambria Math"/>
                            <w:i/>
                          </w:rPr>
                        </m:ctrlPr>
                      </m:dPr>
                      <m:e>
                        <m:r>
                          <w:rPr>
                            <w:rFonts w:ascii="Cambria Math" w:eastAsiaTheme="minorEastAsia" w:hAnsi="Cambria Math"/>
                          </w:rPr>
                          <m:t>0.2147-0.05</m:t>
                        </m:r>
                      </m:e>
                    </m:d>
                  </m:den>
                </m:f>
                <m:r>
                  <w:rPr>
                    <w:rFonts w:ascii="Cambria Math" w:eastAsiaTheme="minorEastAsia" w:hAnsi="Cambria Math"/>
                  </w:rPr>
                  <m:t>=$30.36 million</m:t>
                </m:r>
              </m:oMath>
            </m:oMathPara>
          </w:p>
          <w:p w14:paraId="505EC27B" w14:textId="77777777" w:rsidR="004E052C" w:rsidRDefault="004E052C" w:rsidP="004E052C">
            <w:pPr>
              <w:jc w:val="both"/>
              <w:rPr>
                <w:rFonts w:ascii="Bookman Old Style" w:eastAsiaTheme="minorEastAsia" w:hAnsi="Bookman Old Style"/>
              </w:rPr>
            </w:pPr>
          </w:p>
          <w:p w14:paraId="5E57B748" w14:textId="77777777" w:rsidR="004E052C" w:rsidRDefault="004E052C" w:rsidP="004E052C">
            <w:pPr>
              <w:jc w:val="both"/>
              <w:rPr>
                <w:rFonts w:ascii="Bookman Old Style" w:eastAsiaTheme="minorEastAsia" w:hAnsi="Bookman Old Style"/>
              </w:rPr>
            </w:pPr>
            <w:r>
              <w:rPr>
                <w:rFonts w:ascii="Bookman Old Style" w:eastAsiaTheme="minorEastAsia" w:hAnsi="Bookman Old Style"/>
              </w:rPr>
              <w:t>The NPV is positive only if the cost is less than $30.36 million.</w:t>
            </w:r>
          </w:p>
          <w:p w14:paraId="2941EA26" w14:textId="77777777" w:rsidR="004E052C" w:rsidRDefault="004E052C" w:rsidP="008B2607">
            <w:pPr>
              <w:jc w:val="both"/>
              <w:rPr>
                <w:rFonts w:ascii="Bookman Old Style" w:eastAsiaTheme="minorEastAsia" w:hAnsi="Bookman Old Style"/>
              </w:rPr>
            </w:pPr>
          </w:p>
        </w:tc>
      </w:tr>
    </w:tbl>
    <w:p w14:paraId="5983000B" w14:textId="77777777" w:rsidR="004E052C" w:rsidRDefault="004E052C" w:rsidP="008B2607">
      <w:pPr>
        <w:spacing w:after="0" w:line="240" w:lineRule="auto"/>
        <w:jc w:val="both"/>
        <w:rPr>
          <w:rFonts w:ascii="Bookman Old Style" w:eastAsiaTheme="minorEastAsia" w:hAnsi="Bookman Old Style"/>
        </w:rPr>
      </w:pPr>
    </w:p>
    <w:p w14:paraId="56112A7C" w14:textId="77777777" w:rsidR="004E052C" w:rsidRDefault="004E052C" w:rsidP="008B2607">
      <w:pPr>
        <w:spacing w:after="0" w:line="240" w:lineRule="auto"/>
        <w:jc w:val="both"/>
        <w:rPr>
          <w:rFonts w:ascii="Bookman Old Style" w:eastAsiaTheme="minorEastAsia" w:hAnsi="Bookman Old Style"/>
        </w:rPr>
      </w:pPr>
    </w:p>
    <w:p w14:paraId="6B97B9CD" w14:textId="77777777" w:rsidR="004E052C" w:rsidRDefault="004E052C" w:rsidP="008B2607">
      <w:pPr>
        <w:spacing w:after="0" w:line="240" w:lineRule="auto"/>
        <w:jc w:val="both"/>
        <w:rPr>
          <w:rFonts w:ascii="Bookman Old Style" w:eastAsiaTheme="minorEastAsia" w:hAnsi="Bookman Old Style"/>
        </w:rPr>
      </w:pPr>
    </w:p>
    <w:p w14:paraId="36BFD6BF" w14:textId="77777777" w:rsidR="004E052C" w:rsidRDefault="004E052C" w:rsidP="008B2607">
      <w:pPr>
        <w:spacing w:after="0" w:line="240" w:lineRule="auto"/>
        <w:jc w:val="both"/>
        <w:rPr>
          <w:rFonts w:ascii="Bookman Old Style" w:eastAsiaTheme="minorEastAsia" w:hAnsi="Bookman Old Style"/>
        </w:rPr>
      </w:pPr>
    </w:p>
    <w:p w14:paraId="789E3F2A" w14:textId="77777777" w:rsidR="004E052C" w:rsidRDefault="004E052C" w:rsidP="008B2607">
      <w:pPr>
        <w:spacing w:after="0" w:line="240" w:lineRule="auto"/>
        <w:jc w:val="both"/>
        <w:rPr>
          <w:rFonts w:ascii="Bookman Old Style" w:eastAsiaTheme="minorEastAsia" w:hAnsi="Bookman Old Style"/>
        </w:rPr>
      </w:pPr>
    </w:p>
    <w:p w14:paraId="69EA3008" w14:textId="77777777" w:rsidR="004E052C" w:rsidRDefault="004E052C" w:rsidP="008B2607">
      <w:pPr>
        <w:spacing w:after="0" w:line="240" w:lineRule="auto"/>
        <w:jc w:val="both"/>
        <w:rPr>
          <w:rFonts w:ascii="Bookman Old Style" w:eastAsiaTheme="minorEastAsia" w:hAnsi="Bookman Old Style"/>
        </w:rPr>
      </w:pPr>
    </w:p>
    <w:p w14:paraId="584193D2" w14:textId="77777777" w:rsidR="004E052C" w:rsidRDefault="004E052C" w:rsidP="008B2607">
      <w:pPr>
        <w:spacing w:after="0" w:line="240" w:lineRule="auto"/>
        <w:jc w:val="both"/>
        <w:rPr>
          <w:rFonts w:ascii="Bookman Old Style" w:eastAsiaTheme="minorEastAsia" w:hAnsi="Bookman Old Style"/>
        </w:rPr>
      </w:pPr>
    </w:p>
    <w:p w14:paraId="66D0D539" w14:textId="77777777" w:rsidR="004E052C" w:rsidRDefault="004E052C" w:rsidP="008B2607">
      <w:pPr>
        <w:spacing w:after="0" w:line="240" w:lineRule="auto"/>
        <w:jc w:val="both"/>
        <w:rPr>
          <w:rFonts w:ascii="Bookman Old Style" w:eastAsiaTheme="minorEastAsia" w:hAnsi="Bookman Old Style"/>
        </w:rPr>
      </w:pPr>
    </w:p>
    <w:p w14:paraId="7490E829" w14:textId="77777777" w:rsidR="004E052C" w:rsidRDefault="004E052C" w:rsidP="008B2607">
      <w:pPr>
        <w:spacing w:after="0" w:line="240" w:lineRule="auto"/>
        <w:jc w:val="both"/>
        <w:rPr>
          <w:rFonts w:ascii="Bookman Old Style" w:eastAsiaTheme="minorEastAsia" w:hAnsi="Bookman Old Style"/>
        </w:rPr>
      </w:pPr>
    </w:p>
    <w:p w14:paraId="762761C8" w14:textId="77777777" w:rsidR="004E052C" w:rsidRDefault="004E052C" w:rsidP="008B2607">
      <w:pPr>
        <w:spacing w:after="0" w:line="240" w:lineRule="auto"/>
        <w:jc w:val="both"/>
        <w:rPr>
          <w:rFonts w:ascii="Bookman Old Style" w:eastAsiaTheme="minorEastAsia" w:hAnsi="Bookman Old Style"/>
        </w:rPr>
      </w:pPr>
    </w:p>
    <w:p w14:paraId="5FDF1D48" w14:textId="77777777" w:rsidR="004E052C" w:rsidRDefault="004E052C" w:rsidP="008B2607">
      <w:pPr>
        <w:spacing w:after="0" w:line="240" w:lineRule="auto"/>
        <w:jc w:val="both"/>
        <w:rPr>
          <w:rFonts w:ascii="Bookman Old Style" w:eastAsiaTheme="minorEastAsia" w:hAnsi="Bookman Old Style"/>
        </w:rPr>
      </w:pPr>
    </w:p>
    <w:p w14:paraId="0D733517" w14:textId="77777777" w:rsidR="004E052C" w:rsidRDefault="004E052C" w:rsidP="008B2607">
      <w:pPr>
        <w:spacing w:after="0" w:line="240" w:lineRule="auto"/>
        <w:jc w:val="both"/>
        <w:rPr>
          <w:rFonts w:ascii="Bookman Old Style" w:eastAsiaTheme="minorEastAsia" w:hAnsi="Bookman Old Style"/>
        </w:rPr>
      </w:pPr>
    </w:p>
    <w:p w14:paraId="17C87658" w14:textId="77777777" w:rsidR="004E052C" w:rsidRDefault="004E052C" w:rsidP="008B2607">
      <w:pPr>
        <w:spacing w:after="0" w:line="240" w:lineRule="auto"/>
        <w:jc w:val="both"/>
        <w:rPr>
          <w:rFonts w:ascii="Bookman Old Style" w:eastAsiaTheme="minorEastAsia" w:hAnsi="Bookman Old Style"/>
        </w:rPr>
      </w:pPr>
    </w:p>
    <w:p w14:paraId="0070D049" w14:textId="77777777" w:rsidR="004E052C" w:rsidRDefault="004E052C" w:rsidP="008B2607">
      <w:pPr>
        <w:spacing w:after="0" w:line="240" w:lineRule="auto"/>
        <w:jc w:val="both"/>
        <w:rPr>
          <w:rFonts w:ascii="Bookman Old Style" w:eastAsiaTheme="minorEastAsia" w:hAnsi="Bookman Old Style"/>
        </w:rPr>
      </w:pPr>
    </w:p>
    <w:p w14:paraId="02F32A7C" w14:textId="77777777" w:rsidR="004E052C" w:rsidRDefault="004E052C" w:rsidP="008B2607">
      <w:pPr>
        <w:spacing w:after="0" w:line="240" w:lineRule="auto"/>
        <w:jc w:val="both"/>
        <w:rPr>
          <w:rFonts w:ascii="Bookman Old Style" w:eastAsiaTheme="minorEastAsia" w:hAnsi="Bookman Old Style"/>
        </w:rPr>
      </w:pPr>
    </w:p>
    <w:p w14:paraId="45B17FBC" w14:textId="77777777" w:rsidR="004E052C" w:rsidRDefault="004E052C" w:rsidP="008B2607">
      <w:pPr>
        <w:spacing w:after="0" w:line="240" w:lineRule="auto"/>
        <w:jc w:val="both"/>
        <w:rPr>
          <w:rFonts w:ascii="Bookman Old Style" w:eastAsiaTheme="minorEastAsia" w:hAnsi="Bookman Old Style"/>
        </w:rPr>
      </w:pPr>
    </w:p>
    <w:p w14:paraId="457E2679" w14:textId="77777777" w:rsidR="004E052C" w:rsidRPr="004E052C" w:rsidRDefault="004E052C" w:rsidP="008B2607">
      <w:pPr>
        <w:spacing w:after="0" w:line="240" w:lineRule="auto"/>
        <w:jc w:val="both"/>
        <w:rPr>
          <w:rFonts w:ascii="Bookman Old Style" w:eastAsiaTheme="minorEastAsia" w:hAnsi="Bookman Old Style"/>
        </w:rPr>
      </w:pPr>
    </w:p>
    <w:p w14:paraId="2848574A" w14:textId="77777777" w:rsidR="001A7CB7" w:rsidRDefault="001A7CB7" w:rsidP="008B2607">
      <w:pPr>
        <w:spacing w:after="0" w:line="240" w:lineRule="auto"/>
        <w:jc w:val="both"/>
        <w:rPr>
          <w:rFonts w:ascii="Bookman Old Style" w:eastAsiaTheme="minorEastAsia" w:hAnsi="Bookman Old Style"/>
        </w:rPr>
      </w:pPr>
    </w:p>
    <w:p w14:paraId="7A497158" w14:textId="77777777" w:rsidR="001A7CB7" w:rsidRPr="0016127D" w:rsidRDefault="001A7CB7" w:rsidP="008B2607">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9576"/>
      </w:tblGrid>
      <w:tr w:rsidR="008B2607" w14:paraId="4BEB82CA" w14:textId="77777777" w:rsidTr="0016127D">
        <w:tc>
          <w:tcPr>
            <w:tcW w:w="9576" w:type="dxa"/>
            <w:tcBorders>
              <w:left w:val="single" w:sz="4" w:space="0" w:color="auto"/>
              <w:bottom w:val="nil"/>
              <w:right w:val="single" w:sz="4" w:space="0" w:color="auto"/>
            </w:tcBorders>
          </w:tcPr>
          <w:p w14:paraId="75C61A4A" w14:textId="0B81727D" w:rsidR="008B2607" w:rsidRPr="004E052C" w:rsidRDefault="008B2607" w:rsidP="0016127D">
            <w:pPr>
              <w:jc w:val="center"/>
              <w:rPr>
                <w:rFonts w:ascii="Bookman Old Style" w:eastAsiaTheme="minorEastAsia" w:hAnsi="Bookman Old Style"/>
                <w:b/>
                <w:sz w:val="18"/>
                <w:u w:val="single"/>
              </w:rPr>
            </w:pPr>
            <w:r w:rsidRPr="004E052C">
              <w:rPr>
                <w:rFonts w:ascii="Bookman Old Style" w:eastAsiaTheme="minorEastAsia" w:hAnsi="Bookman Old Style"/>
                <w:b/>
                <w:sz w:val="18"/>
                <w:u w:val="single"/>
              </w:rPr>
              <w:lastRenderedPageBreak/>
              <w:t>SUMMARY OF CAPITAL COST CALCULATIONS</w:t>
            </w:r>
          </w:p>
        </w:tc>
      </w:tr>
      <w:tr w:rsidR="008B2607" w14:paraId="5C4A8E33" w14:textId="77777777" w:rsidTr="0016127D">
        <w:tc>
          <w:tcPr>
            <w:tcW w:w="9576" w:type="dxa"/>
            <w:tcBorders>
              <w:top w:val="nil"/>
              <w:left w:val="single" w:sz="4" w:space="0" w:color="auto"/>
              <w:bottom w:val="nil"/>
              <w:right w:val="single" w:sz="4" w:space="0" w:color="auto"/>
            </w:tcBorders>
          </w:tcPr>
          <w:p w14:paraId="25056D9B" w14:textId="46769433" w:rsidR="008B2607" w:rsidRPr="004E052C" w:rsidRDefault="008B2607" w:rsidP="008B2607">
            <w:pPr>
              <w:jc w:val="both"/>
              <w:rPr>
                <w:rFonts w:ascii="Bookman Old Style" w:eastAsiaTheme="minorEastAsia" w:hAnsi="Bookman Old Style"/>
                <w:sz w:val="18"/>
              </w:rPr>
            </w:pPr>
          </w:p>
        </w:tc>
      </w:tr>
      <w:tr w:rsidR="008B2607" w14:paraId="740CB8DD" w14:textId="77777777" w:rsidTr="0016127D">
        <w:tc>
          <w:tcPr>
            <w:tcW w:w="9576" w:type="dxa"/>
            <w:tcBorders>
              <w:top w:val="nil"/>
              <w:left w:val="single" w:sz="4" w:space="0" w:color="auto"/>
              <w:bottom w:val="single" w:sz="4" w:space="0" w:color="auto"/>
              <w:right w:val="single" w:sz="4" w:space="0" w:color="auto"/>
            </w:tcBorders>
          </w:tcPr>
          <w:p w14:paraId="333E31E4" w14:textId="783261B8" w:rsidR="008B2607" w:rsidRPr="004E052C" w:rsidRDefault="008B2607" w:rsidP="008B2607">
            <w:pPr>
              <w:jc w:val="both"/>
              <w:rPr>
                <w:rFonts w:ascii="Bookman Old Style" w:eastAsiaTheme="minorEastAsia" w:hAnsi="Bookman Old Style"/>
                <w:b/>
                <w:sz w:val="18"/>
              </w:rPr>
            </w:pPr>
            <w:r w:rsidRPr="004E052C">
              <w:rPr>
                <w:rFonts w:ascii="Bookman Old Style" w:eastAsiaTheme="minorEastAsia" w:hAnsi="Bookman Old Style"/>
                <w:b/>
                <w:sz w:val="18"/>
              </w:rPr>
              <w:t xml:space="preserve">The Cost of Equity, </w:t>
            </w:r>
            <m:oMath>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E</m:t>
                  </m:r>
                </m:sub>
              </m:sSub>
            </m:oMath>
          </w:p>
        </w:tc>
      </w:tr>
      <w:tr w:rsidR="008B2607" w14:paraId="1B3A8167" w14:textId="77777777" w:rsidTr="0016127D">
        <w:tc>
          <w:tcPr>
            <w:tcW w:w="9576" w:type="dxa"/>
            <w:tcBorders>
              <w:bottom w:val="nil"/>
            </w:tcBorders>
          </w:tcPr>
          <w:p w14:paraId="5D76E2DE" w14:textId="1B79E312" w:rsidR="008B2607" w:rsidRPr="004E052C" w:rsidRDefault="008B2607" w:rsidP="006F2196">
            <w:pPr>
              <w:pStyle w:val="ListParagraph"/>
              <w:numPr>
                <w:ilvl w:val="0"/>
                <w:numId w:val="10"/>
              </w:numPr>
              <w:jc w:val="both"/>
              <w:rPr>
                <w:rFonts w:ascii="Bookman Old Style" w:eastAsiaTheme="minorEastAsia" w:hAnsi="Bookman Old Style"/>
                <w:sz w:val="18"/>
              </w:rPr>
            </w:pPr>
            <w:r w:rsidRPr="004E052C">
              <w:rPr>
                <w:rFonts w:ascii="Bookman Old Style" w:eastAsiaTheme="minorEastAsia" w:hAnsi="Bookman Old Style"/>
                <w:sz w:val="18"/>
              </w:rPr>
              <w:t>The SML approach:</w:t>
            </w:r>
          </w:p>
          <w:p w14:paraId="54709106" w14:textId="3C080ED1" w:rsidR="008B2607" w:rsidRPr="004E052C" w:rsidRDefault="00E741F7" w:rsidP="008B2607">
            <w:pPr>
              <w:pStyle w:val="ListParagraph"/>
              <w:jc w:val="both"/>
              <w:rPr>
                <w:rFonts w:ascii="Bookman Old Style" w:eastAsiaTheme="minorEastAsia" w:hAnsi="Bookman Old Style"/>
                <w:b/>
                <w:sz w:val="18"/>
              </w:rPr>
            </w:pPr>
            <m:oMathPara>
              <m:oMath>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E</m:t>
                    </m:r>
                  </m:sub>
                </m:sSub>
                <m:r>
                  <m:rPr>
                    <m:sty m:val="bi"/>
                  </m:rPr>
                  <w:rPr>
                    <w:rFonts w:ascii="Cambria Math" w:eastAsiaTheme="minorEastAsia" w:hAnsi="Cambria Math"/>
                    <w:sz w:val="18"/>
                  </w:rPr>
                  <m:t>=</m:t>
                </m:r>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f</m:t>
                    </m:r>
                  </m:sub>
                </m:sSub>
                <m:r>
                  <m:rPr>
                    <m:sty m:val="bi"/>
                  </m:rPr>
                  <w:rPr>
                    <w:rFonts w:ascii="Cambria Math" w:eastAsiaTheme="minorEastAsia" w:hAnsi="Cambria Math"/>
                    <w:sz w:val="18"/>
                  </w:rPr>
                  <m:t>+</m:t>
                </m:r>
                <m:d>
                  <m:dPr>
                    <m:ctrlPr>
                      <w:rPr>
                        <w:rFonts w:ascii="Cambria Math" w:eastAsiaTheme="minorEastAsia" w:hAnsi="Cambria Math"/>
                        <w:b/>
                        <w:i/>
                        <w:sz w:val="18"/>
                      </w:rPr>
                    </m:ctrlPr>
                  </m:dPr>
                  <m:e>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M</m:t>
                        </m:r>
                      </m:sub>
                    </m:sSub>
                    <m:r>
                      <m:rPr>
                        <m:sty m:val="bi"/>
                      </m:rPr>
                      <w:rPr>
                        <w:rFonts w:ascii="Cambria Math" w:eastAsiaTheme="minorEastAsia" w:hAnsi="Cambria Math"/>
                        <w:sz w:val="18"/>
                      </w:rPr>
                      <m:t>-</m:t>
                    </m:r>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f</m:t>
                        </m:r>
                      </m:sub>
                    </m:sSub>
                  </m:e>
                </m:d>
                <m:r>
                  <m:rPr>
                    <m:sty m:val="bi"/>
                  </m:rPr>
                  <w:rPr>
                    <w:rFonts w:ascii="Cambria Math" w:eastAsiaTheme="minorEastAsia" w:hAnsi="Cambria Math"/>
                    <w:sz w:val="18"/>
                  </w:rPr>
                  <m:t>*</m:t>
                </m:r>
                <m:sSub>
                  <m:sSubPr>
                    <m:ctrlPr>
                      <w:rPr>
                        <w:rFonts w:ascii="Cambria Math" w:eastAsiaTheme="minorEastAsia" w:hAnsi="Cambria Math"/>
                        <w:b/>
                        <w:i/>
                        <w:sz w:val="18"/>
                      </w:rPr>
                    </m:ctrlPr>
                  </m:sSubPr>
                  <m:e>
                    <m:r>
                      <m:rPr>
                        <m:sty m:val="bi"/>
                      </m:rPr>
                      <w:rPr>
                        <w:rFonts w:ascii="Cambria Math" w:eastAsiaTheme="minorEastAsia" w:hAnsi="Cambria Math"/>
                        <w:sz w:val="18"/>
                      </w:rPr>
                      <m:t>β</m:t>
                    </m:r>
                  </m:e>
                  <m:sub>
                    <m:r>
                      <m:rPr>
                        <m:sty m:val="bi"/>
                      </m:rPr>
                      <w:rPr>
                        <w:rFonts w:ascii="Cambria Math" w:eastAsiaTheme="minorEastAsia" w:hAnsi="Cambria Math"/>
                        <w:sz w:val="18"/>
                      </w:rPr>
                      <m:t>E</m:t>
                    </m:r>
                  </m:sub>
                </m:sSub>
              </m:oMath>
            </m:oMathPara>
          </w:p>
          <w:p w14:paraId="7D786AFF" w14:textId="77777777" w:rsidR="0016127D" w:rsidRPr="004E052C" w:rsidRDefault="0016127D" w:rsidP="008B2607">
            <w:pPr>
              <w:pStyle w:val="ListParagraph"/>
              <w:jc w:val="both"/>
              <w:rPr>
                <w:rFonts w:ascii="Bookman Old Style" w:eastAsiaTheme="minorEastAsia" w:hAnsi="Bookman Old Style"/>
                <w:sz w:val="18"/>
              </w:rPr>
            </w:pPr>
          </w:p>
          <w:p w14:paraId="0FADA4FC" w14:textId="7BC9C3C1" w:rsidR="0016127D" w:rsidRPr="004E052C" w:rsidRDefault="0016127D" w:rsidP="008B2607">
            <w:pPr>
              <w:pStyle w:val="ListParagraph"/>
              <w:jc w:val="both"/>
              <w:rPr>
                <w:rFonts w:ascii="Bookman Old Style" w:eastAsiaTheme="minorEastAsia" w:hAnsi="Bookman Old Style"/>
                <w:sz w:val="18"/>
              </w:rPr>
            </w:pPr>
            <w:r w:rsidRPr="004E052C">
              <w:rPr>
                <w:rFonts w:ascii="Bookman Old Style" w:eastAsiaTheme="minorEastAsia" w:hAnsi="Bookman Old Style"/>
                <w:sz w:val="18"/>
              </w:rPr>
              <w:t xml:space="preserve">Where </w:t>
            </w:r>
            <m:oMath>
              <m:sSub>
                <m:sSubPr>
                  <m:ctrlPr>
                    <w:rPr>
                      <w:rFonts w:ascii="Cambria Math" w:eastAsiaTheme="minorEastAsia" w:hAnsi="Cambria Math"/>
                      <w:i/>
                      <w:sz w:val="18"/>
                    </w:rPr>
                  </m:ctrlPr>
                </m:sSubPr>
                <m:e>
                  <m:r>
                    <w:rPr>
                      <w:rFonts w:ascii="Cambria Math" w:eastAsiaTheme="minorEastAsia" w:hAnsi="Cambria Math"/>
                      <w:sz w:val="18"/>
                    </w:rPr>
                    <m:t>R</m:t>
                  </m:r>
                </m:e>
                <m:sub>
                  <m:r>
                    <w:rPr>
                      <w:rFonts w:ascii="Cambria Math" w:eastAsiaTheme="minorEastAsia" w:hAnsi="Cambria Math"/>
                      <w:sz w:val="18"/>
                    </w:rPr>
                    <m:t>f</m:t>
                  </m:r>
                </m:sub>
              </m:sSub>
            </m:oMath>
            <w:r w:rsidRPr="004E052C">
              <w:rPr>
                <w:rFonts w:ascii="Bookman Old Style" w:eastAsiaTheme="minorEastAsia" w:hAnsi="Bookman Old Style"/>
                <w:sz w:val="18"/>
              </w:rPr>
              <w:t xml:space="preserve"> is the risk-free rate, </w:t>
            </w:r>
            <m:oMath>
              <m:sSub>
                <m:sSubPr>
                  <m:ctrlPr>
                    <w:rPr>
                      <w:rFonts w:ascii="Cambria Math" w:eastAsiaTheme="minorEastAsia" w:hAnsi="Cambria Math"/>
                      <w:i/>
                      <w:sz w:val="18"/>
                    </w:rPr>
                  </m:ctrlPr>
                </m:sSubPr>
                <m:e>
                  <m:r>
                    <w:rPr>
                      <w:rFonts w:ascii="Cambria Math" w:eastAsiaTheme="minorEastAsia" w:hAnsi="Cambria Math"/>
                      <w:sz w:val="18"/>
                    </w:rPr>
                    <m:t>R</m:t>
                  </m:r>
                </m:e>
                <m:sub>
                  <m:r>
                    <w:rPr>
                      <w:rFonts w:ascii="Cambria Math" w:eastAsiaTheme="minorEastAsia" w:hAnsi="Cambria Math"/>
                      <w:sz w:val="18"/>
                    </w:rPr>
                    <m:t>M</m:t>
                  </m:r>
                </m:sub>
              </m:sSub>
            </m:oMath>
            <w:r w:rsidRPr="004E052C">
              <w:rPr>
                <w:rFonts w:ascii="Bookman Old Style" w:eastAsiaTheme="minorEastAsia" w:hAnsi="Bookman Old Style"/>
                <w:sz w:val="18"/>
              </w:rPr>
              <w:t xml:space="preserve"> is the expected return on the overall market and </w:t>
            </w:r>
            <m:oMath>
              <m:sSub>
                <m:sSubPr>
                  <m:ctrlPr>
                    <w:rPr>
                      <w:rFonts w:ascii="Cambria Math" w:eastAsiaTheme="minorEastAsia" w:hAnsi="Cambria Math"/>
                      <w:i/>
                      <w:sz w:val="18"/>
                    </w:rPr>
                  </m:ctrlPr>
                </m:sSubPr>
                <m:e>
                  <m:r>
                    <w:rPr>
                      <w:rFonts w:ascii="Cambria Math" w:eastAsiaTheme="minorEastAsia" w:hAnsi="Cambria Math"/>
                      <w:sz w:val="18"/>
                    </w:rPr>
                    <m:t>β</m:t>
                  </m:r>
                </m:e>
                <m:sub>
                  <m:r>
                    <w:rPr>
                      <w:rFonts w:ascii="Cambria Math" w:eastAsiaTheme="minorEastAsia" w:hAnsi="Cambria Math"/>
                      <w:sz w:val="18"/>
                    </w:rPr>
                    <m:t>E</m:t>
                  </m:r>
                </m:sub>
              </m:sSub>
            </m:oMath>
            <w:r w:rsidRPr="004E052C">
              <w:rPr>
                <w:rFonts w:ascii="Bookman Old Style" w:eastAsiaTheme="minorEastAsia" w:hAnsi="Bookman Old Style"/>
                <w:sz w:val="18"/>
              </w:rPr>
              <w:t xml:space="preserve"> is the systematic risk of the equity</w:t>
            </w:r>
          </w:p>
          <w:p w14:paraId="271CE99A" w14:textId="695C62AD" w:rsidR="0016127D" w:rsidRPr="004E052C" w:rsidRDefault="0016127D" w:rsidP="008B2607">
            <w:pPr>
              <w:pStyle w:val="ListParagraph"/>
              <w:jc w:val="both"/>
              <w:rPr>
                <w:rFonts w:ascii="Bookman Old Style" w:eastAsiaTheme="minorEastAsia" w:hAnsi="Bookman Old Style"/>
                <w:sz w:val="18"/>
              </w:rPr>
            </w:pPr>
          </w:p>
        </w:tc>
      </w:tr>
      <w:tr w:rsidR="008B2607" w14:paraId="76573B0E" w14:textId="77777777" w:rsidTr="0016127D">
        <w:tc>
          <w:tcPr>
            <w:tcW w:w="9576" w:type="dxa"/>
            <w:tcBorders>
              <w:top w:val="nil"/>
              <w:bottom w:val="nil"/>
            </w:tcBorders>
          </w:tcPr>
          <w:p w14:paraId="578878A5" w14:textId="0DC63051" w:rsidR="008B2607" w:rsidRPr="004E052C" w:rsidRDefault="008B2607" w:rsidP="006F2196">
            <w:pPr>
              <w:pStyle w:val="ListParagraph"/>
              <w:numPr>
                <w:ilvl w:val="0"/>
                <w:numId w:val="10"/>
              </w:numPr>
              <w:jc w:val="both"/>
              <w:rPr>
                <w:rFonts w:ascii="Bookman Old Style" w:eastAsiaTheme="minorEastAsia" w:hAnsi="Bookman Old Style"/>
                <w:sz w:val="18"/>
              </w:rPr>
            </w:pPr>
            <w:r w:rsidRPr="004E052C">
              <w:rPr>
                <w:rFonts w:ascii="Bookman Old Style" w:eastAsiaTheme="minorEastAsia" w:hAnsi="Bookman Old Style"/>
                <w:sz w:val="18"/>
              </w:rPr>
              <w:t>Dividend Growth Model Approach:</w:t>
            </w:r>
          </w:p>
          <w:p w14:paraId="3AC8BA4E" w14:textId="25C0F093" w:rsidR="008B2607" w:rsidRPr="004E052C" w:rsidRDefault="00E741F7" w:rsidP="008B2607">
            <w:pPr>
              <w:pStyle w:val="ListParagraph"/>
              <w:jc w:val="both"/>
              <w:rPr>
                <w:rFonts w:ascii="Bookman Old Style" w:eastAsiaTheme="minorEastAsia" w:hAnsi="Bookman Old Style"/>
                <w:b/>
                <w:sz w:val="18"/>
              </w:rPr>
            </w:pPr>
            <m:oMathPara>
              <m:oMath>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E</m:t>
                    </m:r>
                  </m:sub>
                </m:sSub>
                <m:r>
                  <m:rPr>
                    <m:sty m:val="bi"/>
                  </m:rPr>
                  <w:rPr>
                    <w:rFonts w:ascii="Cambria Math" w:eastAsiaTheme="minorEastAsia" w:hAnsi="Cambria Math"/>
                    <w:sz w:val="18"/>
                  </w:rPr>
                  <m:t>=</m:t>
                </m:r>
                <m:f>
                  <m:fPr>
                    <m:ctrlPr>
                      <w:rPr>
                        <w:rFonts w:ascii="Cambria Math" w:eastAsiaTheme="minorEastAsia" w:hAnsi="Cambria Math"/>
                        <w:b/>
                        <w:i/>
                        <w:sz w:val="18"/>
                      </w:rPr>
                    </m:ctrlPr>
                  </m:fPr>
                  <m:num>
                    <m:sSub>
                      <m:sSubPr>
                        <m:ctrlPr>
                          <w:rPr>
                            <w:rFonts w:ascii="Cambria Math" w:eastAsiaTheme="minorEastAsia" w:hAnsi="Cambria Math"/>
                            <w:b/>
                            <w:i/>
                            <w:sz w:val="18"/>
                          </w:rPr>
                        </m:ctrlPr>
                      </m:sSubPr>
                      <m:e>
                        <m:r>
                          <m:rPr>
                            <m:sty m:val="bi"/>
                          </m:rPr>
                          <w:rPr>
                            <w:rFonts w:ascii="Cambria Math" w:eastAsiaTheme="minorEastAsia" w:hAnsi="Cambria Math"/>
                            <w:sz w:val="18"/>
                          </w:rPr>
                          <m:t>D</m:t>
                        </m:r>
                      </m:e>
                      <m:sub>
                        <m:r>
                          <m:rPr>
                            <m:sty m:val="bi"/>
                          </m:rPr>
                          <w:rPr>
                            <w:rFonts w:ascii="Cambria Math" w:eastAsiaTheme="minorEastAsia" w:hAnsi="Cambria Math"/>
                            <w:sz w:val="18"/>
                          </w:rPr>
                          <m:t>1</m:t>
                        </m:r>
                      </m:sub>
                    </m:sSub>
                  </m:num>
                  <m:den>
                    <m:sSub>
                      <m:sSubPr>
                        <m:ctrlPr>
                          <w:rPr>
                            <w:rFonts w:ascii="Cambria Math" w:eastAsiaTheme="minorEastAsia" w:hAnsi="Cambria Math"/>
                            <w:b/>
                            <w:i/>
                            <w:sz w:val="18"/>
                          </w:rPr>
                        </m:ctrlPr>
                      </m:sSubPr>
                      <m:e>
                        <m:r>
                          <m:rPr>
                            <m:sty m:val="bi"/>
                          </m:rPr>
                          <w:rPr>
                            <w:rFonts w:ascii="Cambria Math" w:eastAsiaTheme="minorEastAsia" w:hAnsi="Cambria Math"/>
                            <w:sz w:val="18"/>
                          </w:rPr>
                          <m:t>P</m:t>
                        </m:r>
                      </m:e>
                      <m:sub>
                        <m:r>
                          <m:rPr>
                            <m:sty m:val="bi"/>
                          </m:rPr>
                          <w:rPr>
                            <w:rFonts w:ascii="Cambria Math" w:eastAsiaTheme="minorEastAsia" w:hAnsi="Cambria Math"/>
                            <w:sz w:val="18"/>
                          </w:rPr>
                          <m:t>0</m:t>
                        </m:r>
                      </m:sub>
                    </m:sSub>
                  </m:den>
                </m:f>
                <m:r>
                  <m:rPr>
                    <m:sty m:val="bi"/>
                  </m:rPr>
                  <w:rPr>
                    <w:rFonts w:ascii="Cambria Math" w:eastAsiaTheme="minorEastAsia" w:hAnsi="Cambria Math"/>
                    <w:sz w:val="18"/>
                  </w:rPr>
                  <m:t>+g</m:t>
                </m:r>
              </m:oMath>
            </m:oMathPara>
          </w:p>
          <w:p w14:paraId="41A01A60" w14:textId="77777777" w:rsidR="008B2607" w:rsidRPr="004E052C" w:rsidRDefault="008B2607" w:rsidP="008B2607">
            <w:pPr>
              <w:pStyle w:val="ListParagraph"/>
              <w:jc w:val="both"/>
              <w:rPr>
                <w:rFonts w:ascii="Bookman Old Style" w:eastAsiaTheme="minorEastAsia" w:hAnsi="Bookman Old Style"/>
                <w:sz w:val="18"/>
              </w:rPr>
            </w:pPr>
          </w:p>
          <w:p w14:paraId="2E8318B2" w14:textId="49766494" w:rsidR="008B2607" w:rsidRPr="004E052C" w:rsidRDefault="0016127D" w:rsidP="008B2607">
            <w:pPr>
              <w:pStyle w:val="ListParagraph"/>
              <w:jc w:val="both"/>
              <w:rPr>
                <w:rFonts w:ascii="Bookman Old Style" w:eastAsiaTheme="minorEastAsia" w:hAnsi="Bookman Old Style"/>
                <w:sz w:val="18"/>
              </w:rPr>
            </w:pPr>
            <w:r w:rsidRPr="004E052C">
              <w:rPr>
                <w:rFonts w:ascii="Bookman Old Style" w:eastAsiaTheme="minorEastAsia" w:hAnsi="Bookman Old Style"/>
                <w:sz w:val="18"/>
              </w:rPr>
              <w:t>W</w:t>
            </w:r>
            <w:r w:rsidR="008B2607" w:rsidRPr="004E052C">
              <w:rPr>
                <w:rFonts w:ascii="Bookman Old Style" w:eastAsiaTheme="minorEastAsia" w:hAnsi="Bookman Old Style"/>
                <w:sz w:val="18"/>
              </w:rPr>
              <w:t xml:space="preserve">here </w:t>
            </w:r>
            <m:oMath>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1</m:t>
                  </m:r>
                </m:sub>
              </m:sSub>
            </m:oMath>
            <w:r w:rsidR="008B2607" w:rsidRPr="004E052C">
              <w:rPr>
                <w:rFonts w:ascii="Bookman Old Style" w:eastAsiaTheme="minorEastAsia" w:hAnsi="Bookman Old Style"/>
                <w:sz w:val="18"/>
              </w:rPr>
              <w:t xml:space="preserve"> is the expected dividend in one period, </w:t>
            </w:r>
            <w:r w:rsidR="008B2607" w:rsidRPr="004E052C">
              <w:rPr>
                <w:rFonts w:ascii="Bookman Old Style" w:eastAsiaTheme="minorEastAsia" w:hAnsi="Bookman Old Style"/>
                <w:i/>
                <w:sz w:val="18"/>
              </w:rPr>
              <w:t>g</w:t>
            </w:r>
            <w:r w:rsidR="008B2607" w:rsidRPr="004E052C">
              <w:rPr>
                <w:rFonts w:ascii="Bookman Old Style" w:eastAsiaTheme="minorEastAsia" w:hAnsi="Bookman Old Style"/>
                <w:sz w:val="18"/>
              </w:rPr>
              <w:t xml:space="preserve"> is the dividend growth rate and </w:t>
            </w:r>
            <m:oMath>
              <m:sSub>
                <m:sSubPr>
                  <m:ctrlPr>
                    <w:rPr>
                      <w:rFonts w:ascii="Cambria Math" w:eastAsiaTheme="minorEastAsia" w:hAnsi="Cambria Math"/>
                      <w:i/>
                      <w:sz w:val="18"/>
                    </w:rPr>
                  </m:ctrlPr>
                </m:sSubPr>
                <m:e>
                  <m:r>
                    <w:rPr>
                      <w:rFonts w:ascii="Cambria Math" w:eastAsiaTheme="minorEastAsia" w:hAnsi="Cambria Math"/>
                      <w:sz w:val="18"/>
                    </w:rPr>
                    <m:t>P</m:t>
                  </m:r>
                </m:e>
                <m:sub>
                  <m:r>
                    <w:rPr>
                      <w:rFonts w:ascii="Cambria Math" w:eastAsiaTheme="minorEastAsia" w:hAnsi="Cambria Math"/>
                      <w:sz w:val="18"/>
                    </w:rPr>
                    <m:t>0</m:t>
                  </m:r>
                </m:sub>
              </m:sSub>
            </m:oMath>
            <w:r w:rsidR="008B2607" w:rsidRPr="004E052C">
              <w:rPr>
                <w:rFonts w:ascii="Bookman Old Style" w:eastAsiaTheme="minorEastAsia" w:hAnsi="Bookman Old Style"/>
                <w:sz w:val="18"/>
              </w:rPr>
              <w:t xml:space="preserve"> is the current stock price</w:t>
            </w:r>
          </w:p>
        </w:tc>
      </w:tr>
      <w:tr w:rsidR="008B2607" w14:paraId="75D821D8" w14:textId="77777777" w:rsidTr="0016127D">
        <w:tc>
          <w:tcPr>
            <w:tcW w:w="9576" w:type="dxa"/>
            <w:tcBorders>
              <w:top w:val="nil"/>
              <w:bottom w:val="nil"/>
            </w:tcBorders>
          </w:tcPr>
          <w:p w14:paraId="41EB2ADC" w14:textId="77777777" w:rsidR="008B2607" w:rsidRPr="004E052C" w:rsidRDefault="008B2607" w:rsidP="008B2607">
            <w:pPr>
              <w:jc w:val="both"/>
              <w:rPr>
                <w:rFonts w:ascii="Bookman Old Style" w:eastAsiaTheme="minorEastAsia" w:hAnsi="Bookman Old Style"/>
                <w:sz w:val="18"/>
              </w:rPr>
            </w:pPr>
          </w:p>
        </w:tc>
      </w:tr>
      <w:tr w:rsidR="008B2607" w14:paraId="00D016A4" w14:textId="77777777" w:rsidTr="0016127D">
        <w:tc>
          <w:tcPr>
            <w:tcW w:w="9576" w:type="dxa"/>
            <w:tcBorders>
              <w:top w:val="nil"/>
              <w:bottom w:val="single" w:sz="4" w:space="0" w:color="auto"/>
            </w:tcBorders>
          </w:tcPr>
          <w:p w14:paraId="097FA455" w14:textId="0224604E" w:rsidR="008B2607" w:rsidRPr="004E052C" w:rsidRDefault="008B2607" w:rsidP="008B2607">
            <w:pPr>
              <w:jc w:val="both"/>
              <w:rPr>
                <w:rFonts w:ascii="Bookman Old Style" w:eastAsiaTheme="minorEastAsia" w:hAnsi="Bookman Old Style"/>
                <w:b/>
                <w:sz w:val="18"/>
              </w:rPr>
            </w:pPr>
            <w:r w:rsidRPr="004E052C">
              <w:rPr>
                <w:rFonts w:ascii="Bookman Old Style" w:eastAsiaTheme="minorEastAsia" w:hAnsi="Bookman Old Style"/>
                <w:b/>
                <w:sz w:val="18"/>
              </w:rPr>
              <w:t xml:space="preserve">The Cost of Debt, </w:t>
            </w:r>
            <m:oMath>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D</m:t>
                  </m:r>
                </m:sub>
              </m:sSub>
            </m:oMath>
          </w:p>
        </w:tc>
      </w:tr>
      <w:tr w:rsidR="008B2607" w14:paraId="44B95914" w14:textId="77777777" w:rsidTr="0016127D">
        <w:tc>
          <w:tcPr>
            <w:tcW w:w="9576" w:type="dxa"/>
            <w:tcBorders>
              <w:bottom w:val="nil"/>
            </w:tcBorders>
          </w:tcPr>
          <w:p w14:paraId="159B32D4" w14:textId="502A1E25" w:rsidR="008B2607" w:rsidRPr="004E052C" w:rsidRDefault="008B2607" w:rsidP="006F2196">
            <w:pPr>
              <w:pStyle w:val="ListParagraph"/>
              <w:numPr>
                <w:ilvl w:val="0"/>
                <w:numId w:val="10"/>
              </w:numPr>
              <w:jc w:val="both"/>
              <w:rPr>
                <w:rFonts w:ascii="Bookman Old Style" w:eastAsiaTheme="minorEastAsia" w:hAnsi="Bookman Old Style"/>
                <w:sz w:val="18"/>
              </w:rPr>
            </w:pPr>
            <w:r w:rsidRPr="004E052C">
              <w:rPr>
                <w:rFonts w:ascii="Bookman Old Style" w:eastAsiaTheme="minorEastAsia" w:hAnsi="Bookman Old Style"/>
                <w:sz w:val="18"/>
              </w:rPr>
              <w:t xml:space="preserve">For a firm with publicly held debt, the cost of debt can be measured as the yield to maturity on the outstanding debt. The coupon rate is irrelevant. </w:t>
            </w:r>
          </w:p>
          <w:p w14:paraId="07A20D13" w14:textId="77777777" w:rsidR="008B2607" w:rsidRPr="004E052C" w:rsidRDefault="008B2607" w:rsidP="008B2607">
            <w:pPr>
              <w:jc w:val="both"/>
              <w:rPr>
                <w:rFonts w:ascii="Bookman Old Style" w:eastAsiaTheme="minorEastAsia" w:hAnsi="Bookman Old Style"/>
                <w:sz w:val="18"/>
              </w:rPr>
            </w:pPr>
          </w:p>
          <w:p w14:paraId="548064C7" w14:textId="32E2FDCD" w:rsidR="006F2196" w:rsidRPr="004E052C" w:rsidRDefault="008B2607" w:rsidP="006F2196">
            <w:pPr>
              <w:pStyle w:val="ListParagraph"/>
              <w:numPr>
                <w:ilvl w:val="0"/>
                <w:numId w:val="10"/>
              </w:numPr>
              <w:jc w:val="both"/>
              <w:rPr>
                <w:rFonts w:ascii="Bookman Old Style" w:eastAsiaTheme="minorEastAsia" w:hAnsi="Bookman Old Style"/>
                <w:sz w:val="18"/>
              </w:rPr>
            </w:pPr>
            <w:r w:rsidRPr="004E052C">
              <w:rPr>
                <w:rFonts w:ascii="Bookman Old Style" w:eastAsiaTheme="minorEastAsia" w:hAnsi="Bookman Old Style"/>
                <w:sz w:val="18"/>
              </w:rPr>
              <w:t>If the firm has no publicly traded debt, the cost of debt can be measured as</w:t>
            </w:r>
            <w:r w:rsidR="006F2196" w:rsidRPr="004E052C">
              <w:rPr>
                <w:rFonts w:ascii="Bookman Old Style" w:eastAsiaTheme="minorEastAsia" w:hAnsi="Bookman Old Style"/>
                <w:sz w:val="18"/>
              </w:rPr>
              <w:t xml:space="preserve"> the yield to maturity on similarly rated bonds</w:t>
            </w:r>
          </w:p>
          <w:p w14:paraId="07B84EF2" w14:textId="195B094C" w:rsidR="006F2196" w:rsidRPr="004E052C" w:rsidRDefault="006F2196" w:rsidP="008B2607">
            <w:pPr>
              <w:jc w:val="both"/>
              <w:rPr>
                <w:rFonts w:ascii="Bookman Old Style" w:eastAsiaTheme="minorEastAsia" w:hAnsi="Bookman Old Style"/>
                <w:sz w:val="18"/>
              </w:rPr>
            </w:pPr>
          </w:p>
        </w:tc>
      </w:tr>
      <w:tr w:rsidR="006F2196" w14:paraId="264D20E5" w14:textId="77777777" w:rsidTr="0016127D">
        <w:tc>
          <w:tcPr>
            <w:tcW w:w="9576" w:type="dxa"/>
            <w:tcBorders>
              <w:top w:val="nil"/>
            </w:tcBorders>
          </w:tcPr>
          <w:p w14:paraId="50108F0F" w14:textId="151785B1" w:rsidR="006F2196" w:rsidRPr="004E052C" w:rsidRDefault="006F2196" w:rsidP="006F2196">
            <w:pPr>
              <w:jc w:val="both"/>
              <w:rPr>
                <w:rFonts w:ascii="Bookman Old Style" w:eastAsiaTheme="minorEastAsia" w:hAnsi="Bookman Old Style"/>
                <w:b/>
                <w:sz w:val="18"/>
              </w:rPr>
            </w:pPr>
            <w:r w:rsidRPr="004E052C">
              <w:rPr>
                <w:rFonts w:ascii="Bookman Old Style" w:eastAsiaTheme="minorEastAsia" w:hAnsi="Bookman Old Style"/>
                <w:b/>
                <w:sz w:val="18"/>
              </w:rPr>
              <w:t>The Weighted Average Cost of Capital, WACC</w:t>
            </w:r>
          </w:p>
        </w:tc>
      </w:tr>
      <w:tr w:rsidR="006F2196" w14:paraId="6C159A48" w14:textId="77777777" w:rsidTr="008B2607">
        <w:tc>
          <w:tcPr>
            <w:tcW w:w="9576" w:type="dxa"/>
          </w:tcPr>
          <w:p w14:paraId="697B059F" w14:textId="09C77AD6" w:rsidR="006F2196" w:rsidRPr="004E052C" w:rsidRDefault="006F2196" w:rsidP="006F2196">
            <w:pPr>
              <w:pStyle w:val="ListParagraph"/>
              <w:numPr>
                <w:ilvl w:val="0"/>
                <w:numId w:val="10"/>
              </w:numPr>
              <w:jc w:val="both"/>
              <w:rPr>
                <w:rFonts w:ascii="Bookman Old Style" w:eastAsiaTheme="minorEastAsia" w:hAnsi="Bookman Old Style"/>
                <w:sz w:val="18"/>
              </w:rPr>
            </w:pPr>
            <w:r w:rsidRPr="004E052C">
              <w:rPr>
                <w:rFonts w:ascii="Bookman Old Style" w:eastAsiaTheme="minorEastAsia" w:hAnsi="Bookman Old Style"/>
                <w:sz w:val="18"/>
              </w:rPr>
              <w:t>The firm’s WACC is the overall required return on the firm as a whole. It’s the appropriate discount rate to use for cash flow, similar in risk to the overall firm.</w:t>
            </w:r>
          </w:p>
          <w:p w14:paraId="7DD576EA" w14:textId="77777777" w:rsidR="006F2196" w:rsidRPr="004E052C" w:rsidRDefault="006F2196" w:rsidP="006F2196">
            <w:pPr>
              <w:jc w:val="both"/>
              <w:rPr>
                <w:rFonts w:ascii="Bookman Old Style" w:eastAsiaTheme="minorEastAsia" w:hAnsi="Bookman Old Style"/>
                <w:sz w:val="18"/>
              </w:rPr>
            </w:pPr>
          </w:p>
          <w:p w14:paraId="013FF249" w14:textId="353331CB" w:rsidR="006F2196" w:rsidRPr="004E052C" w:rsidRDefault="006F2196" w:rsidP="006F2196">
            <w:pPr>
              <w:pStyle w:val="ListParagraph"/>
              <w:numPr>
                <w:ilvl w:val="0"/>
                <w:numId w:val="10"/>
              </w:numPr>
              <w:jc w:val="both"/>
              <w:rPr>
                <w:rFonts w:ascii="Bookman Old Style" w:eastAsiaTheme="minorEastAsia" w:hAnsi="Bookman Old Style"/>
                <w:sz w:val="18"/>
              </w:rPr>
            </w:pPr>
            <w:r w:rsidRPr="004E052C">
              <w:rPr>
                <w:rFonts w:ascii="Bookman Old Style" w:eastAsiaTheme="minorEastAsia" w:hAnsi="Bookman Old Style"/>
                <w:sz w:val="18"/>
              </w:rPr>
              <w:t>The WACC is calculated as:</w:t>
            </w:r>
          </w:p>
          <w:p w14:paraId="5FA133E4" w14:textId="77777777" w:rsidR="006F2196" w:rsidRPr="004E052C" w:rsidRDefault="006F2196" w:rsidP="006F2196">
            <w:pPr>
              <w:jc w:val="both"/>
              <w:rPr>
                <w:rFonts w:ascii="Bookman Old Style" w:eastAsiaTheme="minorEastAsia" w:hAnsi="Bookman Old Style"/>
                <w:sz w:val="18"/>
              </w:rPr>
            </w:pPr>
          </w:p>
          <w:p w14:paraId="5F5C7915" w14:textId="40FC08DE" w:rsidR="006F2196" w:rsidRPr="004E052C" w:rsidRDefault="0016127D" w:rsidP="006F2196">
            <w:pPr>
              <w:jc w:val="both"/>
              <w:rPr>
                <w:rFonts w:ascii="Bookman Old Style" w:eastAsiaTheme="minorEastAsia" w:hAnsi="Bookman Old Style"/>
                <w:b/>
                <w:sz w:val="18"/>
              </w:rPr>
            </w:pPr>
            <m:oMathPara>
              <m:oMath>
                <m:r>
                  <m:rPr>
                    <m:sty m:val="bi"/>
                  </m:rPr>
                  <w:rPr>
                    <w:rFonts w:ascii="Cambria Math" w:eastAsiaTheme="minorEastAsia" w:hAnsi="Cambria Math"/>
                    <w:sz w:val="18"/>
                  </w:rPr>
                  <m:t>WACC=</m:t>
                </m:r>
                <m:f>
                  <m:fPr>
                    <m:ctrlPr>
                      <w:rPr>
                        <w:rFonts w:ascii="Cambria Math" w:eastAsiaTheme="minorEastAsia" w:hAnsi="Cambria Math"/>
                        <w:b/>
                        <w:i/>
                        <w:sz w:val="18"/>
                      </w:rPr>
                    </m:ctrlPr>
                  </m:fPr>
                  <m:num>
                    <m:r>
                      <m:rPr>
                        <m:sty m:val="bi"/>
                      </m:rPr>
                      <w:rPr>
                        <w:rFonts w:ascii="Cambria Math" w:eastAsiaTheme="minorEastAsia" w:hAnsi="Cambria Math"/>
                        <w:sz w:val="18"/>
                      </w:rPr>
                      <m:t>E</m:t>
                    </m:r>
                  </m:num>
                  <m:den>
                    <m:r>
                      <m:rPr>
                        <m:sty m:val="bi"/>
                      </m:rPr>
                      <w:rPr>
                        <w:rFonts w:ascii="Cambria Math" w:eastAsiaTheme="minorEastAsia" w:hAnsi="Cambria Math"/>
                        <w:sz w:val="18"/>
                      </w:rPr>
                      <m:t>V</m:t>
                    </m:r>
                  </m:den>
                </m:f>
                <m:r>
                  <m:rPr>
                    <m:sty m:val="bi"/>
                  </m:rPr>
                  <w:rPr>
                    <w:rFonts w:ascii="Cambria Math" w:eastAsiaTheme="minorEastAsia" w:hAnsi="Cambria Math"/>
                    <w:sz w:val="18"/>
                  </w:rPr>
                  <m:t>*</m:t>
                </m:r>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E</m:t>
                    </m:r>
                  </m:sub>
                </m:sSub>
                <m:r>
                  <m:rPr>
                    <m:sty m:val="bi"/>
                  </m:rPr>
                  <w:rPr>
                    <w:rFonts w:ascii="Cambria Math" w:eastAsiaTheme="minorEastAsia" w:hAnsi="Cambria Math"/>
                    <w:sz w:val="18"/>
                  </w:rPr>
                  <m:t>+</m:t>
                </m:r>
                <m:f>
                  <m:fPr>
                    <m:ctrlPr>
                      <w:rPr>
                        <w:rFonts w:ascii="Cambria Math" w:eastAsiaTheme="minorEastAsia" w:hAnsi="Cambria Math"/>
                        <w:b/>
                        <w:i/>
                        <w:sz w:val="18"/>
                      </w:rPr>
                    </m:ctrlPr>
                  </m:fPr>
                  <m:num>
                    <m:sSub>
                      <m:sSubPr>
                        <m:ctrlPr>
                          <w:rPr>
                            <w:rFonts w:ascii="Cambria Math" w:eastAsiaTheme="minorEastAsia" w:hAnsi="Cambria Math"/>
                            <w:b/>
                            <w:i/>
                            <w:sz w:val="18"/>
                          </w:rPr>
                        </m:ctrlPr>
                      </m:sSubPr>
                      <m:e>
                        <m:r>
                          <m:rPr>
                            <m:sty m:val="bi"/>
                          </m:rPr>
                          <w:rPr>
                            <w:rFonts w:ascii="Cambria Math" w:eastAsiaTheme="minorEastAsia" w:hAnsi="Cambria Math"/>
                            <w:sz w:val="18"/>
                          </w:rPr>
                          <m:t>D</m:t>
                        </m:r>
                      </m:e>
                      <m:sub>
                        <m:r>
                          <m:rPr>
                            <m:sty m:val="bi"/>
                          </m:rPr>
                          <w:rPr>
                            <w:rFonts w:ascii="Cambria Math" w:eastAsiaTheme="minorEastAsia" w:hAnsi="Cambria Math"/>
                            <w:sz w:val="18"/>
                          </w:rPr>
                          <m:t>m</m:t>
                        </m:r>
                      </m:sub>
                    </m:sSub>
                  </m:num>
                  <m:den>
                    <m:r>
                      <m:rPr>
                        <m:sty m:val="bi"/>
                      </m:rPr>
                      <w:rPr>
                        <w:rFonts w:ascii="Cambria Math" w:eastAsiaTheme="minorEastAsia" w:hAnsi="Cambria Math"/>
                        <w:sz w:val="18"/>
                      </w:rPr>
                      <m:t>V</m:t>
                    </m:r>
                  </m:den>
                </m:f>
                <m:r>
                  <m:rPr>
                    <m:sty m:val="bi"/>
                  </m:rPr>
                  <w:rPr>
                    <w:rFonts w:ascii="Cambria Math" w:eastAsiaTheme="minorEastAsia" w:hAnsi="Cambria Math"/>
                    <w:sz w:val="18"/>
                  </w:rPr>
                  <m:t>*</m:t>
                </m:r>
                <m:sSub>
                  <m:sSubPr>
                    <m:ctrlPr>
                      <w:rPr>
                        <w:rFonts w:ascii="Cambria Math" w:eastAsiaTheme="minorEastAsia" w:hAnsi="Cambria Math"/>
                        <w:b/>
                        <w:i/>
                        <w:sz w:val="18"/>
                      </w:rPr>
                    </m:ctrlPr>
                  </m:sSubPr>
                  <m:e>
                    <m:r>
                      <m:rPr>
                        <m:sty m:val="bi"/>
                      </m:rPr>
                      <w:rPr>
                        <w:rFonts w:ascii="Cambria Math" w:eastAsiaTheme="minorEastAsia" w:hAnsi="Cambria Math"/>
                        <w:sz w:val="18"/>
                      </w:rPr>
                      <m:t>R</m:t>
                    </m:r>
                  </m:e>
                  <m:sub>
                    <m:r>
                      <m:rPr>
                        <m:sty m:val="bi"/>
                      </m:rPr>
                      <w:rPr>
                        <w:rFonts w:ascii="Cambria Math" w:eastAsiaTheme="minorEastAsia" w:hAnsi="Cambria Math"/>
                        <w:sz w:val="18"/>
                      </w:rPr>
                      <m:t>D</m:t>
                    </m:r>
                  </m:sub>
                </m:sSub>
                <m:r>
                  <m:rPr>
                    <m:sty m:val="bi"/>
                  </m:rPr>
                  <w:rPr>
                    <w:rFonts w:ascii="Cambria Math" w:eastAsiaTheme="minorEastAsia" w:hAnsi="Cambria Math"/>
                    <w:sz w:val="18"/>
                  </w:rPr>
                  <m:t>*</m:t>
                </m:r>
                <m:d>
                  <m:dPr>
                    <m:ctrlPr>
                      <w:rPr>
                        <w:rFonts w:ascii="Cambria Math" w:eastAsiaTheme="minorEastAsia" w:hAnsi="Cambria Math"/>
                        <w:b/>
                        <w:i/>
                        <w:sz w:val="18"/>
                      </w:rPr>
                    </m:ctrlPr>
                  </m:dPr>
                  <m:e>
                    <m:r>
                      <m:rPr>
                        <m:sty m:val="bi"/>
                      </m:rPr>
                      <w:rPr>
                        <w:rFonts w:ascii="Cambria Math" w:eastAsiaTheme="minorEastAsia" w:hAnsi="Cambria Math"/>
                        <w:sz w:val="18"/>
                      </w:rPr>
                      <m:t>1-</m:t>
                    </m:r>
                    <m:sSub>
                      <m:sSubPr>
                        <m:ctrlPr>
                          <w:rPr>
                            <w:rFonts w:ascii="Cambria Math" w:eastAsiaTheme="minorEastAsia" w:hAnsi="Cambria Math"/>
                            <w:b/>
                            <w:i/>
                            <w:sz w:val="18"/>
                          </w:rPr>
                        </m:ctrlPr>
                      </m:sSubPr>
                      <m:e>
                        <m:r>
                          <m:rPr>
                            <m:sty m:val="bi"/>
                          </m:rPr>
                          <w:rPr>
                            <w:rFonts w:ascii="Cambria Math" w:eastAsiaTheme="minorEastAsia" w:hAnsi="Cambria Math"/>
                            <w:sz w:val="18"/>
                          </w:rPr>
                          <m:t>T</m:t>
                        </m:r>
                      </m:e>
                      <m:sub>
                        <m:r>
                          <m:rPr>
                            <m:sty m:val="bi"/>
                          </m:rPr>
                          <w:rPr>
                            <w:rFonts w:ascii="Cambria Math" w:eastAsiaTheme="minorEastAsia" w:hAnsi="Cambria Math"/>
                            <w:sz w:val="18"/>
                          </w:rPr>
                          <m:t>C</m:t>
                        </m:r>
                      </m:sub>
                    </m:sSub>
                  </m:e>
                </m:d>
              </m:oMath>
            </m:oMathPara>
          </w:p>
          <w:p w14:paraId="799DF60A" w14:textId="77777777" w:rsidR="006F2196" w:rsidRPr="004E052C" w:rsidRDefault="006F2196" w:rsidP="006F2196">
            <w:pPr>
              <w:jc w:val="both"/>
              <w:rPr>
                <w:rFonts w:ascii="Bookman Old Style" w:eastAsiaTheme="minorEastAsia" w:hAnsi="Bookman Old Style"/>
                <w:sz w:val="18"/>
              </w:rPr>
            </w:pPr>
          </w:p>
          <w:p w14:paraId="016E3614" w14:textId="77777777" w:rsidR="006F2196" w:rsidRPr="004E052C" w:rsidRDefault="006F2196" w:rsidP="006F2196">
            <w:pPr>
              <w:jc w:val="both"/>
              <w:rPr>
                <w:rFonts w:ascii="Bookman Old Style" w:eastAsiaTheme="minorEastAsia" w:hAnsi="Bookman Old Style"/>
                <w:sz w:val="18"/>
              </w:rPr>
            </w:pPr>
            <w:r w:rsidRPr="004E052C">
              <w:rPr>
                <w:rFonts w:ascii="Bookman Old Style" w:eastAsiaTheme="minorEastAsia" w:hAnsi="Bookman Old Style"/>
                <w:sz w:val="18"/>
              </w:rPr>
              <w:t>Where:</w:t>
            </w:r>
          </w:p>
          <w:p w14:paraId="49B9A821" w14:textId="77777777" w:rsidR="006F2196" w:rsidRPr="004E052C" w:rsidRDefault="00E741F7" w:rsidP="006F2196">
            <w:pPr>
              <w:jc w:val="both"/>
              <w:rPr>
                <w:rFonts w:ascii="Bookman Old Style" w:eastAsiaTheme="minorEastAsia" w:hAnsi="Bookman Old Style"/>
                <w:sz w:val="18"/>
              </w:rPr>
            </w:pPr>
            <m:oMath>
              <m:sSub>
                <m:sSubPr>
                  <m:ctrlPr>
                    <w:rPr>
                      <w:rFonts w:ascii="Cambria Math" w:eastAsiaTheme="minorEastAsia" w:hAnsi="Cambria Math"/>
                      <w:i/>
                      <w:sz w:val="18"/>
                    </w:rPr>
                  </m:ctrlPr>
                </m:sSubPr>
                <m:e>
                  <m:r>
                    <w:rPr>
                      <w:rFonts w:ascii="Cambria Math" w:eastAsiaTheme="minorEastAsia" w:hAnsi="Cambria Math"/>
                      <w:sz w:val="18"/>
                    </w:rPr>
                    <m:t>T</m:t>
                  </m:r>
                </m:e>
                <m:sub>
                  <m:r>
                    <w:rPr>
                      <w:rFonts w:ascii="Cambria Math" w:eastAsiaTheme="minorEastAsia" w:hAnsi="Cambria Math"/>
                      <w:sz w:val="18"/>
                    </w:rPr>
                    <m:t>C</m:t>
                  </m:r>
                </m:sub>
              </m:sSub>
            </m:oMath>
            <w:r w:rsidR="006F2196" w:rsidRPr="004E052C">
              <w:rPr>
                <w:rFonts w:ascii="Bookman Old Style" w:eastAsiaTheme="minorEastAsia" w:hAnsi="Bookman Old Style"/>
                <w:sz w:val="18"/>
              </w:rPr>
              <w:t xml:space="preserve"> = The corporate tax rate</w:t>
            </w:r>
          </w:p>
          <w:p w14:paraId="1A85D121" w14:textId="77777777" w:rsidR="006F2196" w:rsidRPr="004E052C" w:rsidRDefault="006F2196" w:rsidP="006F2196">
            <w:pPr>
              <w:jc w:val="both"/>
              <w:rPr>
                <w:rFonts w:ascii="Bookman Old Style" w:eastAsiaTheme="minorEastAsia" w:hAnsi="Bookman Old Style"/>
                <w:sz w:val="18"/>
              </w:rPr>
            </w:pPr>
            <w:r w:rsidRPr="004E052C">
              <w:rPr>
                <w:rFonts w:ascii="Bookman Old Style" w:eastAsiaTheme="minorEastAsia" w:hAnsi="Bookman Old Style"/>
                <w:i/>
                <w:sz w:val="18"/>
              </w:rPr>
              <w:t>E</w:t>
            </w:r>
            <w:r w:rsidRPr="004E052C">
              <w:rPr>
                <w:rFonts w:ascii="Bookman Old Style" w:eastAsiaTheme="minorEastAsia" w:hAnsi="Bookman Old Style"/>
                <w:sz w:val="18"/>
              </w:rPr>
              <w:t xml:space="preserve"> = The market value of the firm’s equity</w:t>
            </w:r>
          </w:p>
          <w:p w14:paraId="3649BFCF" w14:textId="77777777" w:rsidR="006F2196" w:rsidRPr="004E052C" w:rsidRDefault="00E741F7" w:rsidP="006F2196">
            <w:pPr>
              <w:jc w:val="both"/>
              <w:rPr>
                <w:rFonts w:ascii="Bookman Old Style" w:eastAsiaTheme="minorEastAsia" w:hAnsi="Bookman Old Style"/>
                <w:sz w:val="18"/>
              </w:rPr>
            </w:pPr>
            <m:oMath>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m</m:t>
                  </m:r>
                </m:sub>
              </m:sSub>
            </m:oMath>
            <w:r w:rsidR="006F2196" w:rsidRPr="004E052C">
              <w:rPr>
                <w:rFonts w:ascii="Bookman Old Style" w:eastAsiaTheme="minorEastAsia" w:hAnsi="Bookman Old Style"/>
                <w:sz w:val="18"/>
              </w:rPr>
              <w:t xml:space="preserve"> = The market value of the firm’s debt</w:t>
            </w:r>
          </w:p>
          <w:p w14:paraId="081A24B1" w14:textId="06E50F43" w:rsidR="006F2196" w:rsidRPr="004E052C" w:rsidRDefault="006F2196" w:rsidP="006F2196">
            <w:pPr>
              <w:jc w:val="both"/>
              <w:rPr>
                <w:rFonts w:ascii="Bookman Old Style" w:eastAsiaTheme="minorEastAsia" w:hAnsi="Bookman Old Style"/>
                <w:sz w:val="18"/>
              </w:rPr>
            </w:pPr>
            <w:r w:rsidRPr="004E052C">
              <w:rPr>
                <w:rFonts w:ascii="Bookman Old Style" w:eastAsiaTheme="minorEastAsia" w:hAnsi="Bookman Old Style"/>
                <w:i/>
                <w:sz w:val="18"/>
              </w:rPr>
              <w:t xml:space="preserve">E/V </w:t>
            </w:r>
            <w:r w:rsidRPr="004E052C">
              <w:rPr>
                <w:rFonts w:ascii="Bookman Old Style" w:eastAsiaTheme="minorEastAsia" w:hAnsi="Bookman Old Style"/>
                <w:sz w:val="18"/>
              </w:rPr>
              <w:t xml:space="preserve">= The percentage of the firm’s financing (in market value terms) that’s equity </w:t>
            </w:r>
          </w:p>
          <w:p w14:paraId="1C87334B" w14:textId="3EBC3D86" w:rsidR="006F2196" w:rsidRPr="004E052C" w:rsidRDefault="00E741F7" w:rsidP="006F2196">
            <w:pPr>
              <w:jc w:val="both"/>
              <w:rPr>
                <w:rFonts w:ascii="Bookman Old Style" w:eastAsiaTheme="minorEastAsia" w:hAnsi="Bookman Old Style"/>
                <w:sz w:val="18"/>
              </w:rPr>
            </w:pPr>
            <m:oMath>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m</m:t>
                  </m:r>
                </m:sub>
              </m:sSub>
              <m:r>
                <w:rPr>
                  <w:rFonts w:ascii="Cambria Math" w:eastAsiaTheme="minorEastAsia" w:hAnsi="Cambria Math"/>
                  <w:sz w:val="18"/>
                </w:rPr>
                <m:t>/V</m:t>
              </m:r>
            </m:oMath>
            <w:r w:rsidR="006F2196" w:rsidRPr="004E052C">
              <w:rPr>
                <w:rFonts w:ascii="Bookman Old Style" w:eastAsiaTheme="minorEastAsia" w:hAnsi="Bookman Old Style"/>
                <w:sz w:val="18"/>
              </w:rPr>
              <w:t xml:space="preserve"> = The percentage of the firm’s financing (in market value terms) that’s debt</w:t>
            </w:r>
          </w:p>
          <w:p w14:paraId="6DFE47B4" w14:textId="77777777" w:rsidR="006F2196" w:rsidRPr="004E052C" w:rsidRDefault="006F2196" w:rsidP="006F2196">
            <w:pPr>
              <w:jc w:val="both"/>
              <w:rPr>
                <w:rFonts w:ascii="Bookman Old Style" w:eastAsiaTheme="minorEastAsia" w:hAnsi="Bookman Old Style"/>
                <w:sz w:val="18"/>
              </w:rPr>
            </w:pPr>
          </w:p>
          <w:p w14:paraId="56912142" w14:textId="2CC2538F" w:rsidR="006F2196" w:rsidRPr="004E052C" w:rsidRDefault="006F2196" w:rsidP="006F2196">
            <w:pPr>
              <w:jc w:val="both"/>
              <w:rPr>
                <w:rFonts w:ascii="Bookman Old Style" w:eastAsiaTheme="minorEastAsia" w:hAnsi="Bookman Old Style"/>
                <w:sz w:val="18"/>
              </w:rPr>
            </w:pPr>
            <w:r w:rsidRPr="004E052C">
              <w:rPr>
                <w:rFonts w:ascii="Bookman Old Style" w:eastAsiaTheme="minorEastAsia" w:hAnsi="Bookman Old Style"/>
                <w:sz w:val="18"/>
              </w:rPr>
              <w:t>Remember that:</w:t>
            </w:r>
          </w:p>
          <w:p w14:paraId="360C6340" w14:textId="77777777" w:rsidR="006F2196" w:rsidRPr="004E052C" w:rsidRDefault="006F2196" w:rsidP="006F2196">
            <w:pPr>
              <w:jc w:val="both"/>
              <w:rPr>
                <w:rFonts w:ascii="Bookman Old Style" w:eastAsiaTheme="minorEastAsia" w:hAnsi="Bookman Old Style"/>
                <w:sz w:val="18"/>
              </w:rPr>
            </w:pPr>
            <m:oMath>
              <m:r>
                <w:rPr>
                  <w:rFonts w:ascii="Cambria Math" w:eastAsiaTheme="minorEastAsia" w:hAnsi="Cambria Math"/>
                  <w:sz w:val="18"/>
                </w:rPr>
                <m:t>V=E+</m:t>
              </m:r>
              <m:sSub>
                <m:sSubPr>
                  <m:ctrlPr>
                    <w:rPr>
                      <w:rFonts w:ascii="Cambria Math" w:eastAsiaTheme="minorEastAsia" w:hAnsi="Cambria Math"/>
                      <w:i/>
                      <w:sz w:val="18"/>
                    </w:rPr>
                  </m:ctrlPr>
                </m:sSubPr>
                <m:e>
                  <m:r>
                    <w:rPr>
                      <w:rFonts w:ascii="Cambria Math" w:eastAsiaTheme="minorEastAsia" w:hAnsi="Cambria Math"/>
                      <w:sz w:val="18"/>
                    </w:rPr>
                    <m:t>D</m:t>
                  </m:r>
                </m:e>
                <m:sub>
                  <m:r>
                    <w:rPr>
                      <w:rFonts w:ascii="Cambria Math" w:eastAsiaTheme="minorEastAsia" w:hAnsi="Cambria Math"/>
                      <w:sz w:val="18"/>
                    </w:rPr>
                    <m:t>m</m:t>
                  </m:r>
                </m:sub>
              </m:sSub>
            </m:oMath>
            <w:r w:rsidRPr="004E052C">
              <w:rPr>
                <w:rFonts w:ascii="Bookman Old Style" w:eastAsiaTheme="minorEastAsia" w:hAnsi="Bookman Old Style"/>
                <w:sz w:val="18"/>
              </w:rPr>
              <w:t xml:space="preserve">  </w:t>
            </w:r>
          </w:p>
          <w:p w14:paraId="74FB69C5" w14:textId="53A550D0" w:rsidR="006F2196" w:rsidRPr="004E052C" w:rsidRDefault="006F2196" w:rsidP="006F2196">
            <w:pPr>
              <w:jc w:val="both"/>
              <w:rPr>
                <w:rFonts w:ascii="Bookman Old Style" w:eastAsiaTheme="minorEastAsia" w:hAnsi="Bookman Old Style"/>
                <w:sz w:val="18"/>
              </w:rPr>
            </w:pPr>
          </w:p>
        </w:tc>
      </w:tr>
    </w:tbl>
    <w:p w14:paraId="1504B75E" w14:textId="77777777" w:rsidR="008B2607" w:rsidRDefault="008B2607" w:rsidP="008B2607">
      <w:pPr>
        <w:spacing w:after="0" w:line="240" w:lineRule="auto"/>
        <w:jc w:val="both"/>
        <w:rPr>
          <w:rFonts w:ascii="Bookman Old Style" w:eastAsiaTheme="minorEastAsia" w:hAnsi="Bookman Old Style"/>
        </w:rPr>
      </w:pPr>
    </w:p>
    <w:p w14:paraId="144860F9" w14:textId="77777777" w:rsidR="006F2196" w:rsidRDefault="006F2196" w:rsidP="008B2607">
      <w:pPr>
        <w:spacing w:after="0" w:line="240" w:lineRule="auto"/>
        <w:jc w:val="both"/>
        <w:rPr>
          <w:rFonts w:ascii="Bookman Old Style" w:eastAsiaTheme="minorEastAsia" w:hAnsi="Bookman Old Style"/>
        </w:rPr>
      </w:pPr>
    </w:p>
    <w:p w14:paraId="37BCF850" w14:textId="678EF651" w:rsidR="006F2196" w:rsidRDefault="006F2196" w:rsidP="008B260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PERFORMANCE EVALUATION: ANOTHER USE OF THE WACC</w:t>
      </w:r>
    </w:p>
    <w:p w14:paraId="3BAEA499" w14:textId="5AEF36AF" w:rsidR="008436B7" w:rsidRDefault="008436B7" w:rsidP="008B2607">
      <w:pPr>
        <w:spacing w:after="0" w:line="240" w:lineRule="auto"/>
        <w:jc w:val="both"/>
        <w:rPr>
          <w:rFonts w:ascii="Bookman Old Style" w:eastAsiaTheme="minorEastAsia" w:hAnsi="Bookman Old Style"/>
        </w:rPr>
      </w:pPr>
      <w:r>
        <w:rPr>
          <w:rFonts w:ascii="Bookman Old Style" w:eastAsiaTheme="minorEastAsia" w:hAnsi="Bookman Old Style"/>
        </w:rPr>
        <w:t xml:space="preserve">WACCs can also be use for performance evaluation; probably best know in this area is the </w:t>
      </w:r>
      <w:r>
        <w:rPr>
          <w:rFonts w:ascii="Bookman Old Style" w:eastAsiaTheme="minorEastAsia" w:hAnsi="Bookman Old Style"/>
          <w:b/>
        </w:rPr>
        <w:t>economic value added (EVA)</w:t>
      </w:r>
      <w:r>
        <w:rPr>
          <w:rFonts w:ascii="Bookman Old Style" w:eastAsiaTheme="minorEastAsia" w:hAnsi="Bookman Old Style"/>
        </w:rPr>
        <w:t xml:space="preserve"> method</w:t>
      </w:r>
    </w:p>
    <w:p w14:paraId="1BBDC9B0" w14:textId="77777777" w:rsidR="008436B7" w:rsidRDefault="008436B7" w:rsidP="008B2607">
      <w:pPr>
        <w:spacing w:after="0" w:line="240" w:lineRule="auto"/>
        <w:jc w:val="both"/>
        <w:rPr>
          <w:rFonts w:ascii="Bookman Old Style" w:eastAsiaTheme="minorEastAsia" w:hAnsi="Bookman Old Style"/>
        </w:rPr>
      </w:pPr>
    </w:p>
    <w:tbl>
      <w:tblPr>
        <w:tblStyle w:val="TableGrid"/>
        <w:tblW w:w="0" w:type="auto"/>
        <w:jc w:val="center"/>
        <w:tblInd w:w="1526" w:type="dxa"/>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8050"/>
      </w:tblGrid>
      <w:tr w:rsidR="008436B7" w14:paraId="386DC450" w14:textId="77777777" w:rsidTr="008436B7">
        <w:trPr>
          <w:jc w:val="center"/>
        </w:trPr>
        <w:tc>
          <w:tcPr>
            <w:tcW w:w="8050" w:type="dxa"/>
          </w:tcPr>
          <w:p w14:paraId="6610FD56" w14:textId="34AFECD9" w:rsidR="008436B7" w:rsidRDefault="008436B7" w:rsidP="008B2607">
            <w:pPr>
              <w:jc w:val="both"/>
              <w:rPr>
                <w:rFonts w:ascii="Bookman Old Style" w:eastAsiaTheme="minorEastAsia" w:hAnsi="Bookman Old Style"/>
              </w:rPr>
            </w:pPr>
          </w:p>
          <w:p w14:paraId="3ED962CB" w14:textId="77777777" w:rsidR="008436B7" w:rsidRDefault="008436B7" w:rsidP="008B2607">
            <w:pPr>
              <w:jc w:val="both"/>
              <w:rPr>
                <w:rFonts w:ascii="Bookman Old Style" w:eastAsiaTheme="minorEastAsia" w:hAnsi="Bookman Old Style"/>
              </w:rPr>
            </w:pPr>
            <w:r>
              <w:rPr>
                <w:rFonts w:ascii="Bookman Old Style" w:eastAsiaTheme="minorEastAsia" w:hAnsi="Bookman Old Style"/>
                <w:b/>
              </w:rPr>
              <w:t xml:space="preserve">Economic Value Added (EVA) – </w:t>
            </w:r>
            <w:r>
              <w:rPr>
                <w:rFonts w:ascii="Bookman Old Style" w:eastAsiaTheme="minorEastAsia" w:hAnsi="Bookman Old Style"/>
              </w:rPr>
              <w:t>Performance measure based on WACC</w:t>
            </w:r>
          </w:p>
          <w:p w14:paraId="33B81797" w14:textId="1848E081" w:rsidR="008436B7" w:rsidRPr="008436B7" w:rsidRDefault="008436B7" w:rsidP="008B2607">
            <w:pPr>
              <w:jc w:val="both"/>
              <w:rPr>
                <w:rFonts w:ascii="Bookman Old Style" w:eastAsiaTheme="minorEastAsia" w:hAnsi="Bookman Old Style"/>
              </w:rPr>
            </w:pPr>
          </w:p>
        </w:tc>
      </w:tr>
    </w:tbl>
    <w:p w14:paraId="2611B7EF" w14:textId="77777777" w:rsidR="008436B7" w:rsidRDefault="008436B7" w:rsidP="008B2607">
      <w:pPr>
        <w:spacing w:after="0" w:line="240" w:lineRule="auto"/>
        <w:jc w:val="both"/>
        <w:rPr>
          <w:rFonts w:ascii="Bookman Old Style" w:eastAsiaTheme="minorEastAsia" w:hAnsi="Bookman Old Style"/>
        </w:rPr>
      </w:pPr>
    </w:p>
    <w:p w14:paraId="5C1E1846" w14:textId="380240FF" w:rsidR="008436B7" w:rsidRDefault="005F4DAF" w:rsidP="008B2607">
      <w:pPr>
        <w:spacing w:after="0" w:line="240" w:lineRule="auto"/>
        <w:jc w:val="both"/>
        <w:rPr>
          <w:rFonts w:ascii="Bookman Old Style" w:eastAsiaTheme="minorEastAsia" w:hAnsi="Bookman Old Style"/>
        </w:rPr>
      </w:pPr>
      <w:r>
        <w:rPr>
          <w:rFonts w:ascii="Bookman Old Style" w:eastAsiaTheme="minorEastAsia" w:hAnsi="Bookman Old Style"/>
        </w:rPr>
        <w:t>The details may differ, but the basic idea behind EVA and similar strategies is straightforward:</w:t>
      </w:r>
    </w:p>
    <w:p w14:paraId="2EBA314E" w14:textId="77777777" w:rsidR="005F4DAF" w:rsidRDefault="005F4DAF" w:rsidP="008B2607">
      <w:pPr>
        <w:spacing w:after="0" w:line="240" w:lineRule="auto"/>
        <w:jc w:val="both"/>
        <w:rPr>
          <w:rFonts w:ascii="Bookman Old Style" w:eastAsiaTheme="minorEastAsia" w:hAnsi="Bookman Old Style"/>
        </w:rPr>
      </w:pPr>
    </w:p>
    <w:p w14:paraId="4984514D" w14:textId="682E5B75" w:rsidR="005F4DAF" w:rsidRDefault="005F4DAF" w:rsidP="008B2607">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Suppose we have $100 million in capital (debt &amp; equity) tied up in our firm and our overall WACC is 12%. If we multiply these 2 together, we get $12 million.</w:t>
      </w:r>
    </w:p>
    <w:p w14:paraId="742FC891" w14:textId="77777777" w:rsidR="005F4DAF" w:rsidRDefault="005F4DAF" w:rsidP="008B2607">
      <w:pPr>
        <w:spacing w:after="0" w:line="240" w:lineRule="auto"/>
        <w:jc w:val="both"/>
        <w:rPr>
          <w:rFonts w:ascii="Bookman Old Style" w:eastAsiaTheme="minorEastAsia" w:hAnsi="Bookman Old Style"/>
        </w:rPr>
      </w:pPr>
    </w:p>
    <w:p w14:paraId="55779036" w14:textId="2E23A4AC" w:rsidR="005F4DAF" w:rsidRDefault="005F4DAF" w:rsidP="008B2607">
      <w:pPr>
        <w:spacing w:after="0" w:line="240" w:lineRule="auto"/>
        <w:jc w:val="both"/>
        <w:rPr>
          <w:rFonts w:ascii="Bookman Old Style" w:eastAsiaTheme="minorEastAsia" w:hAnsi="Bookman Old Style"/>
        </w:rPr>
      </w:pPr>
      <w:r>
        <w:rPr>
          <w:rFonts w:ascii="Bookman Old Style" w:eastAsiaTheme="minorEastAsia" w:hAnsi="Bookman Old Style"/>
        </w:rPr>
        <w:t>Remember – if our cash flow from assets is less than this, overall, we’re destroying value. If cash flow from assets exceeds $12 million, we’re creating value.</w:t>
      </w:r>
    </w:p>
    <w:p w14:paraId="77630E2C" w14:textId="77777777" w:rsidR="005F4DAF" w:rsidRDefault="005F4DAF" w:rsidP="008B2607">
      <w:pPr>
        <w:spacing w:after="0" w:line="240" w:lineRule="auto"/>
        <w:jc w:val="both"/>
        <w:rPr>
          <w:rFonts w:ascii="Bookman Old Style" w:eastAsiaTheme="minorEastAsia" w:hAnsi="Bookman Old Style"/>
        </w:rPr>
      </w:pPr>
    </w:p>
    <w:p w14:paraId="28712989" w14:textId="7355248C" w:rsidR="005F4DAF" w:rsidRDefault="005F4DAF" w:rsidP="008B2607">
      <w:pPr>
        <w:spacing w:after="0" w:line="240" w:lineRule="auto"/>
        <w:jc w:val="both"/>
        <w:rPr>
          <w:rFonts w:ascii="Bookman Old Style" w:eastAsiaTheme="minorEastAsia" w:hAnsi="Bookman Old Style"/>
        </w:rPr>
      </w:pPr>
      <w:r>
        <w:rPr>
          <w:rFonts w:ascii="Bookman Old Style" w:eastAsiaTheme="minorEastAsia" w:hAnsi="Bookman Old Style"/>
        </w:rPr>
        <w:t>In practice though, these types of strategies suffer to an extent from problems with implementation. Even so, by focusing on value creation, WACC based evaluation procedures forces employees and management to pay attention to the real bottom line: increasing share prices.</w:t>
      </w:r>
    </w:p>
    <w:p w14:paraId="4E6427BC" w14:textId="77777777" w:rsidR="005F4DAF" w:rsidRDefault="005F4DAF" w:rsidP="008B2607">
      <w:pPr>
        <w:spacing w:after="0" w:line="240" w:lineRule="auto"/>
        <w:jc w:val="both"/>
        <w:rPr>
          <w:rFonts w:ascii="Bookman Old Style" w:eastAsiaTheme="minorEastAsia" w:hAnsi="Bookman Old Style"/>
        </w:rPr>
      </w:pPr>
    </w:p>
    <w:p w14:paraId="2467F31E" w14:textId="77777777" w:rsidR="005F4DAF" w:rsidRDefault="005F4DAF" w:rsidP="008B2607">
      <w:pPr>
        <w:spacing w:after="0" w:line="240" w:lineRule="auto"/>
        <w:jc w:val="both"/>
        <w:rPr>
          <w:rFonts w:ascii="Bookman Old Style" w:eastAsiaTheme="minorEastAsia" w:hAnsi="Bookman Old Style"/>
        </w:rPr>
      </w:pPr>
    </w:p>
    <w:p w14:paraId="42E67ADF" w14:textId="1F04A6F6" w:rsidR="005F4DAF" w:rsidRDefault="005F4DAF" w:rsidP="005F4DAF">
      <w:pPr>
        <w:spacing w:after="0" w:line="240" w:lineRule="auto"/>
        <w:jc w:val="center"/>
        <w:rPr>
          <w:rFonts w:ascii="Bookman Old Style" w:eastAsiaTheme="minorEastAsia" w:hAnsi="Bookman Old Style"/>
        </w:rPr>
      </w:pPr>
      <w:r>
        <w:rPr>
          <w:rFonts w:ascii="Bookman Old Style" w:eastAsiaTheme="minorEastAsia" w:hAnsi="Bookman Old Style"/>
          <w:b/>
          <w:u w:val="single"/>
        </w:rPr>
        <w:t>DIVISIONAL &amp; PROJECT COSTS OF CAPITAL</w:t>
      </w:r>
    </w:p>
    <w:p w14:paraId="1085FF11" w14:textId="77777777" w:rsidR="005F4DAF" w:rsidRDefault="005F4DAF" w:rsidP="008B2607">
      <w:pPr>
        <w:spacing w:after="0" w:line="240" w:lineRule="auto"/>
        <w:jc w:val="both"/>
        <w:rPr>
          <w:rFonts w:ascii="Bookman Old Style" w:eastAsiaTheme="minorEastAsia" w:hAnsi="Bookman Old Style"/>
        </w:rPr>
      </w:pPr>
    </w:p>
    <w:p w14:paraId="7F96DE87" w14:textId="69D55895" w:rsidR="005F4DAF" w:rsidRDefault="005F4DAF" w:rsidP="008B2607">
      <w:pPr>
        <w:spacing w:after="0" w:line="240" w:lineRule="auto"/>
        <w:jc w:val="both"/>
        <w:rPr>
          <w:rFonts w:ascii="Bookman Old Style" w:eastAsiaTheme="minorEastAsia" w:hAnsi="Bookman Old Style"/>
        </w:rPr>
      </w:pPr>
      <w:r>
        <w:rPr>
          <w:rFonts w:ascii="Bookman Old Style" w:eastAsiaTheme="minorEastAsia" w:hAnsi="Bookman Old Style"/>
        </w:rPr>
        <w:t>We’ve seen that using the WACC as the discount rate for future cash flows is only appropriate when the proposed investment is similar to the firm’s existing activities – this isn’t as restrictive as it sounds.</w:t>
      </w:r>
    </w:p>
    <w:p w14:paraId="07D74DEE" w14:textId="77777777" w:rsidR="005F4DAF" w:rsidRDefault="005F4DAF" w:rsidP="008B2607">
      <w:pPr>
        <w:spacing w:after="0" w:line="240" w:lineRule="auto"/>
        <w:jc w:val="both"/>
        <w:rPr>
          <w:rFonts w:ascii="Bookman Old Style" w:eastAsiaTheme="minorEastAsia" w:hAnsi="Bookman Old Style"/>
        </w:rPr>
      </w:pPr>
    </w:p>
    <w:p w14:paraId="4AC7B55E" w14:textId="09861F8F" w:rsidR="003D0CE8" w:rsidRDefault="005F4DAF" w:rsidP="008B2607">
      <w:pPr>
        <w:spacing w:after="0" w:line="240" w:lineRule="auto"/>
        <w:jc w:val="both"/>
        <w:rPr>
          <w:rFonts w:ascii="Bookman Old Style" w:eastAsiaTheme="minorEastAsia" w:hAnsi="Bookman Old Style"/>
        </w:rPr>
      </w:pPr>
      <w:r>
        <w:rPr>
          <w:rFonts w:ascii="Bookman Old Style" w:eastAsiaTheme="minorEastAsia" w:hAnsi="Bookman Old Style"/>
        </w:rPr>
        <w:t>If we were in the pizza business and we’re thinking of opening a new location, the W</w:t>
      </w:r>
      <w:r w:rsidR="003D0CE8">
        <w:rPr>
          <w:rFonts w:ascii="Bookman Old Style" w:eastAsiaTheme="minorEastAsia" w:hAnsi="Bookman Old Style"/>
        </w:rPr>
        <w:t>ACC is the discount rate to use - the same is true of a retailer thinking of opening a new store.</w:t>
      </w:r>
    </w:p>
    <w:p w14:paraId="3A271CBC" w14:textId="77777777" w:rsidR="003D0CE8" w:rsidRDefault="003D0CE8" w:rsidP="008B2607">
      <w:pPr>
        <w:spacing w:after="0" w:line="240" w:lineRule="auto"/>
        <w:jc w:val="both"/>
        <w:rPr>
          <w:rFonts w:ascii="Bookman Old Style" w:eastAsiaTheme="minorEastAsia" w:hAnsi="Bookman Old Style"/>
        </w:rPr>
      </w:pPr>
    </w:p>
    <w:p w14:paraId="79755A75" w14:textId="21E2DC13" w:rsidR="003D0CE8" w:rsidRDefault="003D0CE8" w:rsidP="008B2607">
      <w:pPr>
        <w:spacing w:after="0" w:line="240" w:lineRule="auto"/>
        <w:jc w:val="both"/>
        <w:rPr>
          <w:rFonts w:ascii="Bookman Old Style" w:eastAsiaTheme="minorEastAsia" w:hAnsi="Bookman Old Style"/>
        </w:rPr>
      </w:pPr>
      <w:r>
        <w:rPr>
          <w:rFonts w:ascii="Bookman Old Style" w:eastAsiaTheme="minorEastAsia" w:hAnsi="Bookman Old Style"/>
        </w:rPr>
        <w:t>Despite the WACC being useful as a benchmark, there are situations where the cash flows under consideration have risks distinctly different from those of the overall firm.</w:t>
      </w:r>
    </w:p>
    <w:p w14:paraId="261C2C79" w14:textId="77777777" w:rsidR="003D0CE8" w:rsidRDefault="003D0CE8" w:rsidP="008B2607">
      <w:pPr>
        <w:spacing w:after="0" w:line="240" w:lineRule="auto"/>
        <w:jc w:val="both"/>
        <w:rPr>
          <w:rFonts w:ascii="Bookman Old Style" w:eastAsiaTheme="minorEastAsia" w:hAnsi="Bookman Old Style"/>
        </w:rPr>
      </w:pPr>
    </w:p>
    <w:p w14:paraId="7F563938" w14:textId="77777777" w:rsidR="003D0CE8" w:rsidRDefault="003D0CE8" w:rsidP="008B2607">
      <w:pPr>
        <w:spacing w:after="0" w:line="240" w:lineRule="auto"/>
        <w:jc w:val="both"/>
        <w:rPr>
          <w:rFonts w:ascii="Bookman Old Style" w:eastAsiaTheme="minorEastAsia" w:hAnsi="Bookman Old Style"/>
          <w:b/>
          <w:u w:val="single"/>
        </w:rPr>
      </w:pPr>
    </w:p>
    <w:p w14:paraId="7D69AC7F" w14:textId="5A0B878F" w:rsidR="003D0CE8" w:rsidRDefault="003D0CE8" w:rsidP="008B2607">
      <w:pPr>
        <w:spacing w:after="0" w:line="240" w:lineRule="auto"/>
        <w:jc w:val="both"/>
        <w:rPr>
          <w:rFonts w:ascii="Bookman Old Style" w:eastAsiaTheme="minorEastAsia" w:hAnsi="Bookman Old Style"/>
        </w:rPr>
      </w:pPr>
      <w:r>
        <w:rPr>
          <w:rFonts w:ascii="Bookman Old Style" w:eastAsiaTheme="minorEastAsia" w:hAnsi="Bookman Old Style"/>
          <w:b/>
          <w:u w:val="single"/>
        </w:rPr>
        <w:t>THE SML &amp; THE WACC</w:t>
      </w:r>
    </w:p>
    <w:p w14:paraId="075C69DF" w14:textId="7A50BDD2" w:rsidR="003D0CE8" w:rsidRDefault="003D0CE8" w:rsidP="008B2607">
      <w:pPr>
        <w:spacing w:after="0" w:line="240" w:lineRule="auto"/>
        <w:jc w:val="both"/>
        <w:rPr>
          <w:rFonts w:ascii="Bookman Old Style" w:eastAsiaTheme="minorEastAsia" w:hAnsi="Bookman Old Style"/>
        </w:rPr>
      </w:pPr>
      <w:r>
        <w:rPr>
          <w:rFonts w:ascii="Bookman Old Style" w:eastAsiaTheme="minorEastAsia" w:hAnsi="Bookman Old Style"/>
        </w:rPr>
        <w:t>When we’re evaluating investments with risks substantially different from the overall firm, using the WACC can potentially lead to poor decisions. The following figure shows why.</w:t>
      </w:r>
    </w:p>
    <w:p w14:paraId="133BDB17" w14:textId="77777777" w:rsidR="003D0CE8" w:rsidRDefault="003D0CE8" w:rsidP="008B2607">
      <w:pPr>
        <w:spacing w:after="0" w:line="240" w:lineRule="auto"/>
        <w:jc w:val="both"/>
        <w:rPr>
          <w:rFonts w:ascii="Bookman Old Style" w:eastAsiaTheme="minorEastAsia" w:hAnsi="Bookman Old Style"/>
        </w:rPr>
      </w:pPr>
    </w:p>
    <w:p w14:paraId="39A06C24" w14:textId="31DF4F54" w:rsidR="003D0CE8" w:rsidRDefault="00643A83" w:rsidP="00643A83">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5EF3200E" wp14:editId="1423A2D7">
            <wp:extent cx="3480179" cy="244244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7">
                      <a:extLst>
                        <a:ext uri="{28A0092B-C50C-407E-A947-70E740481C1C}">
                          <a14:useLocalDpi xmlns:a14="http://schemas.microsoft.com/office/drawing/2010/main" val="0"/>
                        </a:ext>
                      </a:extLst>
                    </a:blip>
                    <a:stretch>
                      <a:fillRect/>
                    </a:stretch>
                  </pic:blipFill>
                  <pic:spPr>
                    <a:xfrm>
                      <a:off x="0" y="0"/>
                      <a:ext cx="3482997" cy="2444422"/>
                    </a:xfrm>
                    <a:prstGeom prst="rect">
                      <a:avLst/>
                    </a:prstGeom>
                  </pic:spPr>
                </pic:pic>
              </a:graphicData>
            </a:graphic>
          </wp:inline>
        </w:drawing>
      </w:r>
    </w:p>
    <w:p w14:paraId="362ADA0A" w14:textId="77777777" w:rsidR="00643A83" w:rsidRDefault="00643A83" w:rsidP="00643A83">
      <w:pPr>
        <w:spacing w:after="0" w:line="240" w:lineRule="auto"/>
        <w:jc w:val="center"/>
        <w:rPr>
          <w:rFonts w:ascii="Bookman Old Style" w:eastAsiaTheme="minorEastAsia" w:hAnsi="Bookman Old Style"/>
        </w:rPr>
      </w:pPr>
    </w:p>
    <w:p w14:paraId="7771D2D1" w14:textId="0C9171CF" w:rsidR="003D0CE8" w:rsidRDefault="003D0CE8" w:rsidP="003D0CE8">
      <w:pPr>
        <w:spacing w:after="0" w:line="240" w:lineRule="auto"/>
        <w:jc w:val="both"/>
        <w:rPr>
          <w:rFonts w:ascii="Bookman Old Style" w:eastAsiaTheme="minorEastAsia" w:hAnsi="Bookman Old Style"/>
        </w:rPr>
      </w:pPr>
      <w:r>
        <w:rPr>
          <w:rFonts w:ascii="Bookman Old Style" w:eastAsiaTheme="minorEastAsia" w:hAnsi="Bookman Old Style"/>
        </w:rPr>
        <w:t>In the figure above, the SML is plotted corresponding to a risk-free rate of 7% and a market risk premium of 8%.</w:t>
      </w:r>
    </w:p>
    <w:p w14:paraId="64B19AED" w14:textId="77777777" w:rsidR="003D0CE8" w:rsidRDefault="003D0CE8" w:rsidP="003D0CE8">
      <w:pPr>
        <w:spacing w:after="0" w:line="240" w:lineRule="auto"/>
        <w:jc w:val="both"/>
        <w:rPr>
          <w:rFonts w:ascii="Bookman Old Style" w:eastAsiaTheme="minorEastAsia" w:hAnsi="Bookman Old Style"/>
        </w:rPr>
      </w:pPr>
    </w:p>
    <w:p w14:paraId="42C7C167" w14:textId="307FC472" w:rsidR="003D0CE8" w:rsidRDefault="003D0CE8" w:rsidP="003D0CE8">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To keep things simple, we consider an all-equity company with a beta of 1</w:t>
      </w:r>
      <w:r w:rsidR="00553BED">
        <w:rPr>
          <w:rFonts w:ascii="Bookman Old Style" w:eastAsiaTheme="minorEastAsia" w:hAnsi="Bookman Old Style"/>
        </w:rPr>
        <w:t>.</w:t>
      </w:r>
    </w:p>
    <w:p w14:paraId="30470B0D" w14:textId="77777777" w:rsidR="00553BED" w:rsidRDefault="00553BED" w:rsidP="003D0CE8">
      <w:pPr>
        <w:spacing w:after="0" w:line="240" w:lineRule="auto"/>
        <w:jc w:val="both"/>
        <w:rPr>
          <w:rFonts w:ascii="Bookman Old Style" w:eastAsiaTheme="minorEastAsia" w:hAnsi="Bookman Old Style"/>
        </w:rPr>
      </w:pPr>
    </w:p>
    <w:p w14:paraId="30A01146" w14:textId="12CF9AA3" w:rsidR="00553BED" w:rsidRDefault="00553BED" w:rsidP="003D0CE8">
      <w:pPr>
        <w:spacing w:after="0" w:line="240" w:lineRule="auto"/>
        <w:jc w:val="both"/>
        <w:rPr>
          <w:rFonts w:ascii="Bookman Old Style" w:eastAsiaTheme="minorEastAsia" w:hAnsi="Bookman Old Style"/>
        </w:rPr>
      </w:pPr>
      <w:r>
        <w:rPr>
          <w:rFonts w:ascii="Bookman Old Style" w:eastAsiaTheme="minorEastAsia" w:hAnsi="Bookman Old Style"/>
        </w:rPr>
        <w:t>As indicated, the WACC and the cost of equity are exactly equal to 15% for this company since there’s no debt.</w:t>
      </w:r>
    </w:p>
    <w:p w14:paraId="2B165535" w14:textId="77777777" w:rsidR="00553BED" w:rsidRDefault="00553BED" w:rsidP="003D0CE8">
      <w:pPr>
        <w:spacing w:after="0" w:line="240" w:lineRule="auto"/>
        <w:jc w:val="both"/>
        <w:rPr>
          <w:rFonts w:ascii="Bookman Old Style" w:eastAsiaTheme="minorEastAsia" w:hAnsi="Bookman Old Style"/>
        </w:rPr>
      </w:pPr>
    </w:p>
    <w:p w14:paraId="416C2486" w14:textId="2B3A3C31" w:rsidR="00553BED" w:rsidRDefault="00553BED" w:rsidP="003D0CE8">
      <w:pPr>
        <w:spacing w:after="0" w:line="240" w:lineRule="auto"/>
        <w:jc w:val="both"/>
        <w:rPr>
          <w:rFonts w:ascii="Bookman Old Style" w:eastAsiaTheme="minorEastAsia" w:hAnsi="Bookman Old Style"/>
        </w:rPr>
      </w:pPr>
      <w:r>
        <w:rPr>
          <w:rFonts w:ascii="Bookman Old Style" w:eastAsiaTheme="minorEastAsia" w:hAnsi="Bookman Old Style"/>
        </w:rPr>
        <w:t>Let’s say the firm uses its WACC to evaluate all investments – this means any investment with a return greater than 15% is accepted and any investment with a return less this is rejected.</w:t>
      </w:r>
    </w:p>
    <w:p w14:paraId="5B10B69B" w14:textId="77777777" w:rsidR="00553BED" w:rsidRDefault="00553BED" w:rsidP="003D0CE8">
      <w:pPr>
        <w:spacing w:after="0" w:line="240" w:lineRule="auto"/>
        <w:jc w:val="both"/>
        <w:rPr>
          <w:rFonts w:ascii="Bookman Old Style" w:eastAsiaTheme="minorEastAsia" w:hAnsi="Bookman Old Style"/>
        </w:rPr>
      </w:pPr>
    </w:p>
    <w:p w14:paraId="7423DC25" w14:textId="026AA8EE" w:rsidR="00553BED" w:rsidRDefault="00553BED" w:rsidP="003D0CE8">
      <w:pPr>
        <w:spacing w:after="0" w:line="240" w:lineRule="auto"/>
        <w:jc w:val="both"/>
        <w:rPr>
          <w:rFonts w:ascii="Bookman Old Style" w:eastAsiaTheme="minorEastAsia" w:hAnsi="Bookman Old Style"/>
        </w:rPr>
      </w:pPr>
      <w:r>
        <w:rPr>
          <w:rFonts w:ascii="Bookman Old Style" w:eastAsiaTheme="minorEastAsia" w:hAnsi="Bookman Old Style"/>
        </w:rPr>
        <w:t>We know from studying risk &amp; return that a desirable investment is one that plots above the SML.</w:t>
      </w:r>
      <w:r w:rsidR="002C3191">
        <w:rPr>
          <w:rFonts w:ascii="Bookman Old Style" w:eastAsiaTheme="minorEastAsia" w:hAnsi="Bookman Old Style"/>
        </w:rPr>
        <w:t xml:space="preserve"> As the figure above illustrates, using the WACC for all types of projects can result in the firm incorrectly accepting risky projects and incorrectly rejecting safe ones.</w:t>
      </w:r>
    </w:p>
    <w:p w14:paraId="1DB34BAB" w14:textId="77777777" w:rsidR="002C3191" w:rsidRDefault="002C3191" w:rsidP="003D0CE8">
      <w:pPr>
        <w:spacing w:after="0" w:line="240" w:lineRule="auto"/>
        <w:jc w:val="both"/>
        <w:rPr>
          <w:rFonts w:ascii="Bookman Old Style" w:eastAsiaTheme="minorEastAsia" w:hAnsi="Bookman Old Style"/>
        </w:rPr>
      </w:pPr>
    </w:p>
    <w:p w14:paraId="50DF62B7" w14:textId="24DADF6D" w:rsidR="002C3191" w:rsidRDefault="002C3191" w:rsidP="003D0CE8">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7BBA1403" w14:textId="6026E733" w:rsidR="002C3191" w:rsidRDefault="002C3191" w:rsidP="003D0CE8">
      <w:pPr>
        <w:spacing w:after="0" w:line="240" w:lineRule="auto"/>
        <w:jc w:val="both"/>
        <w:rPr>
          <w:rFonts w:ascii="Bookman Old Style" w:eastAsiaTheme="minorEastAsia" w:hAnsi="Bookman Old Style"/>
        </w:rPr>
      </w:pPr>
      <w:r>
        <w:rPr>
          <w:rFonts w:ascii="Bookman Old Style" w:eastAsiaTheme="minorEastAsia" w:hAnsi="Bookman Old Style"/>
        </w:rPr>
        <w:t xml:space="preserve">Consider point A. </w:t>
      </w:r>
    </w:p>
    <w:p w14:paraId="2C9EB8DE" w14:textId="38679CA2" w:rsidR="002C3191" w:rsidRDefault="002C3191" w:rsidP="003D0CE8">
      <w:pPr>
        <w:spacing w:after="0" w:line="240" w:lineRule="auto"/>
        <w:jc w:val="both"/>
        <w:rPr>
          <w:rFonts w:ascii="Bookman Old Style" w:eastAsiaTheme="minorEastAsia" w:hAnsi="Bookman Old Style"/>
        </w:rPr>
      </w:pPr>
      <w:r>
        <w:rPr>
          <w:rFonts w:ascii="Bookman Old Style" w:eastAsiaTheme="minorEastAsia" w:hAnsi="Bookman Old Style"/>
        </w:rPr>
        <w:t>This project has a beta of 0.6</w:t>
      </w:r>
      <w:r w:rsidR="004E052C">
        <w:rPr>
          <w:rFonts w:ascii="Bookman Old Style" w:eastAsiaTheme="minorEastAsia" w:hAnsi="Bookman Old Style"/>
        </w:rPr>
        <w:t xml:space="preserve"> compared the firm’s beta of 1.0</w:t>
      </w:r>
    </w:p>
    <w:p w14:paraId="7E951585" w14:textId="5BBDBE6E"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It has an expected return of 14%.</w:t>
      </w:r>
    </w:p>
    <w:p w14:paraId="11509701" w14:textId="165B7504"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Is this a desirable investment? YES, because the required return is only:</w:t>
      </w:r>
    </w:p>
    <w:p w14:paraId="510DB812" w14:textId="77777777" w:rsidR="004E052C" w:rsidRDefault="004E052C" w:rsidP="003D0CE8">
      <w:pPr>
        <w:spacing w:after="0" w:line="240" w:lineRule="auto"/>
        <w:jc w:val="both"/>
        <w:rPr>
          <w:rFonts w:ascii="Bookman Old Style" w:eastAsiaTheme="minorEastAsia" w:hAnsi="Bookman Old Style"/>
        </w:rPr>
      </w:pPr>
    </w:p>
    <w:p w14:paraId="4DA4D233" w14:textId="18CDF6A7" w:rsidR="004E052C" w:rsidRPr="004E052C" w:rsidRDefault="004E052C" w:rsidP="003D0CE8">
      <w:pPr>
        <w:spacing w:after="0" w:line="240" w:lineRule="auto"/>
        <w:jc w:val="both"/>
        <w:rPr>
          <w:rFonts w:ascii="Bookman Old Style" w:eastAsiaTheme="minorEastAsia" w:hAnsi="Bookman Old Style"/>
        </w:rPr>
      </w:pPr>
      <m:oMathPara>
        <m:oMath>
          <m:r>
            <w:rPr>
              <w:rFonts w:ascii="Cambria Math" w:eastAsiaTheme="minorEastAsia" w:hAnsi="Cambria Math"/>
            </w:rPr>
            <m:t>Required Return=</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+β*</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r>
            <w:rPr>
              <w:rFonts w:ascii="Cambria Math" w:eastAsiaTheme="minorEastAsia" w:hAnsi="Cambria Math"/>
            </w:rPr>
            <m:t>=7%+0.60*8%=11.8%</m:t>
          </m:r>
        </m:oMath>
      </m:oMathPara>
    </w:p>
    <w:p w14:paraId="12FA1921" w14:textId="77777777" w:rsidR="004E052C" w:rsidRDefault="004E052C" w:rsidP="003D0CE8">
      <w:pPr>
        <w:spacing w:after="0" w:line="240" w:lineRule="auto"/>
        <w:jc w:val="both"/>
        <w:rPr>
          <w:rFonts w:ascii="Bookman Old Style" w:eastAsiaTheme="minorEastAsia" w:hAnsi="Bookman Old Style"/>
        </w:rPr>
      </w:pPr>
    </w:p>
    <w:p w14:paraId="1FA2D01F" w14:textId="57458122"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But if we use the WACC as a cutoff, this project would be rejected because its return is less than 15%. This example shows that a firm using its WACC as a cutoff tends to reject profitable projects with risks less than those of the overall firm.</w:t>
      </w:r>
    </w:p>
    <w:p w14:paraId="1B278C7E" w14:textId="77777777" w:rsidR="004E052C" w:rsidRDefault="004E052C" w:rsidP="003D0CE8">
      <w:pPr>
        <w:spacing w:after="0" w:line="240" w:lineRule="auto"/>
        <w:jc w:val="both"/>
        <w:rPr>
          <w:rFonts w:ascii="Bookman Old Style" w:eastAsiaTheme="minorEastAsia" w:hAnsi="Bookman Old Style"/>
        </w:rPr>
      </w:pPr>
    </w:p>
    <w:p w14:paraId="2077DA82" w14:textId="79906B5A"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34734AD1" w14:textId="07271343"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At the other extreme, consider point B.</w:t>
      </w:r>
    </w:p>
    <w:p w14:paraId="4609F5CA" w14:textId="7DCD1FFF"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This project offers a 16% return, which excess the firm’s cost of capital.</w:t>
      </w:r>
    </w:p>
    <w:p w14:paraId="0F745AD4" w14:textId="68FBDBA4"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But this isn’t a good investment because its return is inadequate given its level of systematic risk.</w:t>
      </w:r>
    </w:p>
    <w:p w14:paraId="2126239B" w14:textId="1CB210B4"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But if we use the WACC to evaluate it, it appears to be attractive.</w:t>
      </w:r>
    </w:p>
    <w:p w14:paraId="4F30C2E8" w14:textId="77777777" w:rsidR="004E052C" w:rsidRDefault="004E052C" w:rsidP="003D0CE8">
      <w:pPr>
        <w:spacing w:after="0" w:line="240" w:lineRule="auto"/>
        <w:jc w:val="both"/>
        <w:rPr>
          <w:rFonts w:ascii="Bookman Old Style" w:eastAsiaTheme="minorEastAsia" w:hAnsi="Bookman Old Style"/>
        </w:rPr>
      </w:pPr>
    </w:p>
    <w:p w14:paraId="76379BBC" w14:textId="3E9FF11A"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So the second mistake comes if we use the WACC as a cutoff, we tend to make unprofitable investments with risks greater than the overall firm.</w:t>
      </w:r>
    </w:p>
    <w:p w14:paraId="22194605" w14:textId="77777777" w:rsidR="004E052C" w:rsidRDefault="004E052C" w:rsidP="003D0CE8">
      <w:pPr>
        <w:spacing w:after="0" w:line="240" w:lineRule="auto"/>
        <w:jc w:val="both"/>
        <w:rPr>
          <w:rFonts w:ascii="Bookman Old Style" w:eastAsiaTheme="minorEastAsia" w:hAnsi="Bookman Old Style"/>
        </w:rPr>
      </w:pPr>
    </w:p>
    <w:p w14:paraId="18F150A2" w14:textId="39F3FB4E" w:rsidR="004E052C" w:rsidRDefault="004E052C" w:rsidP="003D0CE8">
      <w:pPr>
        <w:spacing w:after="0" w:line="240" w:lineRule="auto"/>
        <w:jc w:val="both"/>
        <w:rPr>
          <w:rFonts w:ascii="Bookman Old Style" w:eastAsiaTheme="minorEastAsia" w:hAnsi="Bookman Old Style"/>
        </w:rPr>
      </w:pPr>
      <w:r>
        <w:rPr>
          <w:rFonts w:ascii="Bookman Old Style" w:eastAsiaTheme="minorEastAsia" w:hAnsi="Bookman Old Style"/>
        </w:rPr>
        <w:t>As a consequence, through time, a firm that uses its WACC to evaluate all projects has a tendency to both accept unprofitable investment and become increasingly risky.</w:t>
      </w:r>
    </w:p>
    <w:p w14:paraId="5D4BA489" w14:textId="77777777" w:rsidR="004E052C" w:rsidRDefault="004E052C" w:rsidP="003D0CE8">
      <w:pPr>
        <w:spacing w:after="0" w:line="240" w:lineRule="auto"/>
        <w:jc w:val="both"/>
        <w:rPr>
          <w:rFonts w:ascii="Bookman Old Style" w:eastAsiaTheme="minorEastAsia" w:hAnsi="Bookman Old Style"/>
        </w:rPr>
      </w:pPr>
    </w:p>
    <w:p w14:paraId="5FFCA983" w14:textId="77777777" w:rsidR="004E052C" w:rsidRDefault="004E052C" w:rsidP="003D0CE8">
      <w:pPr>
        <w:spacing w:after="0" w:line="240" w:lineRule="auto"/>
        <w:jc w:val="both"/>
        <w:rPr>
          <w:rFonts w:ascii="Bookman Old Style" w:eastAsiaTheme="minorEastAsia" w:hAnsi="Bookman Old Style"/>
        </w:rPr>
      </w:pPr>
    </w:p>
    <w:p w14:paraId="7B00000C" w14:textId="3191871A" w:rsidR="004E052C" w:rsidRDefault="004E052C" w:rsidP="003D0CE8">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DIVISIONAL COST OF CAPITAL</w:t>
      </w:r>
    </w:p>
    <w:p w14:paraId="4A0EB70F" w14:textId="11B45467" w:rsidR="004E052C"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The same type of problem can come up in a corporation with more than one line of business.</w:t>
      </w:r>
    </w:p>
    <w:p w14:paraId="7F5C4447" w14:textId="77777777" w:rsidR="00615A12" w:rsidRDefault="00615A12" w:rsidP="003D0CE8">
      <w:pPr>
        <w:spacing w:after="0" w:line="240" w:lineRule="auto"/>
        <w:jc w:val="both"/>
        <w:rPr>
          <w:rFonts w:ascii="Bookman Old Style" w:eastAsiaTheme="minorEastAsia" w:hAnsi="Bookman Old Style"/>
        </w:rPr>
      </w:pPr>
    </w:p>
    <w:p w14:paraId="4E16A997" w14:textId="33876A2C"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Imagine a company with 2 divisions – a regulated phone company and a high tech communications company. The phone company has relatively low risk, the communications has high risk.</w:t>
      </w:r>
    </w:p>
    <w:p w14:paraId="0DEC0BA5" w14:textId="77777777" w:rsidR="00615A12" w:rsidRDefault="00615A12" w:rsidP="003D0CE8">
      <w:pPr>
        <w:spacing w:after="0" w:line="240" w:lineRule="auto"/>
        <w:jc w:val="both"/>
        <w:rPr>
          <w:rFonts w:ascii="Bookman Old Style" w:eastAsiaTheme="minorEastAsia" w:hAnsi="Bookman Old Style"/>
        </w:rPr>
      </w:pPr>
    </w:p>
    <w:p w14:paraId="6D00DA6C" w14:textId="1AB15235"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In this case, the firm’s overall cost of capital is a mixture of 2 different costs of capital, one for each division.</w:t>
      </w:r>
    </w:p>
    <w:p w14:paraId="481A47DD" w14:textId="77777777"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If the 2 divisions were competing for resources and the firm used a single WACC as a cutoff, which division would tend to be awarded greater funds for investment?</w:t>
      </w:r>
    </w:p>
    <w:p w14:paraId="4A1A2EDD" w14:textId="77777777" w:rsidR="00615A12" w:rsidRDefault="00615A12" w:rsidP="003D0CE8">
      <w:pPr>
        <w:spacing w:after="0" w:line="240" w:lineRule="auto"/>
        <w:jc w:val="both"/>
        <w:rPr>
          <w:rFonts w:ascii="Bookman Old Style" w:eastAsiaTheme="minorEastAsia" w:hAnsi="Bookman Old Style"/>
        </w:rPr>
      </w:pPr>
    </w:p>
    <w:p w14:paraId="488BD152" w14:textId="77777777"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The answer:</w:t>
      </w:r>
    </w:p>
    <w:p w14:paraId="2E7F2758" w14:textId="77777777"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The riskier division would tend to have greater returns (ignoring the greater risk) so it would usually be the winner. The less glamourous operation might have great profit potential that ends up being ignored.</w:t>
      </w:r>
    </w:p>
    <w:p w14:paraId="4A6FA831" w14:textId="77777777" w:rsidR="00615A12" w:rsidRDefault="00615A12" w:rsidP="003D0CE8">
      <w:pPr>
        <w:spacing w:after="0" w:line="240" w:lineRule="auto"/>
        <w:jc w:val="both"/>
        <w:rPr>
          <w:rFonts w:ascii="Bookman Old Style" w:eastAsiaTheme="minorEastAsia" w:hAnsi="Bookman Old Style"/>
        </w:rPr>
      </w:pPr>
    </w:p>
    <w:p w14:paraId="3E862D6F" w14:textId="400CA9D8"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This is a problem large corporations are aware of and they’re working to develop separate divisional costs of capital.</w:t>
      </w:r>
    </w:p>
    <w:p w14:paraId="0BB5A11C" w14:textId="77777777" w:rsidR="00615A12" w:rsidRDefault="00615A12" w:rsidP="003D0CE8">
      <w:pPr>
        <w:spacing w:after="0" w:line="240" w:lineRule="auto"/>
        <w:jc w:val="both"/>
        <w:rPr>
          <w:rFonts w:ascii="Bookman Old Style" w:eastAsiaTheme="minorEastAsia" w:hAnsi="Bookman Old Style"/>
        </w:rPr>
      </w:pPr>
    </w:p>
    <w:p w14:paraId="51F26A97" w14:textId="77777777" w:rsidR="00615A12" w:rsidRDefault="00615A12" w:rsidP="003D0CE8">
      <w:pPr>
        <w:spacing w:after="0" w:line="240" w:lineRule="auto"/>
        <w:jc w:val="both"/>
        <w:rPr>
          <w:rFonts w:ascii="Bookman Old Style" w:eastAsiaTheme="minorEastAsia" w:hAnsi="Bookman Old Style"/>
        </w:rPr>
      </w:pPr>
    </w:p>
    <w:p w14:paraId="20FA679F" w14:textId="77777777"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b/>
          <w:u w:val="single"/>
        </w:rPr>
        <w:t>THE PURE PLAY APPROACH</w:t>
      </w:r>
    </w:p>
    <w:p w14:paraId="52C996F7" w14:textId="0748401D"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We know that using the firm’s WACC inappropriately can lead to problems – how can we come up with an appropriate discount rate in these circumstances?</w:t>
      </w:r>
    </w:p>
    <w:p w14:paraId="39E452C6" w14:textId="77777777" w:rsidR="00615A12" w:rsidRDefault="00615A12" w:rsidP="003D0CE8">
      <w:pPr>
        <w:spacing w:after="0" w:line="240" w:lineRule="auto"/>
        <w:jc w:val="both"/>
        <w:rPr>
          <w:rFonts w:ascii="Bookman Old Style" w:eastAsiaTheme="minorEastAsia" w:hAnsi="Bookman Old Style"/>
        </w:rPr>
      </w:pPr>
    </w:p>
    <w:p w14:paraId="79D04544" w14:textId="087758F5" w:rsidR="00615A12" w:rsidRDefault="00615A12" w:rsidP="003D0CE8">
      <w:pPr>
        <w:spacing w:after="0" w:line="240" w:lineRule="auto"/>
        <w:jc w:val="both"/>
        <w:rPr>
          <w:rFonts w:ascii="Bookman Old Style" w:eastAsiaTheme="minorEastAsia" w:hAnsi="Bookman Old Style"/>
        </w:rPr>
      </w:pPr>
      <w:r>
        <w:rPr>
          <w:rFonts w:ascii="Bookman Old Style" w:eastAsiaTheme="minorEastAsia" w:hAnsi="Bookman Old Style"/>
        </w:rPr>
        <w:t>Because we can’t observe returns on these investments, there’s no direct way of coming with a beta. So instead we have to examine other investments outside the firm that are in the same risk class as the one we’re considering and use the market-required return on these investments as the discount rate.</w:t>
      </w:r>
    </w:p>
    <w:p w14:paraId="5DBBCB69" w14:textId="77777777" w:rsidR="00615A12" w:rsidRDefault="00615A12" w:rsidP="003D0CE8">
      <w:pPr>
        <w:spacing w:after="0" w:line="240" w:lineRule="auto"/>
        <w:jc w:val="both"/>
        <w:rPr>
          <w:rFonts w:ascii="Bookman Old Style" w:eastAsiaTheme="minorEastAsia" w:hAnsi="Bookman Old Style"/>
        </w:rPr>
      </w:pPr>
    </w:p>
    <w:p w14:paraId="659C725D" w14:textId="30B4CE2F" w:rsidR="00615A12" w:rsidRDefault="00615A12" w:rsidP="00615A12">
      <w:pPr>
        <w:pStyle w:val="ListParagraph"/>
        <w:numPr>
          <w:ilvl w:val="0"/>
          <w:numId w:val="1"/>
        </w:numPr>
        <w:spacing w:after="0" w:line="240" w:lineRule="auto"/>
        <w:jc w:val="both"/>
        <w:rPr>
          <w:rFonts w:ascii="Bookman Old Style" w:eastAsiaTheme="minorEastAsia" w:hAnsi="Bookman Old Style"/>
        </w:rPr>
      </w:pPr>
      <w:r>
        <w:rPr>
          <w:rFonts w:ascii="Bookman Old Style" w:eastAsiaTheme="minorEastAsia" w:hAnsi="Bookman Old Style"/>
        </w:rPr>
        <w:t>We determine what the cost of capital is for such investment by locating some similar investments in the marketplace</w:t>
      </w:r>
    </w:p>
    <w:p w14:paraId="44D168F8" w14:textId="77777777" w:rsidR="00615A12" w:rsidRDefault="00615A12" w:rsidP="00615A12">
      <w:pPr>
        <w:spacing w:after="0" w:line="240" w:lineRule="auto"/>
        <w:jc w:val="both"/>
        <w:rPr>
          <w:rFonts w:ascii="Bookman Old Style" w:eastAsiaTheme="minorEastAsia" w:hAnsi="Bookman Old Style"/>
        </w:rPr>
      </w:pPr>
    </w:p>
    <w:p w14:paraId="26C6A739" w14:textId="2E09ECB5" w:rsidR="00615A12" w:rsidRDefault="00615A12" w:rsidP="00615A1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21209633" w14:textId="679D3133" w:rsidR="00615A12" w:rsidRDefault="00615A12" w:rsidP="00615A12">
      <w:pPr>
        <w:spacing w:after="0" w:line="240" w:lineRule="auto"/>
        <w:jc w:val="both"/>
        <w:rPr>
          <w:rFonts w:ascii="Bookman Old Style" w:eastAsiaTheme="minorEastAsia" w:hAnsi="Bookman Old Style"/>
        </w:rPr>
      </w:pPr>
      <w:r>
        <w:rPr>
          <w:rFonts w:ascii="Bookman Old Style" w:eastAsiaTheme="minorEastAsia" w:hAnsi="Bookman Old Style"/>
        </w:rPr>
        <w:t>Going back our phone company division – we want to come up with a discount rate for that division. We can identify several other phone companies that have publicly traded securities.</w:t>
      </w:r>
    </w:p>
    <w:p w14:paraId="651812FC" w14:textId="77777777" w:rsidR="00615A12" w:rsidRDefault="00615A12" w:rsidP="00615A12">
      <w:pPr>
        <w:spacing w:after="0" w:line="240" w:lineRule="auto"/>
        <w:jc w:val="both"/>
        <w:rPr>
          <w:rFonts w:ascii="Bookman Old Style" w:eastAsiaTheme="minorEastAsia" w:hAnsi="Bookman Old Style"/>
        </w:rPr>
      </w:pPr>
    </w:p>
    <w:p w14:paraId="147561B3" w14:textId="22A9F8B5" w:rsidR="00615A12" w:rsidRDefault="00615A12" w:rsidP="00615A12">
      <w:pPr>
        <w:spacing w:after="0" w:line="240" w:lineRule="auto"/>
        <w:jc w:val="both"/>
        <w:rPr>
          <w:rFonts w:ascii="Bookman Old Style" w:eastAsiaTheme="minorEastAsia" w:hAnsi="Bookman Old Style"/>
        </w:rPr>
      </w:pPr>
      <w:r>
        <w:rPr>
          <w:rFonts w:ascii="Bookman Old Style" w:eastAsiaTheme="minorEastAsia" w:hAnsi="Bookman Old Style"/>
        </w:rPr>
        <w:t>We might find a typical phone company has a beta of 0.40, AA-rated debt and a capital structure that’s about 50% debt and 50% equity. Using this information, we could develop a WACC for a typical phone company and use this as our discount rate.</w:t>
      </w:r>
    </w:p>
    <w:p w14:paraId="2D048D35" w14:textId="77777777" w:rsidR="00615A12" w:rsidRDefault="00615A12" w:rsidP="00615A12">
      <w:pPr>
        <w:spacing w:after="0" w:line="240" w:lineRule="auto"/>
        <w:jc w:val="both"/>
        <w:rPr>
          <w:rFonts w:ascii="Bookman Old Style" w:eastAsiaTheme="minorEastAsia" w:hAnsi="Bookman Old Style"/>
        </w:rPr>
      </w:pPr>
    </w:p>
    <w:p w14:paraId="6DB6F20C" w14:textId="61332750" w:rsidR="00615A12" w:rsidRDefault="004921A1" w:rsidP="00615A12">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2781670" w14:textId="0B2C9B11" w:rsidR="004921A1" w:rsidRDefault="004921A1" w:rsidP="00615A12">
      <w:pPr>
        <w:spacing w:after="0" w:line="240" w:lineRule="auto"/>
        <w:jc w:val="both"/>
        <w:rPr>
          <w:rFonts w:ascii="Bookman Old Style" w:eastAsiaTheme="minorEastAsia" w:hAnsi="Bookman Old Style"/>
        </w:rPr>
      </w:pPr>
      <w:r>
        <w:rPr>
          <w:rFonts w:ascii="Bookman Old Style" w:eastAsiaTheme="minorEastAsia" w:hAnsi="Bookman Old Style"/>
        </w:rPr>
        <w:t>Alternatively, we’re thinking of entering a new line of business. We’d try to develop the appropriate cost of capital by looking at the market required return on companies already in that business.</w:t>
      </w:r>
    </w:p>
    <w:p w14:paraId="49459A57" w14:textId="77777777" w:rsidR="004921A1" w:rsidRDefault="004921A1" w:rsidP="00615A12">
      <w:pPr>
        <w:spacing w:after="0" w:line="240" w:lineRule="auto"/>
        <w:jc w:val="both"/>
        <w:rPr>
          <w:rFonts w:ascii="Bookman Old Style" w:eastAsiaTheme="minorEastAsia" w:hAnsi="Bookman Old Style"/>
        </w:rPr>
      </w:pPr>
    </w:p>
    <w:p w14:paraId="0E3EDA2B" w14:textId="3E22D923" w:rsidR="004921A1" w:rsidRDefault="004921A1" w:rsidP="00615A12">
      <w:pPr>
        <w:spacing w:after="0" w:line="240" w:lineRule="auto"/>
        <w:jc w:val="both"/>
        <w:rPr>
          <w:rFonts w:ascii="Bookman Old Style" w:eastAsiaTheme="minorEastAsia" w:hAnsi="Bookman Old Style"/>
        </w:rPr>
      </w:pPr>
      <w:r>
        <w:rPr>
          <w:rFonts w:ascii="Bookman Old Style" w:eastAsiaTheme="minorEastAsia" w:hAnsi="Bookman Old Style"/>
        </w:rPr>
        <w:t xml:space="preserve">A company that focuses on a single line of business is called a </w:t>
      </w:r>
      <w:r w:rsidRPr="004921A1">
        <w:rPr>
          <w:rFonts w:ascii="Bookman Old Style" w:eastAsiaTheme="minorEastAsia" w:hAnsi="Bookman Old Style"/>
          <w:b/>
          <w:i/>
        </w:rPr>
        <w:t>pure play</w:t>
      </w:r>
      <w:r>
        <w:rPr>
          <w:rFonts w:ascii="Bookman Old Style" w:eastAsiaTheme="minorEastAsia" w:hAnsi="Bookman Old Style"/>
          <w:b/>
        </w:rPr>
        <w:t xml:space="preserve">. </w:t>
      </w:r>
      <w:r w:rsidRPr="004921A1">
        <w:rPr>
          <w:rFonts w:ascii="Bookman Old Style" w:eastAsiaTheme="minorEastAsia" w:hAnsi="Bookman Old Style"/>
        </w:rPr>
        <w:t>So</w:t>
      </w:r>
      <w:r>
        <w:rPr>
          <w:rFonts w:ascii="Bookman Old Style" w:eastAsiaTheme="minorEastAsia" w:hAnsi="Bookman Old Style"/>
          <w:b/>
        </w:rPr>
        <w:t xml:space="preserve"> </w:t>
      </w:r>
      <w:r w:rsidRPr="004921A1">
        <w:rPr>
          <w:rFonts w:ascii="Bookman Old Style" w:eastAsiaTheme="minorEastAsia" w:hAnsi="Bookman Old Style"/>
        </w:rPr>
        <w:t>what we</w:t>
      </w:r>
      <w:r>
        <w:rPr>
          <w:rFonts w:ascii="Bookman Old Style" w:eastAsiaTheme="minorEastAsia" w:hAnsi="Bookman Old Style"/>
          <w:b/>
        </w:rPr>
        <w:t xml:space="preserve"> </w:t>
      </w:r>
      <w:r>
        <w:rPr>
          <w:rFonts w:ascii="Bookman Old Style" w:eastAsiaTheme="minorEastAsia" w:hAnsi="Bookman Old Style"/>
        </w:rPr>
        <w:t xml:space="preserve">try to do here is find companies that focus as exclusively as possible on the type of project we’re interested in. So our approach is called </w:t>
      </w:r>
      <w:r>
        <w:rPr>
          <w:rFonts w:ascii="Bookman Old Style" w:eastAsiaTheme="minorEastAsia" w:hAnsi="Bookman Old Style"/>
          <w:b/>
        </w:rPr>
        <w:t>pure play approach</w:t>
      </w:r>
      <w:r>
        <w:rPr>
          <w:rFonts w:ascii="Bookman Old Style" w:eastAsiaTheme="minorEastAsia" w:hAnsi="Bookman Old Style"/>
        </w:rPr>
        <w:t xml:space="preserve"> to estimating the required return on an investment.</w:t>
      </w:r>
    </w:p>
    <w:p w14:paraId="2C36673A" w14:textId="77777777" w:rsidR="004921A1" w:rsidRDefault="004921A1" w:rsidP="00615A12">
      <w:pPr>
        <w:spacing w:after="0" w:line="240" w:lineRule="auto"/>
        <w:jc w:val="both"/>
        <w:rPr>
          <w:rFonts w:ascii="Bookman Old Style" w:eastAsiaTheme="minorEastAsia" w:hAnsi="Bookman Old Style"/>
        </w:rPr>
      </w:pPr>
    </w:p>
    <w:tbl>
      <w:tblPr>
        <w:tblStyle w:val="TableGrid"/>
        <w:tblW w:w="0" w:type="auto"/>
        <w:jc w:val="center"/>
        <w:tblInd w:w="1278" w:type="dxa"/>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8298"/>
      </w:tblGrid>
      <w:tr w:rsidR="004921A1" w14:paraId="686FBBE0" w14:textId="77777777" w:rsidTr="00D45477">
        <w:trPr>
          <w:jc w:val="center"/>
        </w:trPr>
        <w:tc>
          <w:tcPr>
            <w:tcW w:w="8298" w:type="dxa"/>
          </w:tcPr>
          <w:p w14:paraId="21877F88" w14:textId="77777777" w:rsidR="004921A1" w:rsidRDefault="004921A1" w:rsidP="00615A12">
            <w:pPr>
              <w:jc w:val="both"/>
              <w:rPr>
                <w:rFonts w:ascii="Bookman Old Style" w:eastAsiaTheme="minorEastAsia" w:hAnsi="Bookman Old Style"/>
              </w:rPr>
            </w:pPr>
          </w:p>
          <w:p w14:paraId="6634413F" w14:textId="7F787FCE" w:rsidR="004921A1" w:rsidRPr="004921A1" w:rsidRDefault="004921A1" w:rsidP="00615A12">
            <w:pPr>
              <w:jc w:val="both"/>
              <w:rPr>
                <w:rFonts w:ascii="Bookman Old Style" w:eastAsiaTheme="minorEastAsia" w:hAnsi="Bookman Old Style"/>
              </w:rPr>
            </w:pPr>
            <w:r>
              <w:rPr>
                <w:rFonts w:ascii="Bookman Old Style" w:eastAsiaTheme="minorEastAsia" w:hAnsi="Bookman Old Style"/>
                <w:b/>
              </w:rPr>
              <w:t>Pure Play</w:t>
            </w:r>
            <w:r>
              <w:rPr>
                <w:rFonts w:ascii="Bookman Old Style" w:eastAsiaTheme="minorEastAsia" w:hAnsi="Bookman Old Style"/>
              </w:rPr>
              <w:t xml:space="preserve"> </w:t>
            </w:r>
            <w:r w:rsidR="00D45477">
              <w:rPr>
                <w:rFonts w:ascii="Bookman Old Style" w:eastAsiaTheme="minorEastAsia" w:hAnsi="Bookman Old Style"/>
                <w:b/>
              </w:rPr>
              <w:t>Approach</w:t>
            </w:r>
            <w:r w:rsidR="00D45477">
              <w:rPr>
                <w:rFonts w:ascii="Bookman Old Style" w:eastAsiaTheme="minorEastAsia" w:hAnsi="Bookman Old Style"/>
              </w:rPr>
              <w:t xml:space="preserve"> –</w:t>
            </w:r>
            <w:r>
              <w:rPr>
                <w:rFonts w:ascii="Bookman Old Style" w:eastAsiaTheme="minorEastAsia" w:hAnsi="Bookman Old Style"/>
              </w:rPr>
              <w:t xml:space="preserve"> </w:t>
            </w:r>
            <w:r w:rsidR="00D45477">
              <w:rPr>
                <w:rFonts w:ascii="Bookman Old Style" w:eastAsiaTheme="minorEastAsia" w:hAnsi="Bookman Old Style"/>
              </w:rPr>
              <w:t>Use of a WACC that’s unique to a particular project</w:t>
            </w:r>
          </w:p>
          <w:p w14:paraId="621F5E41" w14:textId="77777777" w:rsidR="004921A1" w:rsidRDefault="004921A1" w:rsidP="00615A12">
            <w:pPr>
              <w:jc w:val="both"/>
              <w:rPr>
                <w:rFonts w:ascii="Bookman Old Style" w:eastAsiaTheme="minorEastAsia" w:hAnsi="Bookman Old Style"/>
              </w:rPr>
            </w:pPr>
          </w:p>
        </w:tc>
      </w:tr>
    </w:tbl>
    <w:p w14:paraId="59F0EEFA" w14:textId="77777777" w:rsidR="004921A1" w:rsidRPr="004921A1" w:rsidRDefault="004921A1" w:rsidP="00615A12">
      <w:pPr>
        <w:spacing w:after="0" w:line="240" w:lineRule="auto"/>
        <w:jc w:val="both"/>
        <w:rPr>
          <w:rFonts w:ascii="Bookman Old Style" w:eastAsiaTheme="minorEastAsia" w:hAnsi="Bookman Old Style"/>
        </w:rPr>
      </w:pPr>
    </w:p>
    <w:p w14:paraId="3C5139F3" w14:textId="469CEC3A" w:rsidR="003D0CE8"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t>The pure play approach is useful in finding the fair rate pf return for utility companies.</w:t>
      </w:r>
    </w:p>
    <w:p w14:paraId="4CCBEF02" w14:textId="08171BB0"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We’d use the pure play approach on Provincial Power if it wasn’t a publicly traded company – because many electric utilities in Canada are crown corporations, consultants use publicly traded Canadian &amp; US utilities for comparison.</w:t>
      </w:r>
    </w:p>
    <w:p w14:paraId="6C8010F3" w14:textId="77777777" w:rsidR="00D45477" w:rsidRDefault="00D45477" w:rsidP="008B2607">
      <w:pPr>
        <w:spacing w:after="0" w:line="240" w:lineRule="auto"/>
        <w:jc w:val="both"/>
        <w:rPr>
          <w:rFonts w:ascii="Bookman Old Style" w:eastAsiaTheme="minorEastAsia" w:hAnsi="Bookman Old Style"/>
        </w:rPr>
      </w:pPr>
    </w:p>
    <w:p w14:paraId="798DE781" w14:textId="4AE403F4"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t>Finding similar companies for comparison comes with problems. The most obvious one is that we may not be able to find any suitable companies for comparison. In this case, determining a discount rate becomes challenging.</w:t>
      </w:r>
    </w:p>
    <w:p w14:paraId="510BC07B" w14:textId="77777777" w:rsidR="00D45477" w:rsidRDefault="00D45477" w:rsidP="008B2607">
      <w:pPr>
        <w:spacing w:after="0" w:line="240" w:lineRule="auto"/>
        <w:jc w:val="both"/>
        <w:rPr>
          <w:rFonts w:ascii="Bookman Old Style" w:eastAsiaTheme="minorEastAsia" w:hAnsi="Bookman Old Style"/>
        </w:rPr>
      </w:pPr>
    </w:p>
    <w:p w14:paraId="2878763E" w14:textId="788CF9D8"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t>Alternatively, a comparable company might be found but the comparison is complicated by a different capital structure.</w:t>
      </w:r>
    </w:p>
    <w:p w14:paraId="305CF0C1" w14:textId="77777777" w:rsidR="00D45477" w:rsidRDefault="00D45477" w:rsidP="008B2607">
      <w:pPr>
        <w:spacing w:after="0" w:line="240" w:lineRule="auto"/>
        <w:jc w:val="both"/>
        <w:rPr>
          <w:rFonts w:ascii="Bookman Old Style" w:eastAsiaTheme="minorEastAsia" w:hAnsi="Bookman Old Style"/>
        </w:rPr>
      </w:pPr>
    </w:p>
    <w:p w14:paraId="5359DC96" w14:textId="251380AD"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t>The important thing is to be aware of the issue so we at least reduce the possibility of the kinds of mistakes that can arise when the WACC is used as a cutoff on all investments.</w:t>
      </w:r>
    </w:p>
    <w:p w14:paraId="1B624C3D" w14:textId="77777777" w:rsidR="00D45477" w:rsidRDefault="00D45477" w:rsidP="008B2607">
      <w:pPr>
        <w:spacing w:after="0" w:line="240" w:lineRule="auto"/>
        <w:jc w:val="both"/>
        <w:rPr>
          <w:rFonts w:ascii="Bookman Old Style" w:eastAsiaTheme="minorEastAsia" w:hAnsi="Bookman Old Style"/>
        </w:rPr>
      </w:pPr>
    </w:p>
    <w:p w14:paraId="783C2F62" w14:textId="77777777" w:rsidR="00D45477" w:rsidRDefault="00D45477" w:rsidP="008B2607">
      <w:pPr>
        <w:spacing w:after="0" w:line="240" w:lineRule="auto"/>
        <w:jc w:val="both"/>
        <w:rPr>
          <w:rFonts w:ascii="Bookman Old Style" w:eastAsiaTheme="minorEastAsia" w:hAnsi="Bookman Old Style"/>
        </w:rPr>
      </w:pPr>
    </w:p>
    <w:p w14:paraId="37F2A7D5" w14:textId="731D5923"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b/>
          <w:u w:val="single"/>
        </w:rPr>
        <w:t>THE SUBJECTIVE APPROACH</w:t>
      </w:r>
    </w:p>
    <w:p w14:paraId="47F18DD9" w14:textId="77A61A11"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t>Because of the difficulties that exist in objectively finding discount rates for individual projects, firms often adopt an approach that involves making subjective adjustments to the overall WACC.</w:t>
      </w:r>
    </w:p>
    <w:p w14:paraId="398D2A8C" w14:textId="77777777" w:rsidR="00D45477" w:rsidRDefault="00D45477" w:rsidP="008B2607">
      <w:pPr>
        <w:spacing w:after="0" w:line="240" w:lineRule="auto"/>
        <w:jc w:val="both"/>
        <w:rPr>
          <w:rFonts w:ascii="Bookman Old Style" w:eastAsiaTheme="minorEastAsia" w:hAnsi="Bookman Old Style"/>
        </w:rPr>
      </w:pPr>
    </w:p>
    <w:p w14:paraId="3A42FCE1" w14:textId="6A38EF89" w:rsidR="00D45477" w:rsidRDefault="00D45477" w:rsidP="008B2607">
      <w:pPr>
        <w:spacing w:after="0" w:line="240" w:lineRule="auto"/>
        <w:jc w:val="both"/>
        <w:rPr>
          <w:rFonts w:ascii="Bookman Old Style" w:eastAsiaTheme="minorEastAsia" w:hAnsi="Bookman Old Style"/>
        </w:rPr>
      </w:pPr>
      <w:r>
        <w:rPr>
          <w:rFonts w:ascii="Bookman Old Style" w:eastAsiaTheme="minorEastAsia" w:hAnsi="Bookman Old Style"/>
        </w:rPr>
        <w:t>Let’s say that a firm has an overall WACC of 14%. It places all proposed projects into 4 categories:</w:t>
      </w:r>
    </w:p>
    <w:p w14:paraId="65C24E0B" w14:textId="77777777" w:rsidR="00D45477" w:rsidRPr="00971525" w:rsidRDefault="00D45477" w:rsidP="00971525">
      <w:pPr>
        <w:spacing w:after="0" w:line="240" w:lineRule="auto"/>
        <w:jc w:val="center"/>
        <w:rPr>
          <w:rFonts w:ascii="Bookman Old Style" w:eastAsiaTheme="minorEastAsia" w:hAnsi="Bookman Old Style"/>
          <w:b/>
        </w:rPr>
      </w:pPr>
    </w:p>
    <w:tbl>
      <w:tblPr>
        <w:tblStyle w:val="TableGrid"/>
        <w:tblW w:w="0" w:type="auto"/>
        <w:tblLook w:val="04A0" w:firstRow="1" w:lastRow="0" w:firstColumn="1" w:lastColumn="0" w:noHBand="0" w:noVBand="1"/>
      </w:tblPr>
      <w:tblGrid>
        <w:gridCol w:w="1548"/>
        <w:gridCol w:w="4050"/>
        <w:gridCol w:w="2160"/>
        <w:gridCol w:w="1818"/>
      </w:tblGrid>
      <w:tr w:rsidR="00D45477" w:rsidRPr="00971525" w14:paraId="62A9CA87" w14:textId="77777777" w:rsidTr="00971525">
        <w:tc>
          <w:tcPr>
            <w:tcW w:w="1548" w:type="dxa"/>
            <w:tcBorders>
              <w:left w:val="nil"/>
              <w:bottom w:val="single" w:sz="4" w:space="0" w:color="auto"/>
              <w:right w:val="nil"/>
            </w:tcBorders>
          </w:tcPr>
          <w:p w14:paraId="08A7FAA1" w14:textId="62DA47B9" w:rsidR="00D45477" w:rsidRPr="00971525" w:rsidRDefault="00D45477" w:rsidP="00971525">
            <w:pPr>
              <w:jc w:val="center"/>
              <w:rPr>
                <w:rFonts w:ascii="Bookman Old Style" w:eastAsiaTheme="minorEastAsia" w:hAnsi="Bookman Old Style"/>
                <w:b/>
                <w:sz w:val="18"/>
              </w:rPr>
            </w:pPr>
            <w:r w:rsidRPr="00971525">
              <w:rPr>
                <w:rFonts w:ascii="Bookman Old Style" w:eastAsiaTheme="minorEastAsia" w:hAnsi="Bookman Old Style"/>
                <w:b/>
                <w:sz w:val="18"/>
              </w:rPr>
              <w:t>Category</w:t>
            </w:r>
          </w:p>
        </w:tc>
        <w:tc>
          <w:tcPr>
            <w:tcW w:w="4050" w:type="dxa"/>
            <w:tcBorders>
              <w:left w:val="nil"/>
              <w:bottom w:val="single" w:sz="4" w:space="0" w:color="auto"/>
              <w:right w:val="nil"/>
            </w:tcBorders>
          </w:tcPr>
          <w:p w14:paraId="2F46A36B" w14:textId="6AFE6D8E" w:rsidR="00D45477" w:rsidRPr="00971525" w:rsidRDefault="00D45477" w:rsidP="00971525">
            <w:pPr>
              <w:jc w:val="center"/>
              <w:rPr>
                <w:rFonts w:ascii="Bookman Old Style" w:eastAsiaTheme="minorEastAsia" w:hAnsi="Bookman Old Style"/>
                <w:b/>
                <w:sz w:val="18"/>
              </w:rPr>
            </w:pPr>
            <w:r w:rsidRPr="00971525">
              <w:rPr>
                <w:rFonts w:ascii="Bookman Old Style" w:eastAsiaTheme="minorEastAsia" w:hAnsi="Bookman Old Style"/>
                <w:b/>
                <w:sz w:val="18"/>
              </w:rPr>
              <w:t>Examples</w:t>
            </w:r>
          </w:p>
        </w:tc>
        <w:tc>
          <w:tcPr>
            <w:tcW w:w="2160" w:type="dxa"/>
            <w:tcBorders>
              <w:left w:val="nil"/>
              <w:bottom w:val="single" w:sz="4" w:space="0" w:color="auto"/>
              <w:right w:val="nil"/>
            </w:tcBorders>
          </w:tcPr>
          <w:p w14:paraId="43F80ACD" w14:textId="3DBDC943" w:rsidR="00D45477" w:rsidRPr="00971525" w:rsidRDefault="00D45477" w:rsidP="00971525">
            <w:pPr>
              <w:jc w:val="center"/>
              <w:rPr>
                <w:rFonts w:ascii="Bookman Old Style" w:eastAsiaTheme="minorEastAsia" w:hAnsi="Bookman Old Style"/>
                <w:b/>
                <w:sz w:val="18"/>
              </w:rPr>
            </w:pPr>
            <w:r w:rsidRPr="00971525">
              <w:rPr>
                <w:rFonts w:ascii="Bookman Old Style" w:eastAsiaTheme="minorEastAsia" w:hAnsi="Bookman Old Style"/>
                <w:b/>
                <w:sz w:val="18"/>
              </w:rPr>
              <w:t>Adjustment Factor</w:t>
            </w:r>
          </w:p>
        </w:tc>
        <w:tc>
          <w:tcPr>
            <w:tcW w:w="1818" w:type="dxa"/>
            <w:tcBorders>
              <w:left w:val="nil"/>
              <w:bottom w:val="single" w:sz="4" w:space="0" w:color="auto"/>
              <w:right w:val="nil"/>
            </w:tcBorders>
          </w:tcPr>
          <w:p w14:paraId="1DC32687" w14:textId="34DEDFBD" w:rsidR="00D45477" w:rsidRPr="00971525" w:rsidRDefault="00D45477" w:rsidP="00971525">
            <w:pPr>
              <w:jc w:val="center"/>
              <w:rPr>
                <w:rFonts w:ascii="Bookman Old Style" w:eastAsiaTheme="minorEastAsia" w:hAnsi="Bookman Old Style"/>
                <w:b/>
                <w:sz w:val="18"/>
              </w:rPr>
            </w:pPr>
            <w:r w:rsidRPr="00971525">
              <w:rPr>
                <w:rFonts w:ascii="Bookman Old Style" w:eastAsiaTheme="minorEastAsia" w:hAnsi="Bookman Old Style"/>
                <w:b/>
                <w:sz w:val="18"/>
              </w:rPr>
              <w:t>Discount Rate</w:t>
            </w:r>
          </w:p>
        </w:tc>
      </w:tr>
      <w:tr w:rsidR="00D45477" w14:paraId="250CE783" w14:textId="77777777" w:rsidTr="00971525">
        <w:tc>
          <w:tcPr>
            <w:tcW w:w="1548" w:type="dxa"/>
            <w:tcBorders>
              <w:left w:val="nil"/>
              <w:bottom w:val="nil"/>
              <w:right w:val="nil"/>
            </w:tcBorders>
          </w:tcPr>
          <w:p w14:paraId="26CB93CE" w14:textId="653A2BAD" w:rsidR="00D45477" w:rsidRPr="00971525" w:rsidRDefault="00D45477" w:rsidP="008B2607">
            <w:pPr>
              <w:jc w:val="both"/>
              <w:rPr>
                <w:rFonts w:ascii="Bookman Old Style" w:eastAsiaTheme="minorEastAsia" w:hAnsi="Bookman Old Style"/>
                <w:sz w:val="18"/>
              </w:rPr>
            </w:pPr>
            <w:r w:rsidRPr="00971525">
              <w:rPr>
                <w:rFonts w:ascii="Bookman Old Style" w:eastAsiaTheme="minorEastAsia" w:hAnsi="Bookman Old Style"/>
                <w:sz w:val="18"/>
              </w:rPr>
              <w:t>High Risk</w:t>
            </w:r>
          </w:p>
        </w:tc>
        <w:tc>
          <w:tcPr>
            <w:tcW w:w="4050" w:type="dxa"/>
            <w:tcBorders>
              <w:left w:val="nil"/>
              <w:bottom w:val="nil"/>
              <w:right w:val="nil"/>
            </w:tcBorders>
          </w:tcPr>
          <w:p w14:paraId="6AF21BDA" w14:textId="03AA79C5" w:rsidR="00D45477" w:rsidRPr="00971525" w:rsidRDefault="00D45477" w:rsidP="008B2607">
            <w:pPr>
              <w:jc w:val="both"/>
              <w:rPr>
                <w:rFonts w:ascii="Bookman Old Style" w:eastAsiaTheme="minorEastAsia" w:hAnsi="Bookman Old Style"/>
                <w:sz w:val="18"/>
              </w:rPr>
            </w:pPr>
            <w:r w:rsidRPr="00971525">
              <w:rPr>
                <w:rFonts w:ascii="Bookman Old Style" w:eastAsiaTheme="minorEastAsia" w:hAnsi="Bookman Old Style"/>
                <w:sz w:val="18"/>
              </w:rPr>
              <w:t>New products</w:t>
            </w:r>
          </w:p>
        </w:tc>
        <w:tc>
          <w:tcPr>
            <w:tcW w:w="2160" w:type="dxa"/>
            <w:tcBorders>
              <w:left w:val="nil"/>
              <w:bottom w:val="nil"/>
              <w:right w:val="nil"/>
            </w:tcBorders>
          </w:tcPr>
          <w:p w14:paraId="6523681D" w14:textId="3E0E3FF3" w:rsidR="00D45477" w:rsidRPr="00971525" w:rsidRDefault="00D45477" w:rsidP="00971525">
            <w:pPr>
              <w:jc w:val="center"/>
              <w:rPr>
                <w:rFonts w:ascii="Bookman Old Style" w:eastAsiaTheme="minorEastAsia" w:hAnsi="Bookman Old Style"/>
                <w:sz w:val="18"/>
              </w:rPr>
            </w:pPr>
            <w:r w:rsidRPr="00971525">
              <w:rPr>
                <w:rFonts w:ascii="Bookman Old Style" w:eastAsiaTheme="minorEastAsia" w:hAnsi="Bookman Old Style"/>
                <w:sz w:val="18"/>
              </w:rPr>
              <w:t>+6%</w:t>
            </w:r>
          </w:p>
        </w:tc>
        <w:tc>
          <w:tcPr>
            <w:tcW w:w="1818" w:type="dxa"/>
            <w:tcBorders>
              <w:left w:val="nil"/>
              <w:bottom w:val="nil"/>
              <w:right w:val="nil"/>
            </w:tcBorders>
          </w:tcPr>
          <w:p w14:paraId="1A5E0C5C" w14:textId="43B82EC2" w:rsidR="00D45477" w:rsidRPr="00971525" w:rsidRDefault="00D45477" w:rsidP="00971525">
            <w:pPr>
              <w:jc w:val="center"/>
              <w:rPr>
                <w:rFonts w:ascii="Bookman Old Style" w:eastAsiaTheme="minorEastAsia" w:hAnsi="Bookman Old Style"/>
                <w:sz w:val="18"/>
              </w:rPr>
            </w:pPr>
            <w:r w:rsidRPr="00971525">
              <w:rPr>
                <w:rFonts w:ascii="Bookman Old Style" w:eastAsiaTheme="minorEastAsia" w:hAnsi="Bookman Old Style"/>
                <w:sz w:val="18"/>
              </w:rPr>
              <w:t>20%</w:t>
            </w:r>
          </w:p>
        </w:tc>
      </w:tr>
      <w:tr w:rsidR="00D45477" w14:paraId="11C2A0B2" w14:textId="77777777" w:rsidTr="00971525">
        <w:tc>
          <w:tcPr>
            <w:tcW w:w="1548" w:type="dxa"/>
            <w:tcBorders>
              <w:top w:val="nil"/>
              <w:left w:val="nil"/>
              <w:bottom w:val="nil"/>
              <w:right w:val="nil"/>
            </w:tcBorders>
          </w:tcPr>
          <w:p w14:paraId="7B1A4801" w14:textId="0BE6AE62" w:rsidR="00D45477" w:rsidRPr="00971525" w:rsidRDefault="00D45477" w:rsidP="008B2607">
            <w:pPr>
              <w:jc w:val="both"/>
              <w:rPr>
                <w:rFonts w:ascii="Bookman Old Style" w:eastAsiaTheme="minorEastAsia" w:hAnsi="Bookman Old Style"/>
                <w:sz w:val="18"/>
              </w:rPr>
            </w:pPr>
            <w:r w:rsidRPr="00971525">
              <w:rPr>
                <w:rFonts w:ascii="Bookman Old Style" w:eastAsiaTheme="minorEastAsia" w:hAnsi="Bookman Old Style"/>
                <w:sz w:val="18"/>
              </w:rPr>
              <w:t>Moderate Risk</w:t>
            </w:r>
          </w:p>
        </w:tc>
        <w:tc>
          <w:tcPr>
            <w:tcW w:w="4050" w:type="dxa"/>
            <w:tcBorders>
              <w:top w:val="nil"/>
              <w:left w:val="nil"/>
              <w:bottom w:val="nil"/>
              <w:right w:val="nil"/>
            </w:tcBorders>
          </w:tcPr>
          <w:p w14:paraId="3A495024" w14:textId="683F1FD3" w:rsidR="00D45477" w:rsidRPr="00971525" w:rsidRDefault="00D45477" w:rsidP="00D45477">
            <w:pPr>
              <w:jc w:val="both"/>
              <w:rPr>
                <w:rFonts w:ascii="Bookman Old Style" w:eastAsiaTheme="minorEastAsia" w:hAnsi="Bookman Old Style"/>
                <w:sz w:val="18"/>
              </w:rPr>
            </w:pPr>
            <w:r w:rsidRPr="00971525">
              <w:rPr>
                <w:rFonts w:ascii="Bookman Old Style" w:eastAsiaTheme="minorEastAsia" w:hAnsi="Bookman Old Style"/>
                <w:sz w:val="18"/>
              </w:rPr>
              <w:t>Cost savings, expansion of existing lines</w:t>
            </w:r>
          </w:p>
        </w:tc>
        <w:tc>
          <w:tcPr>
            <w:tcW w:w="2160" w:type="dxa"/>
            <w:tcBorders>
              <w:top w:val="nil"/>
              <w:left w:val="nil"/>
              <w:bottom w:val="nil"/>
              <w:right w:val="nil"/>
            </w:tcBorders>
          </w:tcPr>
          <w:p w14:paraId="29943FA2" w14:textId="599A8DDF" w:rsidR="00D45477" w:rsidRPr="00971525" w:rsidRDefault="00D45477" w:rsidP="00971525">
            <w:pPr>
              <w:jc w:val="center"/>
              <w:rPr>
                <w:rFonts w:ascii="Bookman Old Style" w:eastAsiaTheme="minorEastAsia" w:hAnsi="Bookman Old Style"/>
                <w:sz w:val="18"/>
              </w:rPr>
            </w:pPr>
            <w:r w:rsidRPr="00971525">
              <w:rPr>
                <w:rFonts w:ascii="Bookman Old Style" w:eastAsiaTheme="minorEastAsia" w:hAnsi="Bookman Old Style"/>
                <w:sz w:val="18"/>
              </w:rPr>
              <w:t>+0%</w:t>
            </w:r>
          </w:p>
        </w:tc>
        <w:tc>
          <w:tcPr>
            <w:tcW w:w="1818" w:type="dxa"/>
            <w:tcBorders>
              <w:top w:val="nil"/>
              <w:left w:val="nil"/>
              <w:bottom w:val="nil"/>
              <w:right w:val="nil"/>
            </w:tcBorders>
          </w:tcPr>
          <w:p w14:paraId="3759F96D" w14:textId="02FE496B" w:rsidR="00D45477" w:rsidRPr="00971525" w:rsidRDefault="00D45477" w:rsidP="00971525">
            <w:pPr>
              <w:jc w:val="center"/>
              <w:rPr>
                <w:rFonts w:ascii="Bookman Old Style" w:eastAsiaTheme="minorEastAsia" w:hAnsi="Bookman Old Style"/>
                <w:sz w:val="18"/>
              </w:rPr>
            </w:pPr>
            <w:r w:rsidRPr="00971525">
              <w:rPr>
                <w:rFonts w:ascii="Bookman Old Style" w:eastAsiaTheme="minorEastAsia" w:hAnsi="Bookman Old Style"/>
                <w:sz w:val="18"/>
              </w:rPr>
              <w:t>14%</w:t>
            </w:r>
          </w:p>
        </w:tc>
      </w:tr>
      <w:tr w:rsidR="00D45477" w14:paraId="3AC9D461" w14:textId="77777777" w:rsidTr="00971525">
        <w:tc>
          <w:tcPr>
            <w:tcW w:w="1548" w:type="dxa"/>
            <w:tcBorders>
              <w:top w:val="nil"/>
              <w:left w:val="nil"/>
              <w:bottom w:val="nil"/>
              <w:right w:val="nil"/>
            </w:tcBorders>
          </w:tcPr>
          <w:p w14:paraId="6647FAD6" w14:textId="4035628A" w:rsidR="00D45477" w:rsidRPr="00971525" w:rsidRDefault="00D45477" w:rsidP="00D45477">
            <w:pPr>
              <w:jc w:val="both"/>
              <w:rPr>
                <w:rFonts w:ascii="Bookman Old Style" w:eastAsiaTheme="minorEastAsia" w:hAnsi="Bookman Old Style"/>
                <w:sz w:val="18"/>
              </w:rPr>
            </w:pPr>
            <w:r w:rsidRPr="00971525">
              <w:rPr>
                <w:rFonts w:ascii="Bookman Old Style" w:eastAsiaTheme="minorEastAsia" w:hAnsi="Bookman Old Style"/>
                <w:sz w:val="18"/>
              </w:rPr>
              <w:t>Low Risk</w:t>
            </w:r>
          </w:p>
        </w:tc>
        <w:tc>
          <w:tcPr>
            <w:tcW w:w="4050" w:type="dxa"/>
            <w:tcBorders>
              <w:top w:val="nil"/>
              <w:left w:val="nil"/>
              <w:bottom w:val="nil"/>
              <w:right w:val="nil"/>
            </w:tcBorders>
          </w:tcPr>
          <w:p w14:paraId="726EDFE5" w14:textId="5B121469" w:rsidR="00D45477" w:rsidRPr="00971525" w:rsidRDefault="00D45477" w:rsidP="00D45477">
            <w:pPr>
              <w:jc w:val="both"/>
              <w:rPr>
                <w:rFonts w:ascii="Bookman Old Style" w:eastAsiaTheme="minorEastAsia" w:hAnsi="Bookman Old Style"/>
                <w:sz w:val="18"/>
              </w:rPr>
            </w:pPr>
            <w:r w:rsidRPr="00971525">
              <w:rPr>
                <w:rFonts w:ascii="Bookman Old Style" w:eastAsiaTheme="minorEastAsia" w:hAnsi="Bookman Old Style"/>
                <w:sz w:val="18"/>
              </w:rPr>
              <w:t>Replacement of existing equipment</w:t>
            </w:r>
          </w:p>
        </w:tc>
        <w:tc>
          <w:tcPr>
            <w:tcW w:w="2160" w:type="dxa"/>
            <w:tcBorders>
              <w:top w:val="nil"/>
              <w:left w:val="nil"/>
              <w:bottom w:val="nil"/>
              <w:right w:val="nil"/>
            </w:tcBorders>
          </w:tcPr>
          <w:p w14:paraId="22905392" w14:textId="5FA5D689" w:rsidR="00D45477" w:rsidRPr="00971525" w:rsidRDefault="00D45477" w:rsidP="00971525">
            <w:pPr>
              <w:jc w:val="center"/>
              <w:rPr>
                <w:rFonts w:ascii="Bookman Old Style" w:eastAsiaTheme="minorEastAsia" w:hAnsi="Bookman Old Style"/>
                <w:sz w:val="18"/>
              </w:rPr>
            </w:pPr>
            <w:r w:rsidRPr="00971525">
              <w:rPr>
                <w:rFonts w:ascii="Bookman Old Style" w:eastAsiaTheme="minorEastAsia" w:hAnsi="Bookman Old Style"/>
                <w:sz w:val="18"/>
              </w:rPr>
              <w:t>-4%</w:t>
            </w:r>
          </w:p>
        </w:tc>
        <w:tc>
          <w:tcPr>
            <w:tcW w:w="1818" w:type="dxa"/>
            <w:tcBorders>
              <w:top w:val="nil"/>
              <w:left w:val="nil"/>
              <w:bottom w:val="nil"/>
              <w:right w:val="nil"/>
            </w:tcBorders>
          </w:tcPr>
          <w:p w14:paraId="15E2D9CA" w14:textId="7824302A" w:rsidR="00D45477" w:rsidRPr="00971525" w:rsidRDefault="00D45477" w:rsidP="00971525">
            <w:pPr>
              <w:jc w:val="center"/>
              <w:rPr>
                <w:rFonts w:ascii="Bookman Old Style" w:eastAsiaTheme="minorEastAsia" w:hAnsi="Bookman Old Style"/>
                <w:sz w:val="18"/>
              </w:rPr>
            </w:pPr>
            <w:r w:rsidRPr="00971525">
              <w:rPr>
                <w:rFonts w:ascii="Bookman Old Style" w:eastAsiaTheme="minorEastAsia" w:hAnsi="Bookman Old Style"/>
                <w:sz w:val="18"/>
              </w:rPr>
              <w:t>10%</w:t>
            </w:r>
          </w:p>
        </w:tc>
      </w:tr>
      <w:tr w:rsidR="00D45477" w14:paraId="570995D6" w14:textId="77777777" w:rsidTr="00971525">
        <w:tc>
          <w:tcPr>
            <w:tcW w:w="1548" w:type="dxa"/>
            <w:tcBorders>
              <w:top w:val="nil"/>
              <w:left w:val="nil"/>
              <w:right w:val="nil"/>
            </w:tcBorders>
          </w:tcPr>
          <w:p w14:paraId="399FDAF4" w14:textId="587119E9" w:rsidR="00D45477" w:rsidRPr="00971525" w:rsidRDefault="00971525" w:rsidP="00D45477">
            <w:pPr>
              <w:jc w:val="both"/>
              <w:rPr>
                <w:rFonts w:ascii="Bookman Old Style" w:eastAsiaTheme="minorEastAsia" w:hAnsi="Bookman Old Style"/>
                <w:sz w:val="18"/>
              </w:rPr>
            </w:pPr>
            <w:r w:rsidRPr="00971525">
              <w:rPr>
                <w:rFonts w:ascii="Bookman Old Style" w:eastAsiaTheme="minorEastAsia" w:hAnsi="Bookman Old Style"/>
                <w:sz w:val="18"/>
              </w:rPr>
              <w:t>Mandatory</w:t>
            </w:r>
          </w:p>
        </w:tc>
        <w:tc>
          <w:tcPr>
            <w:tcW w:w="4050" w:type="dxa"/>
            <w:tcBorders>
              <w:top w:val="nil"/>
              <w:left w:val="nil"/>
              <w:right w:val="nil"/>
            </w:tcBorders>
          </w:tcPr>
          <w:p w14:paraId="449F97FC" w14:textId="05FBD837" w:rsidR="00D45477" w:rsidRPr="00971525" w:rsidRDefault="00971525" w:rsidP="00D45477">
            <w:pPr>
              <w:jc w:val="both"/>
              <w:rPr>
                <w:rFonts w:ascii="Bookman Old Style" w:eastAsiaTheme="minorEastAsia" w:hAnsi="Bookman Old Style"/>
                <w:sz w:val="18"/>
              </w:rPr>
            </w:pPr>
            <w:r w:rsidRPr="00971525">
              <w:rPr>
                <w:rFonts w:ascii="Bookman Old Style" w:eastAsiaTheme="minorEastAsia" w:hAnsi="Bookman Old Style"/>
                <w:sz w:val="18"/>
              </w:rPr>
              <w:t>Pollution control equipment</w:t>
            </w:r>
          </w:p>
        </w:tc>
        <w:tc>
          <w:tcPr>
            <w:tcW w:w="2160" w:type="dxa"/>
            <w:tcBorders>
              <w:top w:val="nil"/>
              <w:left w:val="nil"/>
              <w:right w:val="nil"/>
            </w:tcBorders>
          </w:tcPr>
          <w:p w14:paraId="3996741E" w14:textId="29A25DEB" w:rsidR="00D45477" w:rsidRPr="00971525" w:rsidRDefault="00971525" w:rsidP="00971525">
            <w:pPr>
              <w:jc w:val="center"/>
              <w:rPr>
                <w:rFonts w:ascii="Bookman Old Style" w:eastAsiaTheme="minorEastAsia" w:hAnsi="Bookman Old Style"/>
                <w:sz w:val="18"/>
              </w:rPr>
            </w:pPr>
            <w:r w:rsidRPr="00971525">
              <w:rPr>
                <w:rFonts w:ascii="Bookman Old Style" w:eastAsiaTheme="minorEastAsia" w:hAnsi="Bookman Old Style"/>
                <w:sz w:val="18"/>
              </w:rPr>
              <w:t>N/A</w:t>
            </w:r>
          </w:p>
        </w:tc>
        <w:tc>
          <w:tcPr>
            <w:tcW w:w="1818" w:type="dxa"/>
            <w:tcBorders>
              <w:top w:val="nil"/>
              <w:left w:val="nil"/>
              <w:right w:val="nil"/>
            </w:tcBorders>
          </w:tcPr>
          <w:p w14:paraId="5BF16702" w14:textId="54F9D317" w:rsidR="00D45477" w:rsidRPr="00971525" w:rsidRDefault="00971525" w:rsidP="00971525">
            <w:pPr>
              <w:jc w:val="center"/>
              <w:rPr>
                <w:rFonts w:ascii="Bookman Old Style" w:eastAsiaTheme="minorEastAsia" w:hAnsi="Bookman Old Style"/>
                <w:sz w:val="18"/>
              </w:rPr>
            </w:pPr>
            <w:r w:rsidRPr="00971525">
              <w:rPr>
                <w:rFonts w:ascii="Bookman Old Style" w:eastAsiaTheme="minorEastAsia" w:hAnsi="Bookman Old Style"/>
                <w:sz w:val="18"/>
              </w:rPr>
              <w:t>N/A</w:t>
            </w:r>
          </w:p>
        </w:tc>
      </w:tr>
    </w:tbl>
    <w:p w14:paraId="254A380F" w14:textId="77777777" w:rsidR="00D45477" w:rsidRPr="00D45477" w:rsidRDefault="00D45477" w:rsidP="008B2607">
      <w:pPr>
        <w:spacing w:after="0" w:line="240" w:lineRule="auto"/>
        <w:jc w:val="both"/>
        <w:rPr>
          <w:rFonts w:ascii="Bookman Old Style" w:eastAsiaTheme="minorEastAsia" w:hAnsi="Bookman Old Style"/>
        </w:rPr>
      </w:pPr>
    </w:p>
    <w:p w14:paraId="15AA9943" w14:textId="25AAA21C"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All projects either fall into one of 3 risk classes or else they’re mandatory.</w:t>
      </w:r>
      <w:r w:rsidR="00177B23">
        <w:rPr>
          <w:rFonts w:ascii="Bookman Old Style" w:eastAsiaTheme="minorEastAsia" w:hAnsi="Bookman Old Style"/>
        </w:rPr>
        <w:t xml:space="preserve"> </w:t>
      </w:r>
      <w:r>
        <w:rPr>
          <w:rFonts w:ascii="Bookman Old Style" w:eastAsiaTheme="minorEastAsia" w:hAnsi="Bookman Old Style"/>
        </w:rPr>
        <w:t>In this last case, the cost of capital is irrelevant since the project has to be taken.</w:t>
      </w:r>
    </w:p>
    <w:p w14:paraId="4CC64F38" w14:textId="77777777" w:rsidR="00971525" w:rsidRDefault="00971525" w:rsidP="008B2607">
      <w:pPr>
        <w:spacing w:after="0" w:line="240" w:lineRule="auto"/>
        <w:jc w:val="both"/>
        <w:rPr>
          <w:rFonts w:ascii="Bookman Old Style" w:eastAsiaTheme="minorEastAsia" w:hAnsi="Bookman Old Style"/>
        </w:rPr>
      </w:pPr>
    </w:p>
    <w:p w14:paraId="3A6B0538" w14:textId="1F1EA231"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With the subjective approach, the firm’s WACC may change through time as economic conditions change. As this happens, the discount rates for the different types of projects also change.</w:t>
      </w:r>
    </w:p>
    <w:p w14:paraId="62BA460F" w14:textId="77777777" w:rsidR="00971525" w:rsidRDefault="00971525" w:rsidP="008B2607">
      <w:pPr>
        <w:spacing w:after="0" w:line="240" w:lineRule="auto"/>
        <w:jc w:val="both"/>
        <w:rPr>
          <w:rFonts w:ascii="Bookman Old Style" w:eastAsiaTheme="minorEastAsia" w:hAnsi="Bookman Old Style"/>
        </w:rPr>
      </w:pPr>
    </w:p>
    <w:p w14:paraId="7540E520" w14:textId="6B648B62"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Within each risk class, some projects have more risk than others and the danger of making incorrect decisions still exist. The figure below shows this.</w:t>
      </w:r>
    </w:p>
    <w:p w14:paraId="152C9BE0" w14:textId="77777777" w:rsidR="00971525" w:rsidRDefault="00971525" w:rsidP="008B2607">
      <w:pPr>
        <w:spacing w:after="0" w:line="240" w:lineRule="auto"/>
        <w:jc w:val="both"/>
        <w:rPr>
          <w:rFonts w:ascii="Bookman Old Style" w:eastAsiaTheme="minorEastAsia" w:hAnsi="Bookman Old Style"/>
        </w:rPr>
      </w:pPr>
    </w:p>
    <w:p w14:paraId="304B82E3" w14:textId="642E4119" w:rsidR="00971525" w:rsidRDefault="00177B23" w:rsidP="00177B23">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5D843C23" wp14:editId="54787FF0">
            <wp:extent cx="2552131" cy="1788127"/>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8">
                      <a:extLst>
                        <a:ext uri="{28A0092B-C50C-407E-A947-70E740481C1C}">
                          <a14:useLocalDpi xmlns:a14="http://schemas.microsoft.com/office/drawing/2010/main" val="0"/>
                        </a:ext>
                      </a:extLst>
                    </a:blip>
                    <a:stretch>
                      <a:fillRect/>
                    </a:stretch>
                  </pic:blipFill>
                  <pic:spPr>
                    <a:xfrm>
                      <a:off x="0" y="0"/>
                      <a:ext cx="2552131" cy="1788127"/>
                    </a:xfrm>
                    <a:prstGeom prst="rect">
                      <a:avLst/>
                    </a:prstGeom>
                  </pic:spPr>
                </pic:pic>
              </a:graphicData>
            </a:graphic>
          </wp:inline>
        </w:drawing>
      </w:r>
    </w:p>
    <w:p w14:paraId="0B44127C" w14:textId="58645D7A"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You can see between this figure and the last one that a similar problem still exists (of making incorrect choices), but the magnitude of the potential error is less with the subjective approach.</w:t>
      </w:r>
    </w:p>
    <w:p w14:paraId="6788E13E" w14:textId="77777777" w:rsidR="00971525" w:rsidRDefault="00971525" w:rsidP="008B2607">
      <w:pPr>
        <w:spacing w:after="0" w:line="240" w:lineRule="auto"/>
        <w:jc w:val="both"/>
        <w:rPr>
          <w:rFonts w:ascii="Bookman Old Style" w:eastAsiaTheme="minorEastAsia" w:hAnsi="Bookman Old Style"/>
          <w:i/>
          <w:u w:val="single"/>
        </w:rPr>
      </w:pPr>
    </w:p>
    <w:p w14:paraId="3A1D191B" w14:textId="77777777"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w:t>
      </w:r>
    </w:p>
    <w:p w14:paraId="1D62F760" w14:textId="4AD2B396"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The project labelled A would be accepted if the WACC were used, but it’s rejected once it’s classified as a high risk investment. This shows that some risk adjustment is probably better than no risk adjustment.</w:t>
      </w:r>
    </w:p>
    <w:p w14:paraId="277190F4" w14:textId="77777777" w:rsidR="00971525" w:rsidRDefault="00971525" w:rsidP="008B2607">
      <w:pPr>
        <w:spacing w:after="0" w:line="240" w:lineRule="auto"/>
        <w:jc w:val="both"/>
        <w:rPr>
          <w:rFonts w:ascii="Bookman Old Style" w:eastAsiaTheme="minorEastAsia" w:hAnsi="Bookman Old Style"/>
        </w:rPr>
      </w:pPr>
    </w:p>
    <w:p w14:paraId="10405E42" w14:textId="7EABF64C"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It would be better to determine the required return objectively for each project separately. But practically, it might not be possible to go much beyond subjective adjustments because either the necessary information isn’t available or else the cost and effort required isn’t worthwhile.</w:t>
      </w:r>
    </w:p>
    <w:p w14:paraId="2614CDCD" w14:textId="77777777" w:rsidR="00971525" w:rsidRDefault="00971525" w:rsidP="008B2607">
      <w:pPr>
        <w:spacing w:after="0" w:line="240" w:lineRule="auto"/>
        <w:jc w:val="both"/>
        <w:rPr>
          <w:rFonts w:ascii="Bookman Old Style" w:eastAsiaTheme="minorEastAsia" w:hAnsi="Bookman Old Style"/>
        </w:rPr>
      </w:pPr>
    </w:p>
    <w:p w14:paraId="0728059F" w14:textId="77777777" w:rsidR="00971525" w:rsidRDefault="00971525" w:rsidP="008B2607">
      <w:pPr>
        <w:spacing w:after="0" w:line="240" w:lineRule="auto"/>
        <w:jc w:val="both"/>
        <w:rPr>
          <w:rFonts w:ascii="Bookman Old Style" w:eastAsiaTheme="minorEastAsia" w:hAnsi="Bookman Old Style"/>
        </w:rPr>
      </w:pPr>
    </w:p>
    <w:p w14:paraId="256C5791" w14:textId="5B1424C0" w:rsidR="00971525" w:rsidRDefault="00971525" w:rsidP="00971525">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CALCULATING WACC FOR LOBLAW</w:t>
      </w:r>
    </w:p>
    <w:p w14:paraId="48680EFF" w14:textId="77777777" w:rsidR="00971525" w:rsidRDefault="00971525" w:rsidP="008B2607">
      <w:pPr>
        <w:spacing w:after="0" w:line="240" w:lineRule="auto"/>
        <w:jc w:val="both"/>
        <w:rPr>
          <w:rFonts w:ascii="Bookman Old Style" w:eastAsiaTheme="minorEastAsia" w:hAnsi="Bookman Old Style"/>
          <w:b/>
          <w:u w:val="single"/>
        </w:rPr>
      </w:pPr>
    </w:p>
    <w:p w14:paraId="2ED2CAF8" w14:textId="1692A6AF"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 xml:space="preserve">We show the practical application of the WACC by calculating it for </w:t>
      </w:r>
      <w:proofErr w:type="spellStart"/>
      <w:r>
        <w:rPr>
          <w:rFonts w:ascii="Bookman Old Style" w:eastAsiaTheme="minorEastAsia" w:hAnsi="Bookman Old Style"/>
        </w:rPr>
        <w:t>Loblaws</w:t>
      </w:r>
      <w:proofErr w:type="spellEnd"/>
      <w:r>
        <w:rPr>
          <w:rFonts w:ascii="Bookman Old Style" w:eastAsiaTheme="minorEastAsia" w:hAnsi="Bookman Old Style"/>
        </w:rPr>
        <w:t>. Their revenue for the year ending in December 2011 was about $31.25 billion, with net earnings of $769 million.</w:t>
      </w:r>
    </w:p>
    <w:p w14:paraId="1B01291B" w14:textId="77777777" w:rsidR="00971525" w:rsidRDefault="00971525" w:rsidP="008B2607">
      <w:pPr>
        <w:spacing w:after="0" w:line="240" w:lineRule="auto"/>
        <w:jc w:val="both"/>
        <w:rPr>
          <w:rFonts w:ascii="Bookman Old Style" w:eastAsiaTheme="minorEastAsia" w:hAnsi="Bookman Old Style"/>
        </w:rPr>
      </w:pPr>
    </w:p>
    <w:p w14:paraId="1311520E" w14:textId="6C79E599" w:rsidR="00971525" w:rsidRDefault="00971525" w:rsidP="008B2607">
      <w:pPr>
        <w:spacing w:after="0" w:line="240" w:lineRule="auto"/>
        <w:jc w:val="both"/>
        <w:rPr>
          <w:rFonts w:ascii="Bookman Old Style" w:eastAsiaTheme="minorEastAsia" w:hAnsi="Bookman Old Style"/>
        </w:rPr>
      </w:pPr>
      <w:r>
        <w:rPr>
          <w:rFonts w:ascii="Bookman Old Style" w:eastAsiaTheme="minorEastAsia" w:hAnsi="Bookman Old Style"/>
        </w:rPr>
        <w:t>As pointed out, WACC calculations depend on market values as observed on a particular date. In this example, market values for Loblaw were observed on May 10</w:t>
      </w:r>
      <w:r w:rsidRPr="00971525">
        <w:rPr>
          <w:rFonts w:ascii="Bookman Old Style" w:eastAsiaTheme="minorEastAsia" w:hAnsi="Bookman Old Style"/>
          <w:vertAlign w:val="superscript"/>
        </w:rPr>
        <w:t>th</w:t>
      </w:r>
      <w:r w:rsidR="00177B23">
        <w:rPr>
          <w:rFonts w:ascii="Bookman Old Style" w:eastAsiaTheme="minorEastAsia" w:hAnsi="Bookman Old Style"/>
        </w:rPr>
        <w:t>, 2012 – other information comes from the annual statements at Loblaw’s year-end.</w:t>
      </w:r>
    </w:p>
    <w:p w14:paraId="1EA2F411" w14:textId="77777777" w:rsidR="00177B23" w:rsidRDefault="00177B23" w:rsidP="008B2607">
      <w:pPr>
        <w:spacing w:after="0" w:line="240" w:lineRule="auto"/>
        <w:jc w:val="both"/>
        <w:rPr>
          <w:rFonts w:ascii="Bookman Old Style" w:eastAsiaTheme="minorEastAsia" w:hAnsi="Bookman Old Style"/>
        </w:rPr>
      </w:pPr>
    </w:p>
    <w:p w14:paraId="1B6A0BFB" w14:textId="77777777" w:rsidR="00177B23" w:rsidRDefault="00177B23" w:rsidP="008B2607">
      <w:pPr>
        <w:spacing w:after="0" w:line="240" w:lineRule="auto"/>
        <w:jc w:val="both"/>
        <w:rPr>
          <w:rFonts w:ascii="Bookman Old Style" w:eastAsiaTheme="minorEastAsia" w:hAnsi="Bookman Old Style"/>
        </w:rPr>
      </w:pPr>
    </w:p>
    <w:p w14:paraId="4E5A5727" w14:textId="4A472641" w:rsidR="00177B23" w:rsidRDefault="00177B23" w:rsidP="008B2607">
      <w:pPr>
        <w:spacing w:after="0" w:line="240" w:lineRule="auto"/>
        <w:jc w:val="both"/>
        <w:rPr>
          <w:rFonts w:ascii="Bookman Old Style" w:eastAsiaTheme="minorEastAsia" w:hAnsi="Bookman Old Style"/>
        </w:rPr>
      </w:pPr>
      <w:r>
        <w:rPr>
          <w:rFonts w:ascii="Bookman Old Style" w:eastAsiaTheme="minorEastAsia" w:hAnsi="Bookman Old Style"/>
          <w:b/>
          <w:u w:val="single"/>
        </w:rPr>
        <w:t>ESTIMATING FINANCING PROPORTIONS</w:t>
      </w:r>
    </w:p>
    <w:p w14:paraId="6B41E69A" w14:textId="734C95D5" w:rsidR="00177B23" w:rsidRDefault="00177B23" w:rsidP="008B2607">
      <w:pPr>
        <w:spacing w:after="0" w:line="240" w:lineRule="auto"/>
        <w:jc w:val="both"/>
        <w:rPr>
          <w:rFonts w:ascii="Bookman Old Style" w:eastAsiaTheme="minorEastAsia" w:hAnsi="Bookman Old Style"/>
        </w:rPr>
      </w:pPr>
      <w:r>
        <w:rPr>
          <w:rFonts w:ascii="Bookman Old Style" w:eastAsiaTheme="minorEastAsia" w:hAnsi="Bookman Old Style"/>
        </w:rPr>
        <w:t>The table below shows an abbreviated statement of financial position for Loblaw. Remember that when calculating the cost of capital, it’s common to ignore short-term financing such as payables &amp; accruals. We also ignore short-term debt unless it’s a permanent source of financing.</w:t>
      </w:r>
    </w:p>
    <w:p w14:paraId="43AD8824" w14:textId="77777777" w:rsidR="00177B23" w:rsidRDefault="00177B23" w:rsidP="008B2607">
      <w:pPr>
        <w:spacing w:after="0" w:line="240" w:lineRule="auto"/>
        <w:jc w:val="both"/>
        <w:rPr>
          <w:rFonts w:ascii="Bookman Old Style" w:eastAsiaTheme="minorEastAsia" w:hAnsi="Bookman Old Style"/>
        </w:rPr>
      </w:pPr>
    </w:p>
    <w:p w14:paraId="5C1CF487" w14:textId="47792434" w:rsidR="00177B23" w:rsidRDefault="00177B23" w:rsidP="008B2607">
      <w:pPr>
        <w:spacing w:after="0" w:line="240" w:lineRule="auto"/>
        <w:jc w:val="both"/>
        <w:rPr>
          <w:rFonts w:ascii="Bookman Old Style" w:eastAsiaTheme="minorEastAsia" w:hAnsi="Bookman Old Style"/>
        </w:rPr>
      </w:pPr>
      <w:r>
        <w:rPr>
          <w:rFonts w:ascii="Bookman Old Style" w:eastAsiaTheme="minorEastAsia" w:hAnsi="Bookman Old Style"/>
        </w:rPr>
        <w:t>As both current assets and current liabilities are ignored for our purposes, increases (or decreases) in current liabilities are netted against changes in current assets. Leases are included in long-term debt for the purposes of this analysis.</w:t>
      </w:r>
    </w:p>
    <w:p w14:paraId="543319FF" w14:textId="77777777" w:rsidR="00177B23" w:rsidRDefault="00177B23" w:rsidP="008B2607">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368"/>
        <w:gridCol w:w="1350"/>
        <w:gridCol w:w="2250"/>
        <w:gridCol w:w="1170"/>
      </w:tblGrid>
      <w:tr w:rsidR="00177B23" w14:paraId="3C9E5914" w14:textId="77777777" w:rsidTr="00177B23">
        <w:trPr>
          <w:jc w:val="center"/>
        </w:trPr>
        <w:tc>
          <w:tcPr>
            <w:tcW w:w="2718" w:type="dxa"/>
            <w:gridSpan w:val="2"/>
            <w:tcBorders>
              <w:left w:val="nil"/>
              <w:bottom w:val="single" w:sz="4" w:space="0" w:color="auto"/>
              <w:right w:val="nil"/>
            </w:tcBorders>
          </w:tcPr>
          <w:p w14:paraId="2DB26625" w14:textId="5F5B0287" w:rsidR="00177B23" w:rsidRPr="00177B23" w:rsidRDefault="00177B23" w:rsidP="00177B23">
            <w:pPr>
              <w:jc w:val="center"/>
              <w:rPr>
                <w:rFonts w:ascii="Bookman Old Style" w:eastAsiaTheme="minorEastAsia" w:hAnsi="Bookman Old Style"/>
                <w:sz w:val="18"/>
              </w:rPr>
            </w:pPr>
            <w:r w:rsidRPr="00177B23">
              <w:rPr>
                <w:rFonts w:ascii="Bookman Old Style" w:eastAsiaTheme="minorEastAsia" w:hAnsi="Bookman Old Style"/>
                <w:sz w:val="18"/>
              </w:rPr>
              <w:t>Assets</w:t>
            </w:r>
          </w:p>
        </w:tc>
        <w:tc>
          <w:tcPr>
            <w:tcW w:w="3420" w:type="dxa"/>
            <w:gridSpan w:val="2"/>
            <w:tcBorders>
              <w:left w:val="nil"/>
              <w:bottom w:val="single" w:sz="4" w:space="0" w:color="auto"/>
              <w:right w:val="nil"/>
            </w:tcBorders>
          </w:tcPr>
          <w:p w14:paraId="57F712F0" w14:textId="1373D6F4" w:rsidR="00177B23" w:rsidRPr="00177B23" w:rsidRDefault="00177B23" w:rsidP="00177B23">
            <w:pPr>
              <w:jc w:val="center"/>
              <w:rPr>
                <w:rFonts w:ascii="Bookman Old Style" w:eastAsiaTheme="minorEastAsia" w:hAnsi="Bookman Old Style"/>
                <w:sz w:val="18"/>
              </w:rPr>
            </w:pPr>
            <w:r w:rsidRPr="00177B23">
              <w:rPr>
                <w:rFonts w:ascii="Bookman Old Style" w:eastAsiaTheme="minorEastAsia" w:hAnsi="Bookman Old Style"/>
                <w:sz w:val="18"/>
              </w:rPr>
              <w:t>Liabilities &amp; Equity</w:t>
            </w:r>
          </w:p>
        </w:tc>
      </w:tr>
      <w:tr w:rsidR="00177B23" w14:paraId="122E92EC" w14:textId="77777777" w:rsidTr="00177B23">
        <w:trPr>
          <w:jc w:val="center"/>
        </w:trPr>
        <w:tc>
          <w:tcPr>
            <w:tcW w:w="1368" w:type="dxa"/>
            <w:tcBorders>
              <w:left w:val="nil"/>
              <w:bottom w:val="nil"/>
              <w:right w:val="nil"/>
            </w:tcBorders>
          </w:tcPr>
          <w:p w14:paraId="21CC3094" w14:textId="018F9C54"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Current</w:t>
            </w:r>
          </w:p>
        </w:tc>
        <w:tc>
          <w:tcPr>
            <w:tcW w:w="1350" w:type="dxa"/>
            <w:tcBorders>
              <w:left w:val="nil"/>
              <w:bottom w:val="nil"/>
              <w:right w:val="nil"/>
            </w:tcBorders>
          </w:tcPr>
          <w:p w14:paraId="31706F37" w14:textId="7D6CE102" w:rsidR="00177B23" w:rsidRPr="00177B23" w:rsidRDefault="00177B23" w:rsidP="00177B23">
            <w:pPr>
              <w:jc w:val="right"/>
              <w:rPr>
                <w:rFonts w:ascii="Bookman Old Style" w:eastAsiaTheme="minorEastAsia" w:hAnsi="Bookman Old Style"/>
                <w:sz w:val="18"/>
              </w:rPr>
            </w:pPr>
            <w:r w:rsidRPr="00177B23">
              <w:rPr>
                <w:rFonts w:ascii="Bookman Old Style" w:eastAsiaTheme="minorEastAsia" w:hAnsi="Bookman Old Style"/>
                <w:sz w:val="18"/>
              </w:rPr>
              <w:t>$6,462</w:t>
            </w:r>
          </w:p>
        </w:tc>
        <w:tc>
          <w:tcPr>
            <w:tcW w:w="2250" w:type="dxa"/>
            <w:tcBorders>
              <w:left w:val="nil"/>
              <w:bottom w:val="nil"/>
              <w:right w:val="nil"/>
            </w:tcBorders>
          </w:tcPr>
          <w:p w14:paraId="41675577" w14:textId="55010728"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Current</w:t>
            </w:r>
          </w:p>
        </w:tc>
        <w:tc>
          <w:tcPr>
            <w:tcW w:w="1170" w:type="dxa"/>
            <w:tcBorders>
              <w:left w:val="nil"/>
              <w:bottom w:val="nil"/>
              <w:right w:val="nil"/>
            </w:tcBorders>
          </w:tcPr>
          <w:p w14:paraId="344690D2" w14:textId="237C7175" w:rsidR="00177B23" w:rsidRPr="00177B23" w:rsidRDefault="00177B23" w:rsidP="00177B23">
            <w:pPr>
              <w:jc w:val="right"/>
              <w:rPr>
                <w:rFonts w:ascii="Bookman Old Style" w:eastAsiaTheme="minorEastAsia" w:hAnsi="Bookman Old Style"/>
                <w:sz w:val="18"/>
              </w:rPr>
            </w:pPr>
            <w:r w:rsidRPr="00177B23">
              <w:rPr>
                <w:rFonts w:ascii="Bookman Old Style" w:eastAsiaTheme="minorEastAsia" w:hAnsi="Bookman Old Style"/>
                <w:sz w:val="18"/>
              </w:rPr>
              <w:t>$4,718</w:t>
            </w:r>
          </w:p>
        </w:tc>
      </w:tr>
      <w:tr w:rsidR="00177B23" w14:paraId="1BEF3B8D" w14:textId="77777777" w:rsidTr="00177B23">
        <w:trPr>
          <w:jc w:val="center"/>
        </w:trPr>
        <w:tc>
          <w:tcPr>
            <w:tcW w:w="1368" w:type="dxa"/>
            <w:tcBorders>
              <w:top w:val="nil"/>
              <w:left w:val="nil"/>
              <w:bottom w:val="nil"/>
              <w:right w:val="nil"/>
            </w:tcBorders>
          </w:tcPr>
          <w:p w14:paraId="1FC717EA" w14:textId="77777777" w:rsidR="00177B23" w:rsidRPr="00177B23" w:rsidRDefault="00177B23" w:rsidP="00177B23">
            <w:pPr>
              <w:rPr>
                <w:rFonts w:ascii="Bookman Old Style" w:eastAsiaTheme="minorEastAsia" w:hAnsi="Bookman Old Style"/>
                <w:sz w:val="18"/>
              </w:rPr>
            </w:pPr>
          </w:p>
        </w:tc>
        <w:tc>
          <w:tcPr>
            <w:tcW w:w="1350" w:type="dxa"/>
            <w:tcBorders>
              <w:top w:val="nil"/>
              <w:left w:val="nil"/>
              <w:bottom w:val="nil"/>
              <w:right w:val="nil"/>
            </w:tcBorders>
          </w:tcPr>
          <w:p w14:paraId="33ED3DFB" w14:textId="77777777" w:rsidR="00177B23" w:rsidRPr="00177B23" w:rsidRDefault="00177B23" w:rsidP="00177B23">
            <w:pPr>
              <w:jc w:val="right"/>
              <w:rPr>
                <w:rFonts w:ascii="Bookman Old Style" w:eastAsiaTheme="minorEastAsia" w:hAnsi="Bookman Old Style"/>
                <w:sz w:val="18"/>
              </w:rPr>
            </w:pPr>
          </w:p>
        </w:tc>
        <w:tc>
          <w:tcPr>
            <w:tcW w:w="2250" w:type="dxa"/>
            <w:tcBorders>
              <w:top w:val="nil"/>
              <w:left w:val="nil"/>
              <w:bottom w:val="nil"/>
              <w:right w:val="nil"/>
            </w:tcBorders>
          </w:tcPr>
          <w:p w14:paraId="2F6F9516" w14:textId="78196CDE"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Deferred taxes &amp; other</w:t>
            </w:r>
          </w:p>
        </w:tc>
        <w:tc>
          <w:tcPr>
            <w:tcW w:w="1170" w:type="dxa"/>
            <w:tcBorders>
              <w:top w:val="nil"/>
              <w:left w:val="nil"/>
              <w:bottom w:val="nil"/>
              <w:right w:val="nil"/>
            </w:tcBorders>
          </w:tcPr>
          <w:p w14:paraId="66B72ABB" w14:textId="536F5B55" w:rsidR="00177B23" w:rsidRPr="00177B23" w:rsidRDefault="00177B23" w:rsidP="00177B23">
            <w:pPr>
              <w:jc w:val="right"/>
              <w:rPr>
                <w:rFonts w:ascii="Bookman Old Style" w:eastAsiaTheme="minorEastAsia" w:hAnsi="Bookman Old Style"/>
                <w:sz w:val="18"/>
              </w:rPr>
            </w:pPr>
            <w:r w:rsidRPr="00177B23">
              <w:rPr>
                <w:rFonts w:ascii="Bookman Old Style" w:eastAsiaTheme="minorEastAsia" w:hAnsi="Bookman Old Style"/>
                <w:sz w:val="18"/>
              </w:rPr>
              <w:t>$938</w:t>
            </w:r>
          </w:p>
        </w:tc>
      </w:tr>
      <w:tr w:rsidR="00177B23" w14:paraId="5A898920" w14:textId="77777777" w:rsidTr="00177B23">
        <w:trPr>
          <w:jc w:val="center"/>
        </w:trPr>
        <w:tc>
          <w:tcPr>
            <w:tcW w:w="1368" w:type="dxa"/>
            <w:tcBorders>
              <w:top w:val="nil"/>
              <w:left w:val="nil"/>
              <w:bottom w:val="nil"/>
              <w:right w:val="nil"/>
            </w:tcBorders>
          </w:tcPr>
          <w:p w14:paraId="43CC4E1D" w14:textId="7C954AA6"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Long-term</w:t>
            </w:r>
          </w:p>
        </w:tc>
        <w:tc>
          <w:tcPr>
            <w:tcW w:w="1350" w:type="dxa"/>
            <w:tcBorders>
              <w:top w:val="nil"/>
              <w:left w:val="nil"/>
              <w:bottom w:val="nil"/>
              <w:right w:val="nil"/>
            </w:tcBorders>
          </w:tcPr>
          <w:p w14:paraId="0FDD89BA" w14:textId="065DB181" w:rsidR="00177B23" w:rsidRPr="00177B23" w:rsidRDefault="00177B23" w:rsidP="00177B23">
            <w:pPr>
              <w:jc w:val="right"/>
              <w:rPr>
                <w:rFonts w:ascii="Bookman Old Style" w:eastAsiaTheme="minorEastAsia" w:hAnsi="Bookman Old Style"/>
                <w:sz w:val="18"/>
                <w:u w:val="single"/>
              </w:rPr>
            </w:pPr>
            <w:r w:rsidRPr="00177B23">
              <w:rPr>
                <w:rFonts w:ascii="Bookman Old Style" w:eastAsiaTheme="minorEastAsia" w:hAnsi="Bookman Old Style"/>
                <w:sz w:val="18"/>
                <w:u w:val="single"/>
              </w:rPr>
              <w:t>$10,966</w:t>
            </w:r>
          </w:p>
        </w:tc>
        <w:tc>
          <w:tcPr>
            <w:tcW w:w="2250" w:type="dxa"/>
            <w:tcBorders>
              <w:top w:val="nil"/>
              <w:left w:val="nil"/>
              <w:bottom w:val="nil"/>
              <w:right w:val="nil"/>
            </w:tcBorders>
          </w:tcPr>
          <w:p w14:paraId="40F95A38" w14:textId="720FB1EE"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Long-term debt</w:t>
            </w:r>
          </w:p>
        </w:tc>
        <w:tc>
          <w:tcPr>
            <w:tcW w:w="1170" w:type="dxa"/>
            <w:tcBorders>
              <w:top w:val="nil"/>
              <w:left w:val="nil"/>
              <w:bottom w:val="nil"/>
              <w:right w:val="nil"/>
            </w:tcBorders>
          </w:tcPr>
          <w:p w14:paraId="3906F248" w14:textId="5F29E06F" w:rsidR="00177B23" w:rsidRPr="00177B23" w:rsidRDefault="00177B23" w:rsidP="00177B23">
            <w:pPr>
              <w:jc w:val="right"/>
              <w:rPr>
                <w:rFonts w:ascii="Bookman Old Style" w:eastAsiaTheme="minorEastAsia" w:hAnsi="Bookman Old Style"/>
                <w:sz w:val="18"/>
              </w:rPr>
            </w:pPr>
            <w:r w:rsidRPr="00177B23">
              <w:rPr>
                <w:rFonts w:ascii="Bookman Old Style" w:eastAsiaTheme="minorEastAsia" w:hAnsi="Bookman Old Style"/>
                <w:sz w:val="18"/>
              </w:rPr>
              <w:t>$5,765</w:t>
            </w:r>
          </w:p>
        </w:tc>
      </w:tr>
      <w:tr w:rsidR="00177B23" w14:paraId="7DF6CD4E" w14:textId="77777777" w:rsidTr="00177B23">
        <w:trPr>
          <w:jc w:val="center"/>
        </w:trPr>
        <w:tc>
          <w:tcPr>
            <w:tcW w:w="1368" w:type="dxa"/>
            <w:tcBorders>
              <w:top w:val="nil"/>
              <w:left w:val="nil"/>
              <w:bottom w:val="nil"/>
              <w:right w:val="nil"/>
            </w:tcBorders>
          </w:tcPr>
          <w:p w14:paraId="236EE7C3" w14:textId="29F2408F" w:rsidR="00177B23" w:rsidRPr="00177B23" w:rsidRDefault="00177B23" w:rsidP="00177B23">
            <w:pPr>
              <w:rPr>
                <w:rFonts w:ascii="Bookman Old Style" w:eastAsiaTheme="minorEastAsia" w:hAnsi="Bookman Old Style"/>
                <w:sz w:val="18"/>
              </w:rPr>
            </w:pPr>
          </w:p>
        </w:tc>
        <w:tc>
          <w:tcPr>
            <w:tcW w:w="1350" w:type="dxa"/>
            <w:tcBorders>
              <w:top w:val="nil"/>
              <w:left w:val="nil"/>
              <w:bottom w:val="nil"/>
              <w:right w:val="nil"/>
            </w:tcBorders>
          </w:tcPr>
          <w:p w14:paraId="70BDEAF2" w14:textId="77777777" w:rsidR="00177B23" w:rsidRPr="00177B23" w:rsidRDefault="00177B23" w:rsidP="00177B23">
            <w:pPr>
              <w:jc w:val="right"/>
              <w:rPr>
                <w:rFonts w:ascii="Bookman Old Style" w:eastAsiaTheme="minorEastAsia" w:hAnsi="Bookman Old Style"/>
                <w:sz w:val="18"/>
                <w:u w:val="single"/>
              </w:rPr>
            </w:pPr>
          </w:p>
        </w:tc>
        <w:tc>
          <w:tcPr>
            <w:tcW w:w="2250" w:type="dxa"/>
            <w:tcBorders>
              <w:top w:val="nil"/>
              <w:left w:val="nil"/>
              <w:bottom w:val="nil"/>
              <w:right w:val="nil"/>
            </w:tcBorders>
          </w:tcPr>
          <w:p w14:paraId="40EB2E37" w14:textId="4DA3677F"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Equity</w:t>
            </w:r>
          </w:p>
        </w:tc>
        <w:tc>
          <w:tcPr>
            <w:tcW w:w="1170" w:type="dxa"/>
            <w:tcBorders>
              <w:top w:val="nil"/>
              <w:left w:val="nil"/>
              <w:bottom w:val="nil"/>
              <w:right w:val="nil"/>
            </w:tcBorders>
          </w:tcPr>
          <w:p w14:paraId="1958C7D4" w14:textId="77777777" w:rsidR="00177B23" w:rsidRPr="00177B23" w:rsidRDefault="00177B23" w:rsidP="00177B23">
            <w:pPr>
              <w:jc w:val="right"/>
              <w:rPr>
                <w:rFonts w:ascii="Bookman Old Style" w:eastAsiaTheme="minorEastAsia" w:hAnsi="Bookman Old Style"/>
                <w:sz w:val="18"/>
              </w:rPr>
            </w:pPr>
          </w:p>
        </w:tc>
      </w:tr>
      <w:tr w:rsidR="00177B23" w14:paraId="2EF764AF" w14:textId="77777777" w:rsidTr="00177B23">
        <w:trPr>
          <w:jc w:val="center"/>
        </w:trPr>
        <w:tc>
          <w:tcPr>
            <w:tcW w:w="1368" w:type="dxa"/>
            <w:tcBorders>
              <w:top w:val="nil"/>
              <w:left w:val="nil"/>
              <w:bottom w:val="nil"/>
              <w:right w:val="nil"/>
            </w:tcBorders>
          </w:tcPr>
          <w:p w14:paraId="7F3BE52E" w14:textId="77777777" w:rsidR="00177B23" w:rsidRPr="00177B23" w:rsidRDefault="00177B23" w:rsidP="00177B23">
            <w:pPr>
              <w:rPr>
                <w:rFonts w:ascii="Bookman Old Style" w:eastAsiaTheme="minorEastAsia" w:hAnsi="Bookman Old Style"/>
                <w:sz w:val="18"/>
              </w:rPr>
            </w:pPr>
          </w:p>
        </w:tc>
        <w:tc>
          <w:tcPr>
            <w:tcW w:w="1350" w:type="dxa"/>
            <w:tcBorders>
              <w:top w:val="nil"/>
              <w:left w:val="nil"/>
              <w:bottom w:val="nil"/>
              <w:right w:val="nil"/>
            </w:tcBorders>
          </w:tcPr>
          <w:p w14:paraId="37D41683" w14:textId="77777777" w:rsidR="00177B23" w:rsidRPr="00177B23" w:rsidRDefault="00177B23" w:rsidP="00177B23">
            <w:pPr>
              <w:jc w:val="right"/>
              <w:rPr>
                <w:rFonts w:ascii="Bookman Old Style" w:eastAsiaTheme="minorEastAsia" w:hAnsi="Bookman Old Style"/>
                <w:sz w:val="18"/>
                <w:u w:val="single"/>
              </w:rPr>
            </w:pPr>
          </w:p>
        </w:tc>
        <w:tc>
          <w:tcPr>
            <w:tcW w:w="2250" w:type="dxa"/>
            <w:tcBorders>
              <w:top w:val="nil"/>
              <w:left w:val="nil"/>
              <w:bottom w:val="nil"/>
              <w:right w:val="nil"/>
            </w:tcBorders>
          </w:tcPr>
          <w:p w14:paraId="5E7082B8" w14:textId="3AB5BAF5"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Common equity</w:t>
            </w:r>
          </w:p>
        </w:tc>
        <w:tc>
          <w:tcPr>
            <w:tcW w:w="1170" w:type="dxa"/>
            <w:tcBorders>
              <w:top w:val="nil"/>
              <w:left w:val="nil"/>
              <w:bottom w:val="nil"/>
              <w:right w:val="nil"/>
            </w:tcBorders>
          </w:tcPr>
          <w:p w14:paraId="1D53B299" w14:textId="65AB0542" w:rsidR="00177B23" w:rsidRPr="00177B23" w:rsidRDefault="00177B23" w:rsidP="00177B23">
            <w:pPr>
              <w:jc w:val="right"/>
              <w:rPr>
                <w:rFonts w:ascii="Bookman Old Style" w:eastAsiaTheme="minorEastAsia" w:hAnsi="Bookman Old Style"/>
                <w:sz w:val="18"/>
                <w:u w:val="single"/>
              </w:rPr>
            </w:pPr>
            <w:r w:rsidRPr="00177B23">
              <w:rPr>
                <w:rFonts w:ascii="Bookman Old Style" w:eastAsiaTheme="minorEastAsia" w:hAnsi="Bookman Old Style"/>
                <w:sz w:val="18"/>
                <w:u w:val="single"/>
              </w:rPr>
              <w:t>$6,007</w:t>
            </w:r>
          </w:p>
        </w:tc>
      </w:tr>
      <w:tr w:rsidR="00177B23" w14:paraId="649CBC2D" w14:textId="77777777" w:rsidTr="00177B23">
        <w:trPr>
          <w:jc w:val="center"/>
        </w:trPr>
        <w:tc>
          <w:tcPr>
            <w:tcW w:w="1368" w:type="dxa"/>
            <w:tcBorders>
              <w:top w:val="nil"/>
              <w:left w:val="nil"/>
              <w:right w:val="nil"/>
            </w:tcBorders>
          </w:tcPr>
          <w:p w14:paraId="281A643B" w14:textId="6BEC02AE"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Total</w:t>
            </w:r>
          </w:p>
        </w:tc>
        <w:tc>
          <w:tcPr>
            <w:tcW w:w="1350" w:type="dxa"/>
            <w:tcBorders>
              <w:top w:val="nil"/>
              <w:left w:val="nil"/>
              <w:right w:val="nil"/>
            </w:tcBorders>
          </w:tcPr>
          <w:p w14:paraId="1783EFEC" w14:textId="582FC279" w:rsidR="00177B23" w:rsidRPr="00177B23" w:rsidRDefault="00177B23" w:rsidP="00177B23">
            <w:pPr>
              <w:jc w:val="right"/>
              <w:rPr>
                <w:rFonts w:ascii="Bookman Old Style" w:eastAsiaTheme="minorEastAsia" w:hAnsi="Bookman Old Style"/>
                <w:sz w:val="18"/>
              </w:rPr>
            </w:pPr>
            <w:r w:rsidRPr="00177B23">
              <w:rPr>
                <w:rFonts w:ascii="Bookman Old Style" w:eastAsiaTheme="minorEastAsia" w:hAnsi="Bookman Old Style"/>
                <w:sz w:val="18"/>
              </w:rPr>
              <w:t>$17,428</w:t>
            </w:r>
          </w:p>
        </w:tc>
        <w:tc>
          <w:tcPr>
            <w:tcW w:w="2250" w:type="dxa"/>
            <w:tcBorders>
              <w:top w:val="nil"/>
              <w:left w:val="nil"/>
              <w:right w:val="nil"/>
            </w:tcBorders>
          </w:tcPr>
          <w:p w14:paraId="3B97E4F6" w14:textId="3B448023" w:rsidR="00177B23" w:rsidRPr="00177B23" w:rsidRDefault="00177B23" w:rsidP="00177B23">
            <w:pPr>
              <w:rPr>
                <w:rFonts w:ascii="Bookman Old Style" w:eastAsiaTheme="minorEastAsia" w:hAnsi="Bookman Old Style"/>
                <w:sz w:val="18"/>
              </w:rPr>
            </w:pPr>
            <w:r w:rsidRPr="00177B23">
              <w:rPr>
                <w:rFonts w:ascii="Bookman Old Style" w:eastAsiaTheme="minorEastAsia" w:hAnsi="Bookman Old Style"/>
                <w:sz w:val="18"/>
              </w:rPr>
              <w:t>Total</w:t>
            </w:r>
          </w:p>
        </w:tc>
        <w:tc>
          <w:tcPr>
            <w:tcW w:w="1170" w:type="dxa"/>
            <w:tcBorders>
              <w:top w:val="nil"/>
              <w:left w:val="nil"/>
              <w:right w:val="nil"/>
            </w:tcBorders>
          </w:tcPr>
          <w:p w14:paraId="4D377BFF" w14:textId="4DF492EF" w:rsidR="00177B23" w:rsidRPr="00177B23" w:rsidRDefault="00177B23" w:rsidP="00177B23">
            <w:pPr>
              <w:jc w:val="right"/>
              <w:rPr>
                <w:rFonts w:ascii="Bookman Old Style" w:eastAsiaTheme="minorEastAsia" w:hAnsi="Bookman Old Style"/>
                <w:sz w:val="18"/>
              </w:rPr>
            </w:pPr>
            <w:r w:rsidRPr="00177B23">
              <w:rPr>
                <w:rFonts w:ascii="Bookman Old Style" w:eastAsiaTheme="minorEastAsia" w:hAnsi="Bookman Old Style"/>
                <w:sz w:val="18"/>
              </w:rPr>
              <w:t>$17,428</w:t>
            </w:r>
          </w:p>
        </w:tc>
      </w:tr>
    </w:tbl>
    <w:p w14:paraId="0D6EAD32" w14:textId="77777777" w:rsidR="00177B23" w:rsidRPr="00177B23" w:rsidRDefault="00177B23" w:rsidP="008B2607">
      <w:pPr>
        <w:spacing w:after="0" w:line="240" w:lineRule="auto"/>
        <w:jc w:val="both"/>
        <w:rPr>
          <w:rFonts w:ascii="Bookman Old Style" w:eastAsiaTheme="minorEastAsia" w:hAnsi="Bookman Old Style"/>
        </w:rPr>
      </w:pPr>
    </w:p>
    <w:p w14:paraId="3B3ADD5E" w14:textId="77777777" w:rsidR="008436B7" w:rsidRDefault="008436B7" w:rsidP="008B2607">
      <w:pPr>
        <w:spacing w:after="0" w:line="240" w:lineRule="auto"/>
        <w:jc w:val="both"/>
        <w:rPr>
          <w:rFonts w:ascii="Bookman Old Style" w:eastAsiaTheme="minorEastAsia" w:hAnsi="Bookman Old Style"/>
        </w:rPr>
      </w:pPr>
    </w:p>
    <w:p w14:paraId="5C4B2F3F" w14:textId="736003DB" w:rsidR="008436B7"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Ideally, we should calculate the market value of all sources of financing and determine the relative weights of each source. Sometimes, difficulty comes from finding the market value of non-traded bonds – this would require us to use the book values for debt.</w:t>
      </w:r>
    </w:p>
    <w:p w14:paraId="2C026817" w14:textId="77777777" w:rsidR="0095640A" w:rsidRDefault="0095640A" w:rsidP="008B2607">
      <w:pPr>
        <w:spacing w:after="0" w:line="240" w:lineRule="auto"/>
        <w:jc w:val="both"/>
        <w:rPr>
          <w:rFonts w:ascii="Bookman Old Style" w:eastAsiaTheme="minorEastAsia" w:hAnsi="Bookman Old Style"/>
        </w:rPr>
      </w:pPr>
    </w:p>
    <w:p w14:paraId="4580F007" w14:textId="374674CB"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 xml:space="preserve">This isn’t a problem for Loblaw – they don’t have any non-traded bonds. </w:t>
      </w:r>
    </w:p>
    <w:p w14:paraId="24FB51E9" w14:textId="101216E7"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It’s more important to use the market value for calculation of equity weights than for debt, as the market value of common equity differs from the book value.</w:t>
      </w:r>
    </w:p>
    <w:p w14:paraId="037DE6F6" w14:textId="77777777" w:rsidR="0095640A" w:rsidRDefault="0095640A" w:rsidP="008B2607">
      <w:pPr>
        <w:spacing w:after="0" w:line="240" w:lineRule="auto"/>
        <w:jc w:val="both"/>
        <w:rPr>
          <w:rFonts w:ascii="Bookman Old Style" w:eastAsiaTheme="minorEastAsia" w:hAnsi="Bookman Old Style"/>
        </w:rPr>
      </w:pPr>
    </w:p>
    <w:p w14:paraId="210563DA" w14:textId="77777777" w:rsidR="0095640A" w:rsidRDefault="0095640A" w:rsidP="008B2607">
      <w:pPr>
        <w:spacing w:after="0" w:line="240" w:lineRule="auto"/>
        <w:jc w:val="both"/>
        <w:rPr>
          <w:rFonts w:ascii="Bookman Old Style" w:eastAsiaTheme="minorEastAsia" w:hAnsi="Bookman Old Style"/>
        </w:rPr>
      </w:pPr>
    </w:p>
    <w:p w14:paraId="66D4640E" w14:textId="51EF37ED" w:rsidR="0095640A" w:rsidRDefault="0095640A" w:rsidP="008B260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MARKET VALUE WEIGHTS FOR LOBLAW</w:t>
      </w:r>
    </w:p>
    <w:p w14:paraId="7D0F6052" w14:textId="6CBC61AF"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To find the market value weights of debt and common stock we find the total market value of each. The market values are calculated as the number of shares times the share price.</w:t>
      </w:r>
    </w:p>
    <w:p w14:paraId="042DD120" w14:textId="77777777" w:rsidR="0095640A" w:rsidRDefault="0095640A" w:rsidP="008B2607">
      <w:pPr>
        <w:spacing w:after="0" w:line="240" w:lineRule="auto"/>
        <w:jc w:val="both"/>
        <w:rPr>
          <w:rFonts w:ascii="Bookman Old Style" w:eastAsiaTheme="minorEastAsia" w:hAnsi="Bookman Old Style"/>
        </w:rPr>
      </w:pPr>
    </w:p>
    <w:p w14:paraId="11FC6519" w14:textId="7BA9F3F3"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For Loblaw, as of December 2011, these figures were 281,385,318 common shares and 9,000,000 preferred shares outstanding. Multiplying each by its given price gives:</w:t>
      </w:r>
    </w:p>
    <w:p w14:paraId="3150FBCC" w14:textId="77777777" w:rsidR="0095640A" w:rsidRDefault="0095640A" w:rsidP="008B2607">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2178"/>
        <w:gridCol w:w="1350"/>
        <w:gridCol w:w="1170"/>
        <w:gridCol w:w="1440"/>
      </w:tblGrid>
      <w:tr w:rsidR="0095640A" w:rsidRPr="0095640A" w14:paraId="198B20B1" w14:textId="77777777" w:rsidTr="0095640A">
        <w:trPr>
          <w:jc w:val="center"/>
        </w:trPr>
        <w:tc>
          <w:tcPr>
            <w:tcW w:w="2178" w:type="dxa"/>
            <w:tcBorders>
              <w:left w:val="nil"/>
              <w:bottom w:val="single" w:sz="4" w:space="0" w:color="auto"/>
              <w:right w:val="nil"/>
            </w:tcBorders>
            <w:vAlign w:val="center"/>
          </w:tcPr>
          <w:p w14:paraId="1B975F4F" w14:textId="4F12205C"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Security</w:t>
            </w:r>
          </w:p>
        </w:tc>
        <w:tc>
          <w:tcPr>
            <w:tcW w:w="1350" w:type="dxa"/>
            <w:tcBorders>
              <w:left w:val="nil"/>
              <w:bottom w:val="single" w:sz="4" w:space="0" w:color="auto"/>
              <w:right w:val="nil"/>
            </w:tcBorders>
            <w:vAlign w:val="center"/>
          </w:tcPr>
          <w:p w14:paraId="4007211B" w14:textId="521B279E" w:rsid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Book Value</w:t>
            </w:r>
          </w:p>
          <w:p w14:paraId="1930230F" w14:textId="6C8DF06F"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 millions)</w:t>
            </w:r>
          </w:p>
        </w:tc>
        <w:tc>
          <w:tcPr>
            <w:tcW w:w="1170" w:type="dxa"/>
            <w:tcBorders>
              <w:left w:val="nil"/>
              <w:bottom w:val="single" w:sz="4" w:space="0" w:color="auto"/>
              <w:right w:val="nil"/>
            </w:tcBorders>
            <w:vAlign w:val="center"/>
          </w:tcPr>
          <w:p w14:paraId="66BDA341" w14:textId="3E38D9DE"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Market Price</w:t>
            </w:r>
          </w:p>
        </w:tc>
        <w:tc>
          <w:tcPr>
            <w:tcW w:w="1440" w:type="dxa"/>
            <w:tcBorders>
              <w:left w:val="nil"/>
              <w:bottom w:val="single" w:sz="4" w:space="0" w:color="auto"/>
              <w:right w:val="nil"/>
            </w:tcBorders>
            <w:vAlign w:val="center"/>
          </w:tcPr>
          <w:p w14:paraId="260AE747" w14:textId="60D0A998"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Market Value</w:t>
            </w:r>
          </w:p>
          <w:p w14:paraId="142CE648" w14:textId="2E9E96D7"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 millions)</w:t>
            </w:r>
          </w:p>
        </w:tc>
      </w:tr>
      <w:tr w:rsidR="0095640A" w:rsidRPr="0095640A" w14:paraId="21FF0290" w14:textId="77777777" w:rsidTr="0095640A">
        <w:trPr>
          <w:jc w:val="center"/>
        </w:trPr>
        <w:tc>
          <w:tcPr>
            <w:tcW w:w="2178" w:type="dxa"/>
            <w:tcBorders>
              <w:left w:val="nil"/>
              <w:bottom w:val="nil"/>
              <w:right w:val="nil"/>
            </w:tcBorders>
          </w:tcPr>
          <w:p w14:paraId="0971D330" w14:textId="150D93FE" w:rsidR="0095640A" w:rsidRPr="0095640A" w:rsidRDefault="0095640A" w:rsidP="008B2607">
            <w:pPr>
              <w:jc w:val="both"/>
              <w:rPr>
                <w:rFonts w:ascii="Bookman Old Style" w:eastAsiaTheme="minorEastAsia" w:hAnsi="Bookman Old Style"/>
                <w:sz w:val="18"/>
              </w:rPr>
            </w:pPr>
            <w:r w:rsidRPr="0095640A">
              <w:rPr>
                <w:rFonts w:ascii="Bookman Old Style" w:eastAsiaTheme="minorEastAsia" w:hAnsi="Bookman Old Style"/>
                <w:sz w:val="18"/>
              </w:rPr>
              <w:t>Interest-bearing debt</w:t>
            </w:r>
          </w:p>
        </w:tc>
        <w:tc>
          <w:tcPr>
            <w:tcW w:w="1350" w:type="dxa"/>
            <w:tcBorders>
              <w:left w:val="nil"/>
              <w:bottom w:val="nil"/>
              <w:right w:val="nil"/>
            </w:tcBorders>
          </w:tcPr>
          <w:p w14:paraId="6EBF8458" w14:textId="44F3419A"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$5765</w:t>
            </w:r>
          </w:p>
        </w:tc>
        <w:tc>
          <w:tcPr>
            <w:tcW w:w="1170" w:type="dxa"/>
            <w:tcBorders>
              <w:left w:val="nil"/>
              <w:bottom w:val="nil"/>
              <w:right w:val="nil"/>
            </w:tcBorders>
          </w:tcPr>
          <w:p w14:paraId="44450EBE" w14:textId="432891FA"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w:t>
            </w:r>
          </w:p>
        </w:tc>
        <w:tc>
          <w:tcPr>
            <w:tcW w:w="1440" w:type="dxa"/>
            <w:tcBorders>
              <w:left w:val="nil"/>
              <w:bottom w:val="nil"/>
              <w:right w:val="nil"/>
            </w:tcBorders>
          </w:tcPr>
          <w:p w14:paraId="285362B8" w14:textId="06750648"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$4393.1</w:t>
            </w:r>
          </w:p>
        </w:tc>
      </w:tr>
      <w:tr w:rsidR="0095640A" w:rsidRPr="0095640A" w14:paraId="2D9A62DE" w14:textId="77777777" w:rsidTr="0095640A">
        <w:trPr>
          <w:jc w:val="center"/>
        </w:trPr>
        <w:tc>
          <w:tcPr>
            <w:tcW w:w="2178" w:type="dxa"/>
            <w:tcBorders>
              <w:top w:val="nil"/>
              <w:left w:val="nil"/>
              <w:bottom w:val="nil"/>
              <w:right w:val="nil"/>
            </w:tcBorders>
          </w:tcPr>
          <w:p w14:paraId="19C0F4B4" w14:textId="16CFBBDD" w:rsidR="0095640A" w:rsidRPr="0095640A" w:rsidRDefault="0095640A" w:rsidP="008B2607">
            <w:pPr>
              <w:jc w:val="both"/>
              <w:rPr>
                <w:rFonts w:ascii="Bookman Old Style" w:eastAsiaTheme="minorEastAsia" w:hAnsi="Bookman Old Style"/>
                <w:sz w:val="18"/>
              </w:rPr>
            </w:pPr>
            <w:r w:rsidRPr="0095640A">
              <w:rPr>
                <w:rFonts w:ascii="Bookman Old Style" w:eastAsiaTheme="minorEastAsia" w:hAnsi="Bookman Old Style"/>
                <w:sz w:val="18"/>
              </w:rPr>
              <w:t>Preferred shares</w:t>
            </w:r>
          </w:p>
        </w:tc>
        <w:tc>
          <w:tcPr>
            <w:tcW w:w="1350" w:type="dxa"/>
            <w:tcBorders>
              <w:top w:val="nil"/>
              <w:left w:val="nil"/>
              <w:bottom w:val="nil"/>
              <w:right w:val="nil"/>
            </w:tcBorders>
          </w:tcPr>
          <w:p w14:paraId="1A786F84" w14:textId="0FCE972B"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$225</w:t>
            </w:r>
          </w:p>
        </w:tc>
        <w:tc>
          <w:tcPr>
            <w:tcW w:w="1170" w:type="dxa"/>
            <w:tcBorders>
              <w:top w:val="nil"/>
              <w:left w:val="nil"/>
              <w:bottom w:val="nil"/>
              <w:right w:val="nil"/>
            </w:tcBorders>
          </w:tcPr>
          <w:p w14:paraId="195AD16E" w14:textId="038A135B"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$27.57</w:t>
            </w:r>
          </w:p>
        </w:tc>
        <w:tc>
          <w:tcPr>
            <w:tcW w:w="1440" w:type="dxa"/>
            <w:tcBorders>
              <w:top w:val="nil"/>
              <w:left w:val="nil"/>
              <w:bottom w:val="nil"/>
              <w:right w:val="nil"/>
            </w:tcBorders>
          </w:tcPr>
          <w:p w14:paraId="4C211E76" w14:textId="63154F84" w:rsidR="0095640A" w:rsidRPr="0095640A" w:rsidRDefault="0095640A" w:rsidP="0095640A">
            <w:pPr>
              <w:jc w:val="right"/>
              <w:rPr>
                <w:rFonts w:ascii="Bookman Old Style" w:eastAsiaTheme="minorEastAsia" w:hAnsi="Bookman Old Style"/>
                <w:sz w:val="18"/>
                <w:u w:val="single"/>
              </w:rPr>
            </w:pPr>
            <w:r w:rsidRPr="0095640A">
              <w:rPr>
                <w:rFonts w:ascii="Bookman Old Style" w:eastAsiaTheme="minorEastAsia" w:hAnsi="Bookman Old Style"/>
                <w:sz w:val="18"/>
                <w:u w:val="single"/>
              </w:rPr>
              <w:t>$248.1</w:t>
            </w:r>
          </w:p>
        </w:tc>
      </w:tr>
      <w:tr w:rsidR="0095640A" w:rsidRPr="0095640A" w14:paraId="16B96AAC" w14:textId="77777777" w:rsidTr="0095640A">
        <w:trPr>
          <w:jc w:val="center"/>
        </w:trPr>
        <w:tc>
          <w:tcPr>
            <w:tcW w:w="2178" w:type="dxa"/>
            <w:tcBorders>
              <w:top w:val="nil"/>
              <w:left w:val="nil"/>
              <w:right w:val="nil"/>
            </w:tcBorders>
          </w:tcPr>
          <w:p w14:paraId="2D334262" w14:textId="77777777" w:rsidR="0095640A" w:rsidRPr="0095640A" w:rsidRDefault="0095640A" w:rsidP="008B2607">
            <w:pPr>
              <w:jc w:val="both"/>
              <w:rPr>
                <w:rFonts w:ascii="Bookman Old Style" w:eastAsiaTheme="minorEastAsia" w:hAnsi="Bookman Old Style"/>
                <w:sz w:val="18"/>
              </w:rPr>
            </w:pPr>
          </w:p>
        </w:tc>
        <w:tc>
          <w:tcPr>
            <w:tcW w:w="1350" w:type="dxa"/>
            <w:tcBorders>
              <w:top w:val="nil"/>
              <w:left w:val="nil"/>
              <w:right w:val="nil"/>
            </w:tcBorders>
          </w:tcPr>
          <w:p w14:paraId="22867FB2" w14:textId="623E04A6"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$6007</w:t>
            </w:r>
          </w:p>
        </w:tc>
        <w:tc>
          <w:tcPr>
            <w:tcW w:w="1170" w:type="dxa"/>
            <w:tcBorders>
              <w:top w:val="nil"/>
              <w:left w:val="nil"/>
              <w:right w:val="nil"/>
            </w:tcBorders>
          </w:tcPr>
          <w:p w14:paraId="1CDD9E31" w14:textId="00454F0B"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$38.48</w:t>
            </w:r>
          </w:p>
        </w:tc>
        <w:tc>
          <w:tcPr>
            <w:tcW w:w="1440" w:type="dxa"/>
            <w:tcBorders>
              <w:top w:val="nil"/>
              <w:left w:val="nil"/>
              <w:right w:val="nil"/>
            </w:tcBorders>
          </w:tcPr>
          <w:p w14:paraId="7D0A7F0F" w14:textId="6091AEED"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$10,828</w:t>
            </w:r>
          </w:p>
        </w:tc>
      </w:tr>
    </w:tbl>
    <w:p w14:paraId="4200B53A" w14:textId="77777777" w:rsidR="0095640A" w:rsidRDefault="0095640A" w:rsidP="008B2607">
      <w:pPr>
        <w:spacing w:after="0" w:line="240" w:lineRule="auto"/>
        <w:jc w:val="both"/>
        <w:rPr>
          <w:rFonts w:ascii="Bookman Old Style" w:eastAsiaTheme="minorEastAsia" w:hAnsi="Bookman Old Style"/>
          <w:sz w:val="18"/>
        </w:rPr>
      </w:pPr>
    </w:p>
    <w:p w14:paraId="76CBA965" w14:textId="77777777" w:rsidR="0095640A" w:rsidRPr="0095640A" w:rsidRDefault="0095640A" w:rsidP="008B2607">
      <w:pPr>
        <w:spacing w:after="0" w:line="240" w:lineRule="auto"/>
        <w:jc w:val="both"/>
        <w:rPr>
          <w:rFonts w:ascii="Bookman Old Style" w:eastAsiaTheme="minorEastAsia" w:hAnsi="Bookman Old Style"/>
          <w:sz w:val="18"/>
        </w:rPr>
      </w:pPr>
    </w:p>
    <w:tbl>
      <w:tblPr>
        <w:tblStyle w:val="TableGrid"/>
        <w:tblW w:w="0" w:type="auto"/>
        <w:jc w:val="center"/>
        <w:tblLook w:val="04A0" w:firstRow="1" w:lastRow="0" w:firstColumn="1" w:lastColumn="0" w:noHBand="0" w:noVBand="1"/>
      </w:tblPr>
      <w:tblGrid>
        <w:gridCol w:w="1908"/>
        <w:gridCol w:w="1350"/>
        <w:gridCol w:w="2340"/>
      </w:tblGrid>
      <w:tr w:rsidR="0095640A" w:rsidRPr="0095640A" w14:paraId="275712EB" w14:textId="77777777" w:rsidTr="0095640A">
        <w:trPr>
          <w:jc w:val="center"/>
        </w:trPr>
        <w:tc>
          <w:tcPr>
            <w:tcW w:w="1908" w:type="dxa"/>
            <w:tcBorders>
              <w:left w:val="nil"/>
              <w:bottom w:val="single" w:sz="4" w:space="0" w:color="auto"/>
              <w:right w:val="nil"/>
            </w:tcBorders>
          </w:tcPr>
          <w:p w14:paraId="62F714AE" w14:textId="29947E7B"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Proportions</w:t>
            </w:r>
          </w:p>
        </w:tc>
        <w:tc>
          <w:tcPr>
            <w:tcW w:w="1350" w:type="dxa"/>
            <w:tcBorders>
              <w:left w:val="nil"/>
              <w:bottom w:val="single" w:sz="4" w:space="0" w:color="auto"/>
              <w:right w:val="nil"/>
            </w:tcBorders>
          </w:tcPr>
          <w:p w14:paraId="3BE1419C" w14:textId="40C4F6EC"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Dollars</w:t>
            </w:r>
          </w:p>
        </w:tc>
        <w:tc>
          <w:tcPr>
            <w:tcW w:w="2340" w:type="dxa"/>
            <w:tcBorders>
              <w:left w:val="nil"/>
              <w:bottom w:val="single" w:sz="4" w:space="0" w:color="auto"/>
              <w:right w:val="nil"/>
            </w:tcBorders>
          </w:tcPr>
          <w:p w14:paraId="4B9ED4D0" w14:textId="5F418516" w:rsidR="0095640A" w:rsidRPr="0095640A" w:rsidRDefault="0095640A" w:rsidP="0095640A">
            <w:pPr>
              <w:jc w:val="center"/>
              <w:rPr>
                <w:rFonts w:ascii="Bookman Old Style" w:eastAsiaTheme="minorEastAsia" w:hAnsi="Bookman Old Style"/>
                <w:sz w:val="18"/>
              </w:rPr>
            </w:pPr>
            <w:r w:rsidRPr="0095640A">
              <w:rPr>
                <w:rFonts w:ascii="Bookman Old Style" w:eastAsiaTheme="minorEastAsia" w:hAnsi="Bookman Old Style"/>
                <w:sz w:val="18"/>
              </w:rPr>
              <w:t>Market Value Weights</w:t>
            </w:r>
          </w:p>
        </w:tc>
      </w:tr>
      <w:tr w:rsidR="0095640A" w:rsidRPr="0095640A" w14:paraId="155644A7" w14:textId="77777777" w:rsidTr="0095640A">
        <w:trPr>
          <w:jc w:val="center"/>
        </w:trPr>
        <w:tc>
          <w:tcPr>
            <w:tcW w:w="1908" w:type="dxa"/>
            <w:tcBorders>
              <w:left w:val="nil"/>
              <w:bottom w:val="nil"/>
              <w:right w:val="nil"/>
            </w:tcBorders>
          </w:tcPr>
          <w:p w14:paraId="527D95AA" w14:textId="6F9B9686" w:rsidR="0095640A" w:rsidRPr="0095640A" w:rsidRDefault="0095640A" w:rsidP="008B2607">
            <w:pPr>
              <w:jc w:val="both"/>
              <w:rPr>
                <w:rFonts w:ascii="Bookman Old Style" w:eastAsiaTheme="minorEastAsia" w:hAnsi="Bookman Old Style"/>
                <w:sz w:val="18"/>
              </w:rPr>
            </w:pPr>
            <w:r w:rsidRPr="0095640A">
              <w:rPr>
                <w:rFonts w:ascii="Bookman Old Style" w:eastAsiaTheme="minorEastAsia" w:hAnsi="Bookman Old Style"/>
                <w:sz w:val="18"/>
              </w:rPr>
              <w:t>Debt</w:t>
            </w:r>
          </w:p>
        </w:tc>
        <w:tc>
          <w:tcPr>
            <w:tcW w:w="1350" w:type="dxa"/>
            <w:tcBorders>
              <w:left w:val="nil"/>
              <w:bottom w:val="nil"/>
              <w:right w:val="nil"/>
            </w:tcBorders>
          </w:tcPr>
          <w:p w14:paraId="36E381DC" w14:textId="59B75B66"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$4393.1</w:t>
            </w:r>
          </w:p>
        </w:tc>
        <w:tc>
          <w:tcPr>
            <w:tcW w:w="2340" w:type="dxa"/>
            <w:tcBorders>
              <w:left w:val="nil"/>
              <w:bottom w:val="nil"/>
              <w:right w:val="nil"/>
            </w:tcBorders>
          </w:tcPr>
          <w:p w14:paraId="50F9AC5D" w14:textId="6A3A4C91"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28.40%</w:t>
            </w:r>
          </w:p>
        </w:tc>
      </w:tr>
      <w:tr w:rsidR="0095640A" w:rsidRPr="0095640A" w14:paraId="076868D2" w14:textId="77777777" w:rsidTr="0095640A">
        <w:trPr>
          <w:jc w:val="center"/>
        </w:trPr>
        <w:tc>
          <w:tcPr>
            <w:tcW w:w="1908" w:type="dxa"/>
            <w:tcBorders>
              <w:top w:val="nil"/>
              <w:left w:val="nil"/>
              <w:bottom w:val="nil"/>
              <w:right w:val="nil"/>
            </w:tcBorders>
          </w:tcPr>
          <w:p w14:paraId="22B5AD05" w14:textId="023DE6F4" w:rsidR="0095640A" w:rsidRPr="0095640A" w:rsidRDefault="0095640A" w:rsidP="0095640A">
            <w:pPr>
              <w:jc w:val="both"/>
              <w:rPr>
                <w:rFonts w:ascii="Bookman Old Style" w:eastAsiaTheme="minorEastAsia" w:hAnsi="Bookman Old Style"/>
                <w:sz w:val="18"/>
              </w:rPr>
            </w:pPr>
            <w:r w:rsidRPr="0095640A">
              <w:rPr>
                <w:rFonts w:ascii="Bookman Old Style" w:eastAsiaTheme="minorEastAsia" w:hAnsi="Bookman Old Style"/>
                <w:sz w:val="18"/>
              </w:rPr>
              <w:t>Preferred Shares</w:t>
            </w:r>
          </w:p>
        </w:tc>
        <w:tc>
          <w:tcPr>
            <w:tcW w:w="1350" w:type="dxa"/>
            <w:tcBorders>
              <w:top w:val="nil"/>
              <w:left w:val="nil"/>
              <w:bottom w:val="nil"/>
              <w:right w:val="nil"/>
            </w:tcBorders>
          </w:tcPr>
          <w:p w14:paraId="2EBB5CB4" w14:textId="1BD1CD66"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$248.1</w:t>
            </w:r>
          </w:p>
        </w:tc>
        <w:tc>
          <w:tcPr>
            <w:tcW w:w="2340" w:type="dxa"/>
            <w:tcBorders>
              <w:top w:val="nil"/>
              <w:left w:val="nil"/>
              <w:bottom w:val="nil"/>
              <w:right w:val="nil"/>
            </w:tcBorders>
          </w:tcPr>
          <w:p w14:paraId="64E02E98" w14:textId="5AC182B8" w:rsidR="0095640A" w:rsidRPr="0095640A" w:rsidRDefault="0095640A" w:rsidP="0095640A">
            <w:pPr>
              <w:jc w:val="right"/>
              <w:rPr>
                <w:rFonts w:ascii="Bookman Old Style" w:eastAsiaTheme="minorEastAsia" w:hAnsi="Bookman Old Style"/>
                <w:sz w:val="18"/>
              </w:rPr>
            </w:pPr>
            <w:r w:rsidRPr="0095640A">
              <w:rPr>
                <w:rFonts w:ascii="Bookman Old Style" w:eastAsiaTheme="minorEastAsia" w:hAnsi="Bookman Old Style"/>
                <w:sz w:val="18"/>
              </w:rPr>
              <w:t>1.60%</w:t>
            </w:r>
          </w:p>
        </w:tc>
      </w:tr>
      <w:tr w:rsidR="0095640A" w:rsidRPr="0095640A" w14:paraId="432F93BE" w14:textId="77777777" w:rsidTr="0095640A">
        <w:trPr>
          <w:jc w:val="center"/>
        </w:trPr>
        <w:tc>
          <w:tcPr>
            <w:tcW w:w="1908" w:type="dxa"/>
            <w:tcBorders>
              <w:top w:val="nil"/>
              <w:left w:val="nil"/>
              <w:bottom w:val="nil"/>
              <w:right w:val="nil"/>
            </w:tcBorders>
          </w:tcPr>
          <w:p w14:paraId="46A739EC" w14:textId="1343C734" w:rsidR="0095640A" w:rsidRPr="0095640A" w:rsidRDefault="0095640A" w:rsidP="0095640A">
            <w:pPr>
              <w:jc w:val="both"/>
              <w:rPr>
                <w:rFonts w:ascii="Bookman Old Style" w:eastAsiaTheme="minorEastAsia" w:hAnsi="Bookman Old Style"/>
                <w:sz w:val="18"/>
              </w:rPr>
            </w:pPr>
            <w:r w:rsidRPr="0095640A">
              <w:rPr>
                <w:rFonts w:ascii="Bookman Old Style" w:eastAsiaTheme="minorEastAsia" w:hAnsi="Bookman Old Style"/>
                <w:sz w:val="18"/>
              </w:rPr>
              <w:t>Common Stock</w:t>
            </w:r>
          </w:p>
        </w:tc>
        <w:tc>
          <w:tcPr>
            <w:tcW w:w="1350" w:type="dxa"/>
            <w:tcBorders>
              <w:top w:val="nil"/>
              <w:left w:val="nil"/>
              <w:bottom w:val="nil"/>
              <w:right w:val="nil"/>
            </w:tcBorders>
          </w:tcPr>
          <w:p w14:paraId="1865E9BB" w14:textId="2A3DCDF0" w:rsidR="0095640A" w:rsidRPr="0095640A" w:rsidRDefault="0095640A" w:rsidP="0095640A">
            <w:pPr>
              <w:jc w:val="right"/>
              <w:rPr>
                <w:rFonts w:ascii="Bookman Old Style" w:eastAsiaTheme="minorEastAsia" w:hAnsi="Bookman Old Style"/>
                <w:sz w:val="18"/>
                <w:u w:val="single"/>
              </w:rPr>
            </w:pPr>
            <w:r w:rsidRPr="0095640A">
              <w:rPr>
                <w:rFonts w:ascii="Bookman Old Style" w:eastAsiaTheme="minorEastAsia" w:hAnsi="Bookman Old Style"/>
                <w:sz w:val="18"/>
                <w:u w:val="single"/>
              </w:rPr>
              <w:t>$10,828</w:t>
            </w:r>
          </w:p>
        </w:tc>
        <w:tc>
          <w:tcPr>
            <w:tcW w:w="2340" w:type="dxa"/>
            <w:tcBorders>
              <w:top w:val="nil"/>
              <w:left w:val="nil"/>
              <w:bottom w:val="nil"/>
              <w:right w:val="nil"/>
            </w:tcBorders>
          </w:tcPr>
          <w:p w14:paraId="18C470FF" w14:textId="201244EF" w:rsidR="0095640A" w:rsidRPr="0095640A" w:rsidRDefault="0095640A" w:rsidP="0095640A">
            <w:pPr>
              <w:jc w:val="right"/>
              <w:rPr>
                <w:rFonts w:ascii="Bookman Old Style" w:eastAsiaTheme="minorEastAsia" w:hAnsi="Bookman Old Style"/>
                <w:sz w:val="18"/>
                <w:u w:val="single"/>
              </w:rPr>
            </w:pPr>
            <w:r w:rsidRPr="0095640A">
              <w:rPr>
                <w:rFonts w:ascii="Bookman Old Style" w:eastAsiaTheme="minorEastAsia" w:hAnsi="Bookman Old Style"/>
                <w:sz w:val="18"/>
                <w:u w:val="single"/>
              </w:rPr>
              <w:t>70.00%</w:t>
            </w:r>
          </w:p>
        </w:tc>
      </w:tr>
      <w:tr w:rsidR="0095640A" w:rsidRPr="0095640A" w14:paraId="593F5194" w14:textId="77777777" w:rsidTr="0095640A">
        <w:trPr>
          <w:jc w:val="center"/>
        </w:trPr>
        <w:tc>
          <w:tcPr>
            <w:tcW w:w="1908" w:type="dxa"/>
            <w:tcBorders>
              <w:top w:val="nil"/>
              <w:left w:val="nil"/>
              <w:right w:val="nil"/>
            </w:tcBorders>
          </w:tcPr>
          <w:p w14:paraId="54B53A31" w14:textId="77777777" w:rsidR="0095640A" w:rsidRPr="0095640A" w:rsidRDefault="0095640A" w:rsidP="0095640A">
            <w:pPr>
              <w:jc w:val="both"/>
              <w:rPr>
                <w:rFonts w:ascii="Bookman Old Style" w:eastAsiaTheme="minorEastAsia" w:hAnsi="Bookman Old Style"/>
                <w:sz w:val="18"/>
              </w:rPr>
            </w:pPr>
          </w:p>
        </w:tc>
        <w:tc>
          <w:tcPr>
            <w:tcW w:w="1350" w:type="dxa"/>
            <w:tcBorders>
              <w:top w:val="nil"/>
              <w:left w:val="nil"/>
              <w:right w:val="nil"/>
            </w:tcBorders>
          </w:tcPr>
          <w:p w14:paraId="478645BD" w14:textId="6D29737A" w:rsidR="0095640A" w:rsidRPr="0095640A" w:rsidRDefault="0095640A" w:rsidP="0095640A">
            <w:pPr>
              <w:jc w:val="right"/>
              <w:rPr>
                <w:rFonts w:ascii="Bookman Old Style" w:eastAsiaTheme="minorEastAsia" w:hAnsi="Bookman Old Style"/>
                <w:sz w:val="18"/>
                <w:u w:val="double"/>
              </w:rPr>
            </w:pPr>
            <w:r w:rsidRPr="0095640A">
              <w:rPr>
                <w:rFonts w:ascii="Bookman Old Style" w:eastAsiaTheme="minorEastAsia" w:hAnsi="Bookman Old Style"/>
                <w:sz w:val="18"/>
                <w:u w:val="double"/>
              </w:rPr>
              <w:t>$15,469.20</w:t>
            </w:r>
          </w:p>
        </w:tc>
        <w:tc>
          <w:tcPr>
            <w:tcW w:w="2340" w:type="dxa"/>
            <w:tcBorders>
              <w:top w:val="nil"/>
              <w:left w:val="nil"/>
              <w:right w:val="nil"/>
            </w:tcBorders>
          </w:tcPr>
          <w:p w14:paraId="052E38A2" w14:textId="6A4011EB" w:rsidR="0095640A" w:rsidRPr="0095640A" w:rsidRDefault="0095640A" w:rsidP="0095640A">
            <w:pPr>
              <w:jc w:val="right"/>
              <w:rPr>
                <w:rFonts w:ascii="Bookman Old Style" w:eastAsiaTheme="minorEastAsia" w:hAnsi="Bookman Old Style"/>
                <w:sz w:val="18"/>
                <w:u w:val="double"/>
              </w:rPr>
            </w:pPr>
            <w:r w:rsidRPr="0095640A">
              <w:rPr>
                <w:rFonts w:ascii="Bookman Old Style" w:eastAsiaTheme="minorEastAsia" w:hAnsi="Bookman Old Style"/>
                <w:sz w:val="18"/>
                <w:u w:val="double"/>
              </w:rPr>
              <w:t>100.00%</w:t>
            </w:r>
          </w:p>
        </w:tc>
      </w:tr>
    </w:tbl>
    <w:p w14:paraId="5BB12B7A" w14:textId="77777777" w:rsidR="0095640A" w:rsidRDefault="0095640A" w:rsidP="008B2607">
      <w:pPr>
        <w:spacing w:after="0" w:line="240" w:lineRule="auto"/>
        <w:jc w:val="both"/>
        <w:rPr>
          <w:rFonts w:ascii="Bookman Old Style" w:eastAsiaTheme="minorEastAsia" w:hAnsi="Bookman Old Style"/>
        </w:rPr>
      </w:pPr>
    </w:p>
    <w:p w14:paraId="7E2E6F17" w14:textId="206E5669"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As you can see from the market value weights, Loblaw capital structure contains common equity, debt and preferred stock.</w:t>
      </w:r>
    </w:p>
    <w:p w14:paraId="2156F7D4" w14:textId="77777777" w:rsidR="0095640A" w:rsidRDefault="0095640A" w:rsidP="008B2607">
      <w:pPr>
        <w:spacing w:after="0" w:line="240" w:lineRule="auto"/>
        <w:jc w:val="both"/>
        <w:rPr>
          <w:rFonts w:ascii="Bookman Old Style" w:eastAsiaTheme="minorEastAsia" w:hAnsi="Bookman Old Style"/>
        </w:rPr>
      </w:pPr>
    </w:p>
    <w:p w14:paraId="43F5BE2E" w14:textId="77777777" w:rsidR="0095640A" w:rsidRDefault="0095640A" w:rsidP="008B2607">
      <w:pPr>
        <w:spacing w:after="0" w:line="240" w:lineRule="auto"/>
        <w:jc w:val="both"/>
        <w:rPr>
          <w:rFonts w:ascii="Bookman Old Style" w:eastAsiaTheme="minorEastAsia" w:hAnsi="Bookman Old Style"/>
        </w:rPr>
      </w:pPr>
    </w:p>
    <w:p w14:paraId="458DC1DA" w14:textId="6A52AB8C"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b/>
          <w:u w:val="single"/>
        </w:rPr>
        <w:t>COST OF DEBT</w:t>
      </w:r>
    </w:p>
    <w:p w14:paraId="008C1485" w14:textId="7F411F76"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Loblaw has 18 relatively long-term bond issues that account for almost all of its long-term debt. To calculate the cost of debt, we combine these 18 issues and compute a weighted average.</w:t>
      </w:r>
    </w:p>
    <w:p w14:paraId="3ABCFCF5" w14:textId="77777777" w:rsidR="0095640A" w:rsidRDefault="0095640A" w:rsidP="008B2607">
      <w:pPr>
        <w:spacing w:after="0" w:line="240" w:lineRule="auto"/>
        <w:jc w:val="both"/>
        <w:rPr>
          <w:rFonts w:ascii="Bookman Old Style" w:eastAsiaTheme="minorEastAsia" w:hAnsi="Bookman Old Style"/>
        </w:rPr>
      </w:pPr>
    </w:p>
    <w:p w14:paraId="7515C990" w14:textId="77777777"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We should note that finding the yield to maturity for all of a company’s outstanding bond issues on a single day is unusual. The bond market isn’t as liquid as the stock market and on many days individual bonds may not trade.</w:t>
      </w:r>
    </w:p>
    <w:p w14:paraId="0ED2A09F" w14:textId="77777777" w:rsidR="0095640A" w:rsidRDefault="0095640A" w:rsidP="008B2607">
      <w:pPr>
        <w:spacing w:after="0" w:line="240" w:lineRule="auto"/>
        <w:jc w:val="both"/>
        <w:rPr>
          <w:rFonts w:ascii="Bookman Old Style" w:eastAsiaTheme="minorEastAsia" w:hAnsi="Bookman Old Style"/>
        </w:rPr>
      </w:pPr>
    </w:p>
    <w:p w14:paraId="34D4909F" w14:textId="77777777"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To find the book values of the bonds, we used Bloomberg Financial Services, the basic information is below:</w:t>
      </w:r>
    </w:p>
    <w:p w14:paraId="76FCB6E2" w14:textId="77777777" w:rsidR="0095640A" w:rsidRDefault="0095640A" w:rsidP="008B2607">
      <w:pPr>
        <w:spacing w:after="0" w:line="240" w:lineRule="auto"/>
        <w:jc w:val="both"/>
        <w:rPr>
          <w:rFonts w:ascii="Bookman Old Style" w:eastAsiaTheme="minorEastAsia" w:hAnsi="Bookman Old Style"/>
        </w:rPr>
      </w:pPr>
    </w:p>
    <w:p w14:paraId="58CB7495" w14:textId="563CACBB" w:rsidR="007A04F2" w:rsidRDefault="007A04F2" w:rsidP="007A04F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70BB57F3" wp14:editId="561410FB">
            <wp:extent cx="3277080" cy="17946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rotWithShape="1">
                    <a:blip r:embed="rId9">
                      <a:extLst>
                        <a:ext uri="{28A0092B-C50C-407E-A947-70E740481C1C}">
                          <a14:useLocalDpi xmlns:a14="http://schemas.microsoft.com/office/drawing/2010/main" val="0"/>
                        </a:ext>
                      </a:extLst>
                    </a:blip>
                    <a:srcRect b="59279"/>
                    <a:stretch/>
                  </pic:blipFill>
                  <pic:spPr bwMode="auto">
                    <a:xfrm>
                      <a:off x="0" y="0"/>
                      <a:ext cx="3278834" cy="1795641"/>
                    </a:xfrm>
                    <a:prstGeom prst="rect">
                      <a:avLst/>
                    </a:prstGeom>
                    <a:ln>
                      <a:noFill/>
                    </a:ln>
                    <a:extLst>
                      <a:ext uri="{53640926-AAD7-44D8-BBD7-CCE9431645EC}">
                        <a14:shadowObscured xmlns:a14="http://schemas.microsoft.com/office/drawing/2010/main"/>
                      </a:ext>
                    </a:extLst>
                  </pic:spPr>
                </pic:pic>
              </a:graphicData>
            </a:graphic>
          </wp:inline>
        </w:drawing>
      </w:r>
    </w:p>
    <w:p w14:paraId="61220781" w14:textId="77777777"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To calculate the total average cost of debt, we take the percentage of the total debt represented by each issue and multiply by the yield on the issue.</w:t>
      </w:r>
    </w:p>
    <w:p w14:paraId="5A0D4EDC" w14:textId="77777777" w:rsidR="0095640A" w:rsidRDefault="0095640A" w:rsidP="008B2607">
      <w:pPr>
        <w:spacing w:after="0" w:line="240" w:lineRule="auto"/>
        <w:jc w:val="both"/>
        <w:rPr>
          <w:rFonts w:ascii="Bookman Old Style" w:eastAsiaTheme="minorEastAsia" w:hAnsi="Bookman Old Style"/>
        </w:rPr>
      </w:pPr>
    </w:p>
    <w:p w14:paraId="0060F79E" w14:textId="7C946C3A" w:rsidR="0095640A" w:rsidRDefault="0095640A" w:rsidP="008B2607">
      <w:pPr>
        <w:spacing w:after="0" w:line="240" w:lineRule="auto"/>
        <w:jc w:val="both"/>
        <w:rPr>
          <w:rFonts w:ascii="Bookman Old Style" w:eastAsiaTheme="minorEastAsia" w:hAnsi="Bookman Old Style"/>
        </w:rPr>
      </w:pPr>
      <w:r>
        <w:rPr>
          <w:rFonts w:ascii="Bookman Old Style" w:eastAsiaTheme="minorEastAsia" w:hAnsi="Bookman Old Style"/>
        </w:rPr>
        <w:t>Then we add to get the overall weighted average debt cost. We use both book values and market values here for comparison. The results of the calculations are as follows:</w:t>
      </w:r>
    </w:p>
    <w:p w14:paraId="4BCC6D93" w14:textId="77777777" w:rsidR="0095640A" w:rsidRDefault="0095640A" w:rsidP="008B2607">
      <w:pPr>
        <w:spacing w:after="0" w:line="240" w:lineRule="auto"/>
        <w:jc w:val="both"/>
        <w:rPr>
          <w:rFonts w:ascii="Bookman Old Style" w:eastAsiaTheme="minorEastAsia" w:hAnsi="Bookman Old Style"/>
        </w:rPr>
      </w:pPr>
    </w:p>
    <w:p w14:paraId="60442534" w14:textId="0B895946" w:rsidR="007A04F2" w:rsidRDefault="007A04F2" w:rsidP="007A04F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2F328036" wp14:editId="33001CCD">
            <wp:extent cx="3689166" cy="2449773"/>
            <wp:effectExtent l="0" t="0" r="698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rotWithShape="1">
                    <a:blip r:embed="rId9">
                      <a:extLst>
                        <a:ext uri="{28A0092B-C50C-407E-A947-70E740481C1C}">
                          <a14:useLocalDpi xmlns:a14="http://schemas.microsoft.com/office/drawing/2010/main" val="0"/>
                        </a:ext>
                      </a:extLst>
                    </a:blip>
                    <a:srcRect t="50624"/>
                    <a:stretch/>
                  </pic:blipFill>
                  <pic:spPr bwMode="auto">
                    <a:xfrm>
                      <a:off x="0" y="0"/>
                      <a:ext cx="3691613" cy="2451398"/>
                    </a:xfrm>
                    <a:prstGeom prst="rect">
                      <a:avLst/>
                    </a:prstGeom>
                    <a:ln>
                      <a:noFill/>
                    </a:ln>
                    <a:extLst>
                      <a:ext uri="{53640926-AAD7-44D8-BBD7-CCE9431645EC}">
                        <a14:shadowObscured xmlns:a14="http://schemas.microsoft.com/office/drawing/2010/main"/>
                      </a:ext>
                    </a:extLst>
                  </pic:spPr>
                </pic:pic>
              </a:graphicData>
            </a:graphic>
          </wp:inline>
        </w:drawing>
      </w:r>
    </w:p>
    <w:p w14:paraId="5ADC5F39" w14:textId="77777777" w:rsidR="007A04F2" w:rsidRDefault="007A04F2" w:rsidP="008B2607">
      <w:pPr>
        <w:spacing w:after="0" w:line="240" w:lineRule="auto"/>
        <w:jc w:val="both"/>
        <w:rPr>
          <w:rFonts w:ascii="Bookman Old Style" w:eastAsiaTheme="minorEastAsia" w:hAnsi="Bookman Old Style"/>
        </w:rPr>
      </w:pPr>
    </w:p>
    <w:p w14:paraId="0253D2CA" w14:textId="6F215219"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As these calculations show, Loblaw’s cost of debt is 4.162% on a book value basis and 4.236% on a market value basis. They’re very similar.</w:t>
      </w:r>
    </w:p>
    <w:p w14:paraId="7D0976D9" w14:textId="77777777" w:rsidR="007A04F2" w:rsidRDefault="007A04F2" w:rsidP="008B2607">
      <w:pPr>
        <w:spacing w:after="0" w:line="240" w:lineRule="auto"/>
        <w:jc w:val="both"/>
        <w:rPr>
          <w:rFonts w:ascii="Bookman Old Style" w:eastAsiaTheme="minorEastAsia" w:hAnsi="Bookman Old Style"/>
        </w:rPr>
      </w:pPr>
    </w:p>
    <w:p w14:paraId="6C577F3E" w14:textId="15E62E00"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So for Loblaw, whether the market value or book values are used makes only a small difference. The reason is only that the market &amp; book values are similar. This will often be the case and explains why companies often use book values for debt in WACC calculations.</w:t>
      </w:r>
    </w:p>
    <w:p w14:paraId="444E963B" w14:textId="77777777" w:rsidR="007A04F2" w:rsidRDefault="007A04F2" w:rsidP="008B2607">
      <w:pPr>
        <w:spacing w:after="0" w:line="240" w:lineRule="auto"/>
        <w:jc w:val="both"/>
        <w:rPr>
          <w:rFonts w:ascii="Bookman Old Style" w:eastAsiaTheme="minorEastAsia" w:hAnsi="Bookman Old Style"/>
        </w:rPr>
      </w:pPr>
    </w:p>
    <w:p w14:paraId="3A7F844D" w14:textId="4957C393"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The last step is to convert the before-tax cost of debt to an after-tax cost. To do this, we use the average tax rate for Loblaw during 2011: 27.2%</w:t>
      </w:r>
    </w:p>
    <w:p w14:paraId="1F3B8486" w14:textId="77777777" w:rsidR="007A04F2" w:rsidRDefault="007A04F2" w:rsidP="008B2607">
      <w:pPr>
        <w:spacing w:after="0" w:line="240" w:lineRule="auto"/>
        <w:jc w:val="both"/>
        <w:rPr>
          <w:rFonts w:ascii="Bookman Old Style" w:eastAsiaTheme="minorEastAsia" w:hAnsi="Bookman Old Style"/>
        </w:rPr>
      </w:pPr>
    </w:p>
    <w:p w14:paraId="46F6AF66" w14:textId="6C6AE2F8" w:rsidR="007A04F2" w:rsidRPr="007A04F2" w:rsidRDefault="007A04F2" w:rsidP="008B2607">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r>
            <w:rPr>
              <w:rFonts w:ascii="Cambria Math" w:eastAsiaTheme="minorEastAsia" w:hAnsi="Cambria Math"/>
            </w:rPr>
            <m:t xml:space="preserve">=Cost of Debt </m:t>
          </m:r>
          <m:d>
            <m:dPr>
              <m:ctrlPr>
                <w:rPr>
                  <w:rFonts w:ascii="Cambria Math" w:eastAsiaTheme="minorEastAsia" w:hAnsi="Cambria Math"/>
                  <w:i/>
                </w:rPr>
              </m:ctrlPr>
            </m:dPr>
            <m:e>
              <m:r>
                <w:rPr>
                  <w:rFonts w:ascii="Cambria Math" w:eastAsiaTheme="minorEastAsia" w:hAnsi="Cambria Math"/>
                </w:rPr>
                <m:t>market value</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r>
            <w:rPr>
              <w:rFonts w:ascii="Cambria Math" w:eastAsiaTheme="minorEastAsia" w:hAnsi="Cambria Math"/>
            </w:rPr>
            <m:t>=4.236%</m:t>
          </m:r>
          <m:d>
            <m:dPr>
              <m:ctrlPr>
                <w:rPr>
                  <w:rFonts w:ascii="Cambria Math" w:eastAsiaTheme="minorEastAsia" w:hAnsi="Cambria Math"/>
                  <w:i/>
                </w:rPr>
              </m:ctrlPr>
            </m:dPr>
            <m:e>
              <m:r>
                <w:rPr>
                  <w:rFonts w:ascii="Cambria Math" w:eastAsiaTheme="minorEastAsia" w:hAnsi="Cambria Math"/>
                </w:rPr>
                <m:t>1-0.272</m:t>
              </m:r>
            </m:e>
          </m:d>
          <m:r>
            <w:rPr>
              <w:rFonts w:ascii="Cambria Math" w:eastAsiaTheme="minorEastAsia" w:hAnsi="Cambria Math"/>
            </w:rPr>
            <m:t>=3.08%</m:t>
          </m:r>
        </m:oMath>
      </m:oMathPara>
    </w:p>
    <w:p w14:paraId="48393696" w14:textId="77777777" w:rsidR="007A04F2" w:rsidRDefault="007A04F2" w:rsidP="008B2607">
      <w:pPr>
        <w:spacing w:after="0" w:line="240" w:lineRule="auto"/>
        <w:jc w:val="both"/>
        <w:rPr>
          <w:rFonts w:ascii="Bookman Old Style" w:eastAsiaTheme="minorEastAsia" w:hAnsi="Bookman Old Style"/>
        </w:rPr>
      </w:pPr>
    </w:p>
    <w:p w14:paraId="265DC4E8" w14:textId="77777777" w:rsidR="007A04F2" w:rsidRDefault="007A04F2" w:rsidP="008B2607">
      <w:pPr>
        <w:spacing w:after="0" w:line="240" w:lineRule="auto"/>
        <w:jc w:val="both"/>
        <w:rPr>
          <w:rFonts w:ascii="Bookman Old Style" w:eastAsiaTheme="minorEastAsia" w:hAnsi="Bookman Old Style"/>
        </w:rPr>
      </w:pPr>
    </w:p>
    <w:p w14:paraId="55EFFFE4" w14:textId="21F8053A" w:rsidR="007A04F2" w:rsidRDefault="007A04F2" w:rsidP="008B260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COST OF PREFERRED SHARES</w:t>
      </w:r>
    </w:p>
    <w:p w14:paraId="4F704AF2" w14:textId="21710A6E"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The cost of preferred shares is obtained from Bloomberg Financial Services and its value is 5.597%.</w:t>
      </w:r>
    </w:p>
    <w:p w14:paraId="42ED3758" w14:textId="77777777" w:rsidR="007A04F2" w:rsidRDefault="007A04F2" w:rsidP="008B2607">
      <w:pPr>
        <w:spacing w:after="0" w:line="240" w:lineRule="auto"/>
        <w:jc w:val="both"/>
        <w:rPr>
          <w:rFonts w:ascii="Bookman Old Style" w:eastAsiaTheme="minorEastAsia" w:hAnsi="Bookman Old Style"/>
        </w:rPr>
      </w:pPr>
    </w:p>
    <w:p w14:paraId="7657C95A" w14:textId="77777777" w:rsidR="007A04F2" w:rsidRDefault="007A04F2" w:rsidP="008B2607">
      <w:pPr>
        <w:spacing w:after="0" w:line="240" w:lineRule="auto"/>
        <w:jc w:val="both"/>
        <w:rPr>
          <w:rFonts w:ascii="Bookman Old Style" w:eastAsiaTheme="minorEastAsia" w:hAnsi="Bookman Old Style"/>
        </w:rPr>
      </w:pPr>
    </w:p>
    <w:p w14:paraId="78302C33" w14:textId="6B1C8AD9"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b/>
          <w:u w:val="single"/>
        </w:rPr>
        <w:t>COST OF COMMON STOCK</w:t>
      </w:r>
    </w:p>
    <w:p w14:paraId="41079D72" w14:textId="54B997AE"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To determine the cost of common stock for Loblaw, we start with the CAPM and use the dividend valuation model as a reality check.</w:t>
      </w:r>
    </w:p>
    <w:p w14:paraId="3C48ED04" w14:textId="77777777" w:rsidR="007A04F2" w:rsidRDefault="007A04F2" w:rsidP="008B2607">
      <w:pPr>
        <w:spacing w:after="0" w:line="240" w:lineRule="auto"/>
        <w:jc w:val="both"/>
        <w:rPr>
          <w:rFonts w:ascii="Bookman Old Style" w:eastAsiaTheme="minorEastAsia" w:hAnsi="Bookman Old Style"/>
        </w:rPr>
      </w:pPr>
    </w:p>
    <w:p w14:paraId="20D47011" w14:textId="77777777" w:rsidR="007A04F2" w:rsidRDefault="007A04F2" w:rsidP="008B2607">
      <w:pPr>
        <w:spacing w:after="0" w:line="240" w:lineRule="auto"/>
        <w:jc w:val="both"/>
        <w:rPr>
          <w:rFonts w:ascii="Bookman Old Style" w:eastAsiaTheme="minorEastAsia" w:hAnsi="Bookman Old Style"/>
        </w:rPr>
      </w:pPr>
    </w:p>
    <w:p w14:paraId="6EFCD742" w14:textId="74DAF223" w:rsidR="007A04F2" w:rsidRDefault="007A04F2" w:rsidP="008B260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CAPM</w:t>
      </w:r>
    </w:p>
    <w:p w14:paraId="19A4C4F7" w14:textId="77FAD0E8" w:rsidR="007A04F2" w:rsidRPr="007A04F2" w:rsidRDefault="007A04F2" w:rsidP="008B2607">
      <w:pPr>
        <w:spacing w:after="0" w:line="240" w:lineRule="auto"/>
        <w:jc w:val="both"/>
        <w:rPr>
          <w:rFonts w:ascii="Bookman Old Style" w:eastAsiaTheme="minorEastAsia" w:hAnsi="Bookman Old Style"/>
        </w:rPr>
      </w:pPr>
      <m:oMathPara>
        <m:oMathParaPr>
          <m:jc m:val="left"/>
        </m:oMathParaPr>
        <m:oMath>
          <m:r>
            <w:rPr>
              <w:rFonts w:ascii="Cambria Math" w:eastAsiaTheme="minorEastAsia" w:hAnsi="Cambria Math"/>
            </w:rPr>
            <m:t>β=0.3</m:t>
          </m:r>
          <m:r>
            <w:rPr>
              <w:rFonts w:ascii="Cambria Math" w:eastAsiaTheme="minorEastAsia" w:hAnsi="Cambria Math"/>
            </w:rPr>
            <m:t>0</m:t>
          </m:r>
        </m:oMath>
      </m:oMathPara>
    </w:p>
    <w:p w14:paraId="583DFC53" w14:textId="785CE54E" w:rsidR="007A04F2" w:rsidRPr="007A04F2" w:rsidRDefault="007A04F2" w:rsidP="008B2607">
      <w:pPr>
        <w:spacing w:after="0" w:line="240" w:lineRule="auto"/>
        <w:jc w:val="both"/>
        <w:rPr>
          <w:rFonts w:ascii="Bookman Old Style" w:eastAsiaTheme="minorEastAsia" w:hAnsi="Bookman Old Style"/>
        </w:rPr>
      </w:pPr>
      <m:oMathPara>
        <m:oMathParaPr>
          <m:jc m:val="left"/>
        </m:oMathParaPr>
        <m:oMath>
          <m:r>
            <w:rPr>
              <w:rFonts w:ascii="Cambria Math" w:eastAsiaTheme="minorEastAsia" w:hAnsi="Cambria Math"/>
            </w:rPr>
            <m:t>Market Risk Premium=4.30</m:t>
          </m:r>
          <m:r>
            <w:rPr>
              <w:rFonts w:ascii="Cambria Math" w:eastAsiaTheme="minorEastAsia" w:hAnsi="Cambria Math"/>
            </w:rPr>
            <m:t>%</m:t>
          </m:r>
        </m:oMath>
      </m:oMathPara>
    </w:p>
    <w:p w14:paraId="4D910845" w14:textId="0857F1D4" w:rsidR="007A04F2" w:rsidRPr="007A04F2" w:rsidRDefault="007A04F2" w:rsidP="008B2607">
      <w:pPr>
        <w:spacing w:after="0" w:line="240" w:lineRule="auto"/>
        <w:jc w:val="both"/>
        <w:rPr>
          <w:rFonts w:ascii="Bookman Old Style" w:eastAsiaTheme="minorEastAsia" w:hAnsi="Bookman Old Style"/>
        </w:rPr>
      </w:pPr>
      <m:oMathPara>
        <m:oMathParaPr>
          <m:jc m:val="left"/>
        </m:oMathParaPr>
        <m:oMath>
          <m:r>
            <w:rPr>
              <w:rFonts w:ascii="Cambria Math" w:eastAsiaTheme="minorEastAsia" w:hAnsi="Cambria Math"/>
            </w:rPr>
            <m:t>RiskFree Rate=5</m:t>
          </m:r>
          <m:r>
            <w:rPr>
              <w:rFonts w:ascii="Cambria Math" w:eastAsiaTheme="minorEastAsia" w:hAnsi="Cambria Math"/>
            </w:rPr>
            <m:t>%</m:t>
          </m:r>
        </m:oMath>
      </m:oMathPara>
    </w:p>
    <w:p w14:paraId="6A6F06FF" w14:textId="4898B6FD" w:rsidR="007A04F2" w:rsidRPr="007A04F2" w:rsidRDefault="007A04F2" w:rsidP="008B2607">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+β(market risk premium)</m:t>
          </m:r>
        </m:oMath>
      </m:oMathPara>
    </w:p>
    <w:p w14:paraId="1ED5DBB2" w14:textId="51CA20A0" w:rsidR="007A04F2" w:rsidRDefault="007A04F2" w:rsidP="007A04F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0D5A06F8" w14:textId="296C17FE" w:rsidR="007A04F2" w:rsidRPr="007A04F2" w:rsidRDefault="007A04F2" w:rsidP="007A04F2">
      <w:pPr>
        <w:spacing w:after="0" w:line="240" w:lineRule="auto"/>
        <w:jc w:val="center"/>
        <w:rPr>
          <w:rFonts w:ascii="Bookman Old Style" w:eastAsiaTheme="minorEastAsia" w:hAnsi="Bookman Old Style"/>
        </w:rPr>
      </w:pPr>
      <m:oMathPara>
        <m:oMath>
          <m:r>
            <w:rPr>
              <w:rFonts w:ascii="Cambria Math" w:eastAsiaTheme="minorEastAsia" w:hAnsi="Cambria Math"/>
            </w:rPr>
            <m:t>5.0%+0.30</m:t>
          </m:r>
          <m:d>
            <m:dPr>
              <m:ctrlPr>
                <w:rPr>
                  <w:rFonts w:ascii="Cambria Math" w:eastAsiaTheme="minorEastAsia" w:hAnsi="Cambria Math"/>
                  <w:i/>
                </w:rPr>
              </m:ctrlPr>
            </m:dPr>
            <m:e>
              <m:r>
                <w:rPr>
                  <w:rFonts w:ascii="Cambria Math" w:eastAsiaTheme="minorEastAsia" w:hAnsi="Cambria Math"/>
                </w:rPr>
                <m:t>4.30%</m:t>
              </m:r>
            </m:e>
          </m:d>
        </m:oMath>
      </m:oMathPara>
    </w:p>
    <w:p w14:paraId="052E31D8" w14:textId="644E69AE" w:rsidR="007A04F2" w:rsidRDefault="007A04F2" w:rsidP="007A04F2">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83AD6C7" w14:textId="3F78803A" w:rsidR="007A04F2" w:rsidRDefault="007A04F2" w:rsidP="007A04F2">
      <w:pPr>
        <w:spacing w:after="0" w:line="240" w:lineRule="auto"/>
        <w:jc w:val="center"/>
        <w:rPr>
          <w:rFonts w:ascii="Bookman Old Style" w:eastAsiaTheme="minorEastAsia" w:hAnsi="Bookman Old Style"/>
        </w:rPr>
      </w:pPr>
      <w:r>
        <w:rPr>
          <w:rFonts w:ascii="Bookman Old Style" w:eastAsiaTheme="minorEastAsia" w:hAnsi="Bookman Old Style"/>
        </w:rPr>
        <w:t>6.29%</w:t>
      </w:r>
    </w:p>
    <w:p w14:paraId="2F392CCD" w14:textId="77777777" w:rsidR="007A04F2" w:rsidRDefault="007A04F2" w:rsidP="007A04F2">
      <w:pPr>
        <w:spacing w:after="0" w:line="240" w:lineRule="auto"/>
        <w:jc w:val="center"/>
        <w:rPr>
          <w:rFonts w:ascii="Bookman Old Style" w:eastAsiaTheme="minorEastAsia" w:hAnsi="Bookman Old Style"/>
        </w:rPr>
      </w:pPr>
    </w:p>
    <w:p w14:paraId="0CDBFD0D" w14:textId="06E484A5"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To calculate the cost of equity using the dividend valuation model, we need a growth rate for Loblaw. A geometric regression would be the most accurate, but a geometric average is simpler and nearly as accurate.</w:t>
      </w:r>
    </w:p>
    <w:p w14:paraId="629B9D0A" w14:textId="77777777" w:rsidR="007A04F2" w:rsidRDefault="007A04F2" w:rsidP="008B2607">
      <w:pPr>
        <w:spacing w:after="0" w:line="240" w:lineRule="auto"/>
        <w:jc w:val="both"/>
        <w:rPr>
          <w:rFonts w:ascii="Bookman Old Style" w:eastAsiaTheme="minorEastAsia" w:hAnsi="Bookman Old Style"/>
        </w:rPr>
      </w:pPr>
    </w:p>
    <w:p w14:paraId="07C152A9" w14:textId="1B3B8C6D" w:rsidR="007A04F2" w:rsidRDefault="007A04F2" w:rsidP="008B2607">
      <w:pPr>
        <w:spacing w:after="0" w:line="240" w:lineRule="auto"/>
        <w:jc w:val="both"/>
        <w:rPr>
          <w:rFonts w:ascii="Bookman Old Style" w:eastAsiaTheme="minorEastAsia" w:hAnsi="Bookman Old Style"/>
        </w:rPr>
      </w:pPr>
      <w:r>
        <w:rPr>
          <w:rFonts w:ascii="Bookman Old Style" w:eastAsiaTheme="minorEastAsia" w:hAnsi="Bookman Old Style"/>
        </w:rPr>
        <w:t>We use the EPS figures to determine the growth rate for Loblaw:</w:t>
      </w:r>
    </w:p>
    <w:p w14:paraId="1E8CD106" w14:textId="77777777" w:rsidR="007A04F2" w:rsidRDefault="007A04F2" w:rsidP="008B2607">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738"/>
        <w:gridCol w:w="720"/>
      </w:tblGrid>
      <w:tr w:rsidR="007A04F2" w14:paraId="013750BD" w14:textId="77777777" w:rsidTr="007A04F2">
        <w:trPr>
          <w:jc w:val="center"/>
        </w:trPr>
        <w:tc>
          <w:tcPr>
            <w:tcW w:w="738" w:type="dxa"/>
          </w:tcPr>
          <w:p w14:paraId="1A9599BB" w14:textId="755000AB" w:rsidR="007A04F2" w:rsidRPr="007A04F2" w:rsidRDefault="007A04F2" w:rsidP="008B2607">
            <w:pPr>
              <w:jc w:val="both"/>
              <w:rPr>
                <w:rFonts w:ascii="Bookman Old Style" w:eastAsiaTheme="minorEastAsia" w:hAnsi="Bookman Old Style"/>
                <w:b/>
                <w:sz w:val="16"/>
              </w:rPr>
            </w:pPr>
            <w:r w:rsidRPr="007A04F2">
              <w:rPr>
                <w:rFonts w:ascii="Bookman Old Style" w:eastAsiaTheme="minorEastAsia" w:hAnsi="Bookman Old Style"/>
                <w:b/>
                <w:sz w:val="16"/>
              </w:rPr>
              <w:t>Year</w:t>
            </w:r>
          </w:p>
        </w:tc>
        <w:tc>
          <w:tcPr>
            <w:tcW w:w="720" w:type="dxa"/>
          </w:tcPr>
          <w:p w14:paraId="78376C01" w14:textId="19369E27" w:rsidR="007A04F2" w:rsidRPr="007A04F2" w:rsidRDefault="007A04F2" w:rsidP="008B2607">
            <w:pPr>
              <w:jc w:val="both"/>
              <w:rPr>
                <w:rFonts w:ascii="Bookman Old Style" w:eastAsiaTheme="minorEastAsia" w:hAnsi="Bookman Old Style"/>
                <w:b/>
                <w:sz w:val="16"/>
              </w:rPr>
            </w:pPr>
            <w:r w:rsidRPr="007A04F2">
              <w:rPr>
                <w:rFonts w:ascii="Bookman Old Style" w:eastAsiaTheme="minorEastAsia" w:hAnsi="Bookman Old Style"/>
                <w:b/>
                <w:sz w:val="16"/>
              </w:rPr>
              <w:t>EPS</w:t>
            </w:r>
          </w:p>
        </w:tc>
      </w:tr>
      <w:tr w:rsidR="007A04F2" w14:paraId="081A5588" w14:textId="77777777" w:rsidTr="007A04F2">
        <w:trPr>
          <w:jc w:val="center"/>
        </w:trPr>
        <w:tc>
          <w:tcPr>
            <w:tcW w:w="738" w:type="dxa"/>
          </w:tcPr>
          <w:p w14:paraId="42210534" w14:textId="5F5E05B9"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2011</w:t>
            </w:r>
          </w:p>
        </w:tc>
        <w:tc>
          <w:tcPr>
            <w:tcW w:w="720" w:type="dxa"/>
          </w:tcPr>
          <w:p w14:paraId="07D16B9F" w14:textId="350E75F4"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2.73</w:t>
            </w:r>
          </w:p>
        </w:tc>
      </w:tr>
      <w:tr w:rsidR="007A04F2" w14:paraId="30CABAA0" w14:textId="77777777" w:rsidTr="007A04F2">
        <w:trPr>
          <w:jc w:val="center"/>
        </w:trPr>
        <w:tc>
          <w:tcPr>
            <w:tcW w:w="738" w:type="dxa"/>
          </w:tcPr>
          <w:p w14:paraId="37C1704C" w14:textId="6C665C39"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2010</w:t>
            </w:r>
          </w:p>
        </w:tc>
        <w:tc>
          <w:tcPr>
            <w:tcW w:w="720" w:type="dxa"/>
          </w:tcPr>
          <w:p w14:paraId="12FDE1C3" w14:textId="2DECD737"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2.45</w:t>
            </w:r>
          </w:p>
        </w:tc>
      </w:tr>
      <w:tr w:rsidR="007A04F2" w14:paraId="1E01ED12" w14:textId="77777777" w:rsidTr="007A04F2">
        <w:trPr>
          <w:jc w:val="center"/>
        </w:trPr>
        <w:tc>
          <w:tcPr>
            <w:tcW w:w="738" w:type="dxa"/>
          </w:tcPr>
          <w:p w14:paraId="57A69088" w14:textId="4AF09412"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2009</w:t>
            </w:r>
          </w:p>
        </w:tc>
        <w:tc>
          <w:tcPr>
            <w:tcW w:w="720" w:type="dxa"/>
          </w:tcPr>
          <w:p w14:paraId="2C038494" w14:textId="0A6D49CA"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2.39</w:t>
            </w:r>
          </w:p>
        </w:tc>
      </w:tr>
      <w:tr w:rsidR="007A04F2" w14:paraId="2B5D9B0A" w14:textId="77777777" w:rsidTr="007A04F2">
        <w:trPr>
          <w:jc w:val="center"/>
        </w:trPr>
        <w:tc>
          <w:tcPr>
            <w:tcW w:w="738" w:type="dxa"/>
          </w:tcPr>
          <w:p w14:paraId="1AD303A7" w14:textId="4111A420"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2008</w:t>
            </w:r>
          </w:p>
        </w:tc>
        <w:tc>
          <w:tcPr>
            <w:tcW w:w="720" w:type="dxa"/>
          </w:tcPr>
          <w:p w14:paraId="2C3FEC6B" w14:textId="5CD24321"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1.99</w:t>
            </w:r>
          </w:p>
        </w:tc>
      </w:tr>
      <w:tr w:rsidR="007A04F2" w14:paraId="6F98431A" w14:textId="77777777" w:rsidTr="007A04F2">
        <w:trPr>
          <w:jc w:val="center"/>
        </w:trPr>
        <w:tc>
          <w:tcPr>
            <w:tcW w:w="738" w:type="dxa"/>
          </w:tcPr>
          <w:p w14:paraId="7DB6BD14" w14:textId="3F5328CB"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2007</w:t>
            </w:r>
          </w:p>
        </w:tc>
        <w:tc>
          <w:tcPr>
            <w:tcW w:w="720" w:type="dxa"/>
          </w:tcPr>
          <w:p w14:paraId="6680A073" w14:textId="7450C065"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1.20</w:t>
            </w:r>
          </w:p>
        </w:tc>
      </w:tr>
      <w:tr w:rsidR="007A04F2" w14:paraId="756311D1" w14:textId="77777777" w:rsidTr="007A04F2">
        <w:trPr>
          <w:jc w:val="center"/>
        </w:trPr>
        <w:tc>
          <w:tcPr>
            <w:tcW w:w="738" w:type="dxa"/>
          </w:tcPr>
          <w:p w14:paraId="728F0B95" w14:textId="74AF6F64"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2006</w:t>
            </w:r>
          </w:p>
        </w:tc>
        <w:tc>
          <w:tcPr>
            <w:tcW w:w="720" w:type="dxa"/>
          </w:tcPr>
          <w:p w14:paraId="74BC42FE" w14:textId="095141E6"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-0.80</w:t>
            </w:r>
          </w:p>
        </w:tc>
      </w:tr>
      <w:tr w:rsidR="007A04F2" w14:paraId="5867BC4E" w14:textId="77777777" w:rsidTr="007A04F2">
        <w:trPr>
          <w:jc w:val="center"/>
        </w:trPr>
        <w:tc>
          <w:tcPr>
            <w:tcW w:w="738" w:type="dxa"/>
          </w:tcPr>
          <w:p w14:paraId="0E036E3F" w14:textId="1EAFF353"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2005</w:t>
            </w:r>
          </w:p>
        </w:tc>
        <w:tc>
          <w:tcPr>
            <w:tcW w:w="720" w:type="dxa"/>
          </w:tcPr>
          <w:p w14:paraId="34A927C7" w14:textId="5F167BB6"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2.72</w:t>
            </w:r>
          </w:p>
        </w:tc>
      </w:tr>
      <w:tr w:rsidR="007A04F2" w14:paraId="1F35C87D" w14:textId="77777777" w:rsidTr="007A04F2">
        <w:trPr>
          <w:jc w:val="center"/>
        </w:trPr>
        <w:tc>
          <w:tcPr>
            <w:tcW w:w="738" w:type="dxa"/>
          </w:tcPr>
          <w:p w14:paraId="1395870E" w14:textId="6D591F47"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2004</w:t>
            </w:r>
          </w:p>
        </w:tc>
        <w:tc>
          <w:tcPr>
            <w:tcW w:w="720" w:type="dxa"/>
          </w:tcPr>
          <w:p w14:paraId="6A6AD337" w14:textId="0F11C5A8"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3.53</w:t>
            </w:r>
          </w:p>
        </w:tc>
      </w:tr>
      <w:tr w:rsidR="007A04F2" w14:paraId="6A637473" w14:textId="77777777" w:rsidTr="007A04F2">
        <w:trPr>
          <w:jc w:val="center"/>
        </w:trPr>
        <w:tc>
          <w:tcPr>
            <w:tcW w:w="738" w:type="dxa"/>
          </w:tcPr>
          <w:p w14:paraId="17106022" w14:textId="0477483B"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2003</w:t>
            </w:r>
          </w:p>
        </w:tc>
        <w:tc>
          <w:tcPr>
            <w:tcW w:w="720" w:type="dxa"/>
          </w:tcPr>
          <w:p w14:paraId="6A44BF15" w14:textId="6F1ABAD9"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3.07</w:t>
            </w:r>
          </w:p>
        </w:tc>
      </w:tr>
      <w:tr w:rsidR="007A04F2" w14:paraId="0075B08F" w14:textId="77777777" w:rsidTr="007A04F2">
        <w:trPr>
          <w:jc w:val="center"/>
        </w:trPr>
        <w:tc>
          <w:tcPr>
            <w:tcW w:w="738" w:type="dxa"/>
          </w:tcPr>
          <w:p w14:paraId="1D1CF7B9" w14:textId="3E031B9E"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2002</w:t>
            </w:r>
          </w:p>
        </w:tc>
        <w:tc>
          <w:tcPr>
            <w:tcW w:w="720" w:type="dxa"/>
          </w:tcPr>
          <w:p w14:paraId="7B582AFA" w14:textId="184742AF"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2.64</w:t>
            </w:r>
          </w:p>
        </w:tc>
      </w:tr>
      <w:tr w:rsidR="007A04F2" w14:paraId="7CC9547F" w14:textId="77777777" w:rsidTr="007A04F2">
        <w:trPr>
          <w:jc w:val="center"/>
        </w:trPr>
        <w:tc>
          <w:tcPr>
            <w:tcW w:w="738" w:type="dxa"/>
          </w:tcPr>
          <w:p w14:paraId="06801725" w14:textId="52BB96D4"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2001</w:t>
            </w:r>
          </w:p>
        </w:tc>
        <w:tc>
          <w:tcPr>
            <w:tcW w:w="720" w:type="dxa"/>
          </w:tcPr>
          <w:p w14:paraId="7B04A8B6" w14:textId="01962540"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2.04</w:t>
            </w:r>
          </w:p>
        </w:tc>
      </w:tr>
      <w:tr w:rsidR="007A04F2" w14:paraId="3BC1C232" w14:textId="77777777" w:rsidTr="007A04F2">
        <w:trPr>
          <w:jc w:val="center"/>
        </w:trPr>
        <w:tc>
          <w:tcPr>
            <w:tcW w:w="738" w:type="dxa"/>
          </w:tcPr>
          <w:p w14:paraId="228B0634" w14:textId="1343D441"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2000</w:t>
            </w:r>
          </w:p>
        </w:tc>
        <w:tc>
          <w:tcPr>
            <w:tcW w:w="720" w:type="dxa"/>
          </w:tcPr>
          <w:p w14:paraId="4A79BFD9" w14:textId="2C327E28"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1.71</w:t>
            </w:r>
          </w:p>
        </w:tc>
      </w:tr>
      <w:tr w:rsidR="007A04F2" w14:paraId="7B06DEF9" w14:textId="77777777" w:rsidTr="007A04F2">
        <w:trPr>
          <w:jc w:val="center"/>
        </w:trPr>
        <w:tc>
          <w:tcPr>
            <w:tcW w:w="738" w:type="dxa"/>
          </w:tcPr>
          <w:p w14:paraId="43AA6596" w14:textId="51A4FA41"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1999</w:t>
            </w:r>
          </w:p>
        </w:tc>
        <w:tc>
          <w:tcPr>
            <w:tcW w:w="720" w:type="dxa"/>
          </w:tcPr>
          <w:p w14:paraId="7B07F31F" w14:textId="41217CEF"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1.37</w:t>
            </w:r>
          </w:p>
        </w:tc>
      </w:tr>
      <w:tr w:rsidR="007A04F2" w14:paraId="5B6FB912" w14:textId="77777777" w:rsidTr="007A04F2">
        <w:trPr>
          <w:jc w:val="center"/>
        </w:trPr>
        <w:tc>
          <w:tcPr>
            <w:tcW w:w="738" w:type="dxa"/>
          </w:tcPr>
          <w:p w14:paraId="6A545F95" w14:textId="681BBCBB"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1998</w:t>
            </w:r>
          </w:p>
        </w:tc>
        <w:tc>
          <w:tcPr>
            <w:tcW w:w="720" w:type="dxa"/>
          </w:tcPr>
          <w:p w14:paraId="41E3CE57" w14:textId="0B243FEF"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1.06</w:t>
            </w:r>
          </w:p>
        </w:tc>
      </w:tr>
      <w:tr w:rsidR="007A04F2" w14:paraId="58063124" w14:textId="77777777" w:rsidTr="007A04F2">
        <w:trPr>
          <w:jc w:val="center"/>
        </w:trPr>
        <w:tc>
          <w:tcPr>
            <w:tcW w:w="738" w:type="dxa"/>
          </w:tcPr>
          <w:p w14:paraId="23770D03" w14:textId="00981822"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1997</w:t>
            </w:r>
          </w:p>
        </w:tc>
        <w:tc>
          <w:tcPr>
            <w:tcW w:w="720" w:type="dxa"/>
          </w:tcPr>
          <w:p w14:paraId="293B039C" w14:textId="65E292F6" w:rsidR="007A04F2" w:rsidRPr="007A04F2" w:rsidRDefault="007A04F2" w:rsidP="008B2607">
            <w:pPr>
              <w:jc w:val="both"/>
              <w:rPr>
                <w:rFonts w:ascii="Bookman Old Style" w:eastAsiaTheme="minorEastAsia" w:hAnsi="Bookman Old Style"/>
                <w:sz w:val="16"/>
              </w:rPr>
            </w:pPr>
            <w:r w:rsidRPr="007A04F2">
              <w:rPr>
                <w:rFonts w:ascii="Bookman Old Style" w:eastAsiaTheme="minorEastAsia" w:hAnsi="Bookman Old Style"/>
                <w:sz w:val="16"/>
              </w:rPr>
              <w:t>0.88</w:t>
            </w:r>
          </w:p>
        </w:tc>
      </w:tr>
    </w:tbl>
    <w:p w14:paraId="568702BE" w14:textId="77777777" w:rsidR="007A04F2" w:rsidRDefault="007A04F2" w:rsidP="008B2607">
      <w:pPr>
        <w:spacing w:after="0" w:line="240" w:lineRule="auto"/>
        <w:jc w:val="both"/>
        <w:rPr>
          <w:rFonts w:ascii="Bookman Old Style" w:eastAsiaTheme="minorEastAsia" w:hAnsi="Bookman Old Style"/>
        </w:rPr>
      </w:pPr>
    </w:p>
    <w:p w14:paraId="395FC292" w14:textId="08F28F1E" w:rsidR="00B40799" w:rsidRDefault="00B40799" w:rsidP="008B260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DIVIDEND VALUATION MODEL GROWTH RATE</w:t>
      </w:r>
    </w:p>
    <w:p w14:paraId="67A9BADD" w14:textId="77777777" w:rsidR="00B40799" w:rsidRDefault="00B40799" w:rsidP="008B2607">
      <w:pPr>
        <w:spacing w:after="0" w:line="240" w:lineRule="auto"/>
        <w:jc w:val="both"/>
        <w:rPr>
          <w:rFonts w:ascii="Bookman Old Style" w:eastAsiaTheme="minorEastAsia" w:hAnsi="Bookman Old Style"/>
        </w:rPr>
      </w:pPr>
    </w:p>
    <w:p w14:paraId="694D3585" w14:textId="3C2E9521" w:rsidR="00B40799" w:rsidRPr="00B40799" w:rsidRDefault="00B40799" w:rsidP="008B2607">
      <w:pPr>
        <w:spacing w:after="0" w:line="240" w:lineRule="auto"/>
        <w:jc w:val="both"/>
        <w:rPr>
          <w:rFonts w:ascii="Bookman Old Style" w:eastAsiaTheme="minorEastAsia" w:hAnsi="Bookman Old Style"/>
        </w:rPr>
      </w:pPr>
      <m:oMathPara>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14</m:t>
              </m:r>
            </m:sup>
          </m:sSup>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2.73</m:t>
                  </m:r>
                </m:num>
                <m:den>
                  <m:r>
                    <w:rPr>
                      <w:rFonts w:ascii="Cambria Math" w:eastAsiaTheme="minorEastAsia" w:hAnsi="Cambria Math"/>
                    </w:rPr>
                    <m:t>0.88</m:t>
                  </m:r>
                </m:den>
              </m:f>
            </m:e>
          </m:d>
        </m:oMath>
      </m:oMathPara>
    </w:p>
    <w:p w14:paraId="64031691" w14:textId="518915A8" w:rsidR="00B40799" w:rsidRDefault="00B40799" w:rsidP="00B40799">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5859A9B" w14:textId="545CD9F2" w:rsidR="00B40799" w:rsidRPr="00B40799" w:rsidRDefault="00B40799" w:rsidP="00B40799">
      <w:pPr>
        <w:spacing w:after="0" w:line="240" w:lineRule="auto"/>
        <w:jc w:val="center"/>
        <w:rPr>
          <w:rFonts w:ascii="Bookman Old Style" w:eastAsiaTheme="minorEastAsia" w:hAnsi="Bookman Old Style"/>
        </w:rPr>
      </w:pPr>
      <m:oMathPara>
        <m:oMath>
          <m:r>
            <w:rPr>
              <w:rFonts w:ascii="Cambria Math" w:eastAsiaTheme="minorEastAsia" w:hAnsi="Cambria Math"/>
            </w:rPr>
            <m:t>g=</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3.10</m:t>
                  </m:r>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14</m:t>
                  </m:r>
                </m:den>
              </m:f>
            </m:sup>
          </m:sSup>
          <m:r>
            <w:rPr>
              <w:rFonts w:ascii="Cambria Math" w:eastAsiaTheme="minorEastAsia" w:hAnsi="Cambria Math"/>
            </w:rPr>
            <m:t>-1</m:t>
          </m:r>
        </m:oMath>
      </m:oMathPara>
    </w:p>
    <w:p w14:paraId="710BB2AE" w14:textId="759455E1" w:rsidR="00B40799" w:rsidRDefault="00B40799" w:rsidP="00B40799">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8D2AF1A" w14:textId="5BB30BC5" w:rsidR="00B40799" w:rsidRDefault="00B40799" w:rsidP="00B40799">
      <w:pPr>
        <w:spacing w:after="0" w:line="240" w:lineRule="auto"/>
        <w:jc w:val="center"/>
        <w:rPr>
          <w:rFonts w:ascii="Bookman Old Style" w:eastAsiaTheme="minorEastAsia" w:hAnsi="Bookman Old Style"/>
        </w:rPr>
      </w:pPr>
      <w:r>
        <w:rPr>
          <w:rFonts w:ascii="Bookman Old Style" w:eastAsiaTheme="minorEastAsia" w:hAnsi="Bookman Old Style"/>
        </w:rPr>
        <w:t>g = 8.42%</w:t>
      </w:r>
    </w:p>
    <w:p w14:paraId="7ED763CC" w14:textId="77777777" w:rsidR="00B40799" w:rsidRDefault="00B40799" w:rsidP="00B40799">
      <w:pPr>
        <w:spacing w:after="0" w:line="240" w:lineRule="auto"/>
        <w:jc w:val="center"/>
        <w:rPr>
          <w:rFonts w:ascii="Bookman Old Style" w:eastAsiaTheme="minorEastAsia" w:hAnsi="Bookman Old Style"/>
        </w:rPr>
      </w:pPr>
    </w:p>
    <w:p w14:paraId="281C8425" w14:textId="2F57A1F9"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t>The geometric growth rate in EPS over the period 1997-2011 was 8.42%</w:t>
      </w:r>
    </w:p>
    <w:p w14:paraId="69063CCE" w14:textId="77777777" w:rsidR="00B40799" w:rsidRDefault="00B40799" w:rsidP="00B40799">
      <w:pPr>
        <w:spacing w:after="0" w:line="240" w:lineRule="auto"/>
        <w:jc w:val="both"/>
        <w:rPr>
          <w:rFonts w:ascii="Bookman Old Style" w:eastAsiaTheme="minorEastAsia" w:hAnsi="Bookman Old Style"/>
        </w:rPr>
      </w:pPr>
    </w:p>
    <w:p w14:paraId="4FED9FF4" w14:textId="6A6AAAD8" w:rsidR="00B40799" w:rsidRPr="00B40799" w:rsidRDefault="00B40799" w:rsidP="00B40799">
      <w:pPr>
        <w:spacing w:after="0" w:line="240" w:lineRule="auto"/>
        <w:jc w:val="both"/>
        <w:rPr>
          <w:rFonts w:ascii="Bookman Old Style" w:eastAsiaTheme="minorEastAsia" w:hAnsi="Bookman Old Style"/>
        </w:rPr>
      </w:pPr>
      <m:oMathPara>
        <m:oMath>
          <m:r>
            <w:rPr>
              <w:rFonts w:ascii="Cambria Math" w:eastAsiaTheme="minorEastAsia" w:hAnsi="Cambria Math"/>
            </w:rPr>
            <m:t>Dividend Valuation Model=</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+g</m:t>
          </m:r>
        </m:oMath>
      </m:oMathPara>
    </w:p>
    <w:p w14:paraId="4DD3837B" w14:textId="77777777" w:rsidR="00B40799" w:rsidRDefault="00B40799" w:rsidP="00B40799">
      <w:pPr>
        <w:spacing w:after="0" w:line="240" w:lineRule="auto"/>
        <w:jc w:val="both"/>
        <w:rPr>
          <w:rFonts w:ascii="Bookman Old Style" w:eastAsiaTheme="minorEastAsia" w:hAnsi="Bookman Old Style"/>
        </w:rPr>
      </w:pPr>
    </w:p>
    <w:p w14:paraId="74E51C49" w14:textId="1CBC6C13"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t>To get next year’s dividend</w:t>
      </w:r>
      <w:proofErr w:type="gramStart"/>
      <w:r>
        <w:rPr>
          <w:rFonts w:ascii="Bookman Old Style" w:eastAsiaTheme="minorEastAsia" w:hAnsi="Bookman Old Style"/>
        </w:rPr>
        <w:t xml:space="preserve">, </w:t>
      </w:r>
      <w:proofErr w:type="gramEnd"/>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oMath>
      <w:r>
        <w:rPr>
          <w:rFonts w:ascii="Bookman Old Style" w:eastAsiaTheme="minorEastAsia" w:hAnsi="Bookman Old Style"/>
        </w:rPr>
        <w:t>, we adjust the current dividend of $0.84 for projected growth:</w:t>
      </w:r>
    </w:p>
    <w:p w14:paraId="2AA1D02F" w14:textId="77777777" w:rsidR="00B40799" w:rsidRDefault="00B40799" w:rsidP="00B40799">
      <w:pPr>
        <w:spacing w:after="0" w:line="240" w:lineRule="auto"/>
        <w:jc w:val="both"/>
        <w:rPr>
          <w:rFonts w:ascii="Bookman Old Style" w:eastAsiaTheme="minorEastAsia" w:hAnsi="Bookman Old Style"/>
        </w:rPr>
      </w:pPr>
    </w:p>
    <w:p w14:paraId="038AD5F2" w14:textId="0BFB7E27" w:rsidR="00B40799" w:rsidRPr="00B40799" w:rsidRDefault="00B40799" w:rsidP="00B40799">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0</m:t>
              </m:r>
            </m:sub>
          </m:sSub>
          <m:d>
            <m:dPr>
              <m:ctrlPr>
                <w:rPr>
                  <w:rFonts w:ascii="Cambria Math" w:eastAsiaTheme="minorEastAsia" w:hAnsi="Cambria Math"/>
                  <w:i/>
                </w:rPr>
              </m:ctrlPr>
            </m:dPr>
            <m:e>
              <m:r>
                <w:rPr>
                  <w:rFonts w:ascii="Cambria Math" w:eastAsiaTheme="minorEastAsia" w:hAnsi="Cambria Math"/>
                </w:rPr>
                <m:t>1+g</m:t>
              </m:r>
            </m:e>
          </m:d>
          <m:r>
            <w:rPr>
              <w:rFonts w:ascii="Cambria Math" w:eastAsiaTheme="minorEastAsia" w:hAnsi="Cambria Math"/>
            </w:rPr>
            <m:t>=$0.84</m:t>
          </m:r>
          <m:d>
            <m:dPr>
              <m:ctrlPr>
                <w:rPr>
                  <w:rFonts w:ascii="Cambria Math" w:eastAsiaTheme="minorEastAsia" w:hAnsi="Cambria Math"/>
                  <w:i/>
                </w:rPr>
              </m:ctrlPr>
            </m:dPr>
            <m:e>
              <m:r>
                <w:rPr>
                  <w:rFonts w:ascii="Cambria Math" w:eastAsiaTheme="minorEastAsia" w:hAnsi="Cambria Math"/>
                </w:rPr>
                <m:t>1.0842</m:t>
              </m:r>
            </m:e>
          </m:d>
          <m:r>
            <w:rPr>
              <w:rFonts w:ascii="Cambria Math" w:eastAsiaTheme="minorEastAsia" w:hAnsi="Cambria Math"/>
            </w:rPr>
            <m:t>=$0.9107</m:t>
          </m:r>
        </m:oMath>
      </m:oMathPara>
    </w:p>
    <w:p w14:paraId="4B514EAB" w14:textId="77777777" w:rsidR="00B40799" w:rsidRDefault="00B40799" w:rsidP="00B40799">
      <w:pPr>
        <w:spacing w:after="0" w:line="240" w:lineRule="auto"/>
        <w:jc w:val="both"/>
        <w:rPr>
          <w:rFonts w:ascii="Bookman Old Style" w:eastAsiaTheme="minorEastAsia" w:hAnsi="Bookman Old Style"/>
        </w:rPr>
      </w:pPr>
    </w:p>
    <w:p w14:paraId="0943E4DF" w14:textId="67505C61" w:rsidR="00B40799" w:rsidRPr="00B40799" w:rsidRDefault="00B40799" w:rsidP="00B40799">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=$38.48</m:t>
          </m:r>
        </m:oMath>
      </m:oMathPara>
    </w:p>
    <w:p w14:paraId="5FD82754" w14:textId="77777777" w:rsidR="00B40799" w:rsidRDefault="00B40799" w:rsidP="00B40799">
      <w:pPr>
        <w:spacing w:after="0" w:line="240" w:lineRule="auto"/>
        <w:jc w:val="both"/>
        <w:rPr>
          <w:rFonts w:ascii="Bookman Old Style" w:eastAsiaTheme="minorEastAsia" w:hAnsi="Bookman Old Style"/>
        </w:rPr>
      </w:pPr>
    </w:p>
    <w:p w14:paraId="0269BD87" w14:textId="30D9575E" w:rsidR="00B40799" w:rsidRPr="00B40799" w:rsidRDefault="00B40799" w:rsidP="00B40799">
      <w:pPr>
        <w:spacing w:after="0" w:line="240" w:lineRule="auto"/>
        <w:jc w:val="both"/>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den>
          </m:f>
          <m:r>
            <w:rPr>
              <w:rFonts w:ascii="Cambria Math" w:eastAsiaTheme="minorEastAsia" w:hAnsi="Cambria Math"/>
            </w:rPr>
            <m:t>+g=</m:t>
          </m:r>
          <m:f>
            <m:fPr>
              <m:ctrlPr>
                <w:rPr>
                  <w:rFonts w:ascii="Cambria Math" w:eastAsiaTheme="minorEastAsia" w:hAnsi="Cambria Math"/>
                  <w:i/>
                </w:rPr>
              </m:ctrlPr>
            </m:fPr>
            <m:num>
              <m:r>
                <w:rPr>
                  <w:rFonts w:ascii="Cambria Math" w:eastAsiaTheme="minorEastAsia" w:hAnsi="Cambria Math"/>
                </w:rPr>
                <m:t>$0.9107</m:t>
              </m:r>
            </m:num>
            <m:den>
              <m:r>
                <w:rPr>
                  <w:rFonts w:ascii="Cambria Math" w:eastAsiaTheme="minorEastAsia" w:hAnsi="Cambria Math"/>
                </w:rPr>
                <m:t>$38.48</m:t>
              </m:r>
            </m:den>
          </m:f>
          <m:r>
            <w:rPr>
              <w:rFonts w:ascii="Cambria Math" w:eastAsiaTheme="minorEastAsia" w:hAnsi="Cambria Math"/>
            </w:rPr>
            <m:t>+0.0842=10.79%</m:t>
          </m:r>
        </m:oMath>
      </m:oMathPara>
    </w:p>
    <w:p w14:paraId="5A713D99" w14:textId="77777777" w:rsidR="00B40799" w:rsidRDefault="00B40799" w:rsidP="00B40799">
      <w:pPr>
        <w:spacing w:after="0" w:line="240" w:lineRule="auto"/>
        <w:jc w:val="both"/>
        <w:rPr>
          <w:rFonts w:ascii="Bookman Old Style" w:eastAsiaTheme="minorEastAsia" w:hAnsi="Bookman Old Style"/>
        </w:rPr>
      </w:pPr>
    </w:p>
    <w:p w14:paraId="4554F4B1" w14:textId="7C09332D"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Notice that the estimates for the cost of equity are quite different. Remember that each way of estimating the cost of equity relies on different assumptions, so different estimates of the cost of equity shouldn’t surprise us.</w:t>
      </w:r>
    </w:p>
    <w:p w14:paraId="54312299" w14:textId="77777777" w:rsidR="00B40799" w:rsidRDefault="00B40799" w:rsidP="00B40799">
      <w:pPr>
        <w:spacing w:after="0" w:line="240" w:lineRule="auto"/>
        <w:jc w:val="both"/>
        <w:rPr>
          <w:rFonts w:ascii="Bookman Old Style" w:eastAsiaTheme="minorEastAsia" w:hAnsi="Bookman Old Style"/>
        </w:rPr>
      </w:pPr>
    </w:p>
    <w:p w14:paraId="25CF2EB0" w14:textId="1B4906DD"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t>Remember we said earlier that the CAPM estimate follows best practices and that the Dividend Growth Model can be used as a reality check. In this case, the CAPM estimate seems rather low. One reasonable approach would be to make a subjective adjustment to the CAPM estimate increasing it by half a percentage point to 6.8%</w:t>
      </w:r>
    </w:p>
    <w:p w14:paraId="7A229207" w14:textId="77777777" w:rsidR="00B40799" w:rsidRDefault="00B40799" w:rsidP="00B40799">
      <w:pPr>
        <w:spacing w:after="0" w:line="240" w:lineRule="auto"/>
        <w:jc w:val="both"/>
        <w:rPr>
          <w:rFonts w:ascii="Bookman Old Style" w:eastAsiaTheme="minorEastAsia" w:hAnsi="Bookman Old Style"/>
        </w:rPr>
      </w:pPr>
    </w:p>
    <w:p w14:paraId="5B990A8D" w14:textId="18E39323"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t>Since this seems like a reasonable number, we’ll use it in calculating the cost of equity in this example.</w:t>
      </w:r>
    </w:p>
    <w:p w14:paraId="537DB708" w14:textId="77777777" w:rsidR="00B40799" w:rsidRDefault="00B40799" w:rsidP="00B40799">
      <w:pPr>
        <w:spacing w:after="0" w:line="240" w:lineRule="auto"/>
        <w:jc w:val="both"/>
        <w:rPr>
          <w:rFonts w:ascii="Bookman Old Style" w:eastAsiaTheme="minorEastAsia" w:hAnsi="Bookman Old Style"/>
        </w:rPr>
      </w:pPr>
    </w:p>
    <w:p w14:paraId="6D906866" w14:textId="77777777" w:rsidR="00B40799" w:rsidRDefault="00B40799" w:rsidP="00B40799">
      <w:pPr>
        <w:spacing w:after="0" w:line="240" w:lineRule="auto"/>
        <w:jc w:val="both"/>
        <w:rPr>
          <w:rFonts w:ascii="Bookman Old Style" w:eastAsiaTheme="minorEastAsia" w:hAnsi="Bookman Old Style"/>
        </w:rPr>
      </w:pPr>
    </w:p>
    <w:p w14:paraId="58020438" w14:textId="4A2FE194"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b/>
          <w:u w:val="single"/>
        </w:rPr>
        <w:t>LOBLAW’S WACC</w:t>
      </w:r>
    </w:p>
    <w:p w14:paraId="29EDC4C2" w14:textId="60BC7CF7"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t>To find the weighted average cost of capital, we weight the cost of each source by the weights:</w:t>
      </w:r>
    </w:p>
    <w:p w14:paraId="1279ABB2" w14:textId="77777777" w:rsidR="00B40799" w:rsidRDefault="00B40799" w:rsidP="00B40799">
      <w:pPr>
        <w:spacing w:after="0" w:line="240" w:lineRule="auto"/>
        <w:jc w:val="both"/>
        <w:rPr>
          <w:rFonts w:ascii="Bookman Old Style" w:eastAsiaTheme="minorEastAsia" w:hAnsi="Bookman Old Style"/>
        </w:rPr>
      </w:pPr>
    </w:p>
    <w:p w14:paraId="3A12FD80" w14:textId="57CFB597" w:rsidR="00B40799" w:rsidRPr="00B40799" w:rsidRDefault="00B40799" w:rsidP="00B40799">
      <w:pPr>
        <w:spacing w:after="0" w:line="240" w:lineRule="auto"/>
        <w:jc w:val="both"/>
        <w:rPr>
          <w:rFonts w:ascii="Bookman Old Style" w:eastAsiaTheme="minorEastAsia" w:hAnsi="Bookman Old Style"/>
        </w:rPr>
      </w:pPr>
      <m:oMathPara>
        <m:oMath>
          <m:r>
            <w:rPr>
              <w:rFonts w:ascii="Cambria Math" w:eastAsiaTheme="minorEastAsia" w:hAnsi="Cambria Math"/>
            </w:rPr>
            <m:t>WACC=</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E</m:t>
                  </m:r>
                </m:num>
                <m:den>
                  <m:r>
                    <w:rPr>
                      <w:rFonts w:ascii="Cambria Math" w:eastAsiaTheme="minorEastAsia" w:hAnsi="Cambria Math"/>
                    </w:rPr>
                    <m:t>V</m:t>
                  </m:r>
                </m:den>
              </m:f>
            </m:e>
          </m:d>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V</m:t>
                  </m:r>
                </m:den>
              </m:f>
            </m:e>
          </m:d>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m:t>
                      </m:r>
                    </m:sub>
                  </m:sSub>
                </m:num>
                <m:den>
                  <m:r>
                    <w:rPr>
                      <w:rFonts w:ascii="Cambria Math" w:eastAsiaTheme="minorEastAsia" w:hAnsi="Cambria Math"/>
                    </w:rPr>
                    <m:t>V</m:t>
                  </m:r>
                </m:den>
              </m:f>
            </m:e>
          </m:d>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oMath>
      </m:oMathPara>
    </w:p>
    <w:p w14:paraId="155D997B" w14:textId="6188ED2A" w:rsidR="00B40799" w:rsidRDefault="00B40799" w:rsidP="00B40799">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2D5B3CA" w14:textId="159463E8" w:rsidR="00B40799" w:rsidRPr="00B40799" w:rsidRDefault="00B40799" w:rsidP="00B40799">
      <w:pPr>
        <w:spacing w:after="0" w:line="240" w:lineRule="auto"/>
        <w:jc w:val="both"/>
        <w:rPr>
          <w:rFonts w:ascii="Bookman Old Style" w:eastAsiaTheme="minorEastAsia" w:hAnsi="Bookman Old Style"/>
        </w:rPr>
      </w:pPr>
      <m:oMathPara>
        <m:oMath>
          <m:r>
            <w:rPr>
              <w:rFonts w:ascii="Cambria Math" w:eastAsiaTheme="minorEastAsia" w:hAnsi="Cambria Math"/>
            </w:rPr>
            <m:t>0.70</m:t>
          </m:r>
          <m:d>
            <m:dPr>
              <m:ctrlPr>
                <w:rPr>
                  <w:rFonts w:ascii="Cambria Math" w:eastAsiaTheme="minorEastAsia" w:hAnsi="Cambria Math"/>
                  <w:i/>
                </w:rPr>
              </m:ctrlPr>
            </m:dPr>
            <m:e>
              <m:r>
                <w:rPr>
                  <w:rFonts w:ascii="Cambria Math" w:eastAsiaTheme="minorEastAsia" w:hAnsi="Cambria Math"/>
                </w:rPr>
                <m:t>6.80%</m:t>
              </m:r>
            </m:e>
          </m:d>
          <m:r>
            <w:rPr>
              <w:rFonts w:ascii="Cambria Math" w:eastAsiaTheme="minorEastAsia" w:hAnsi="Cambria Math"/>
            </w:rPr>
            <m:t>+0.0160</m:t>
          </m:r>
          <m:d>
            <m:dPr>
              <m:ctrlPr>
                <w:rPr>
                  <w:rFonts w:ascii="Cambria Math" w:eastAsiaTheme="minorEastAsia" w:hAnsi="Cambria Math"/>
                  <w:i/>
                </w:rPr>
              </m:ctrlPr>
            </m:dPr>
            <m:e>
              <m:r>
                <w:rPr>
                  <w:rFonts w:ascii="Cambria Math" w:eastAsiaTheme="minorEastAsia" w:hAnsi="Cambria Math"/>
                </w:rPr>
                <m:t>5.597%</m:t>
              </m:r>
            </m:e>
          </m:d>
          <m:r>
            <w:rPr>
              <w:rFonts w:ascii="Cambria Math" w:eastAsiaTheme="minorEastAsia" w:hAnsi="Cambria Math"/>
            </w:rPr>
            <m:t>+0.2840(3.08%=5.72%</m:t>
          </m:r>
        </m:oMath>
      </m:oMathPara>
    </w:p>
    <w:p w14:paraId="4CB39E78" w14:textId="77777777" w:rsidR="00B40799" w:rsidRDefault="00B40799" w:rsidP="00B40799">
      <w:pPr>
        <w:spacing w:after="0" w:line="240" w:lineRule="auto"/>
        <w:jc w:val="both"/>
        <w:rPr>
          <w:rFonts w:ascii="Bookman Old Style" w:eastAsiaTheme="minorEastAsia" w:hAnsi="Bookman Old Style"/>
        </w:rPr>
      </w:pPr>
    </w:p>
    <w:p w14:paraId="21D3313F" w14:textId="5C50A2D7" w:rsidR="00B40799" w:rsidRDefault="00B40799" w:rsidP="00B40799">
      <w:pPr>
        <w:spacing w:after="0" w:line="240" w:lineRule="auto"/>
        <w:jc w:val="both"/>
        <w:rPr>
          <w:rFonts w:ascii="Bookman Old Style" w:eastAsiaTheme="minorEastAsia" w:hAnsi="Bookman Old Style"/>
        </w:rPr>
      </w:pPr>
      <w:r>
        <w:rPr>
          <w:rFonts w:ascii="Bookman Old Style" w:eastAsiaTheme="minorEastAsia" w:hAnsi="Bookman Old Style"/>
        </w:rPr>
        <w:t>Our analysis shows that in May 2012 Loblaw’s weighted average cost of capital was 5.72%</w:t>
      </w:r>
    </w:p>
    <w:p w14:paraId="4BFA4C5E" w14:textId="77777777" w:rsidR="00B40799" w:rsidRDefault="00B40799" w:rsidP="00B40799">
      <w:pPr>
        <w:spacing w:after="0" w:line="240" w:lineRule="auto"/>
        <w:jc w:val="both"/>
        <w:rPr>
          <w:rFonts w:ascii="Bookman Old Style" w:eastAsiaTheme="minorEastAsia" w:hAnsi="Bookman Old Style"/>
        </w:rPr>
      </w:pPr>
    </w:p>
    <w:p w14:paraId="1C83F324" w14:textId="77777777" w:rsidR="00B40799" w:rsidRPr="00B40799" w:rsidRDefault="00B40799" w:rsidP="00B40799">
      <w:pPr>
        <w:spacing w:after="0" w:line="240" w:lineRule="auto"/>
        <w:jc w:val="both"/>
        <w:rPr>
          <w:rFonts w:ascii="Bookman Old Style" w:eastAsiaTheme="minorEastAsia" w:hAnsi="Bookman Old Style"/>
        </w:rPr>
      </w:pPr>
    </w:p>
    <w:sectPr w:rsidR="00B40799" w:rsidRPr="00B407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06F"/>
    <w:multiLevelType w:val="hybridMultilevel"/>
    <w:tmpl w:val="1194C09A"/>
    <w:lvl w:ilvl="0" w:tplc="BF047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14158C"/>
    <w:multiLevelType w:val="hybridMultilevel"/>
    <w:tmpl w:val="D2521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760E6"/>
    <w:multiLevelType w:val="hybridMultilevel"/>
    <w:tmpl w:val="FD5C4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08294F"/>
    <w:multiLevelType w:val="hybridMultilevel"/>
    <w:tmpl w:val="45CC19E8"/>
    <w:lvl w:ilvl="0" w:tplc="17B4B25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200768"/>
    <w:multiLevelType w:val="hybridMultilevel"/>
    <w:tmpl w:val="8C42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92947"/>
    <w:multiLevelType w:val="hybridMultilevel"/>
    <w:tmpl w:val="72E661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8149ED"/>
    <w:multiLevelType w:val="hybridMultilevel"/>
    <w:tmpl w:val="DBDC2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2D1E46"/>
    <w:multiLevelType w:val="hybridMultilevel"/>
    <w:tmpl w:val="11E24E6E"/>
    <w:lvl w:ilvl="0" w:tplc="13E6AB4C">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734C49"/>
    <w:multiLevelType w:val="hybridMultilevel"/>
    <w:tmpl w:val="BA9EE0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3E07C5"/>
    <w:multiLevelType w:val="hybridMultilevel"/>
    <w:tmpl w:val="D0B68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E62BF3"/>
    <w:multiLevelType w:val="hybridMultilevel"/>
    <w:tmpl w:val="6ED8D366"/>
    <w:lvl w:ilvl="0" w:tplc="00E23CBC">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4"/>
  </w:num>
  <w:num w:numId="4">
    <w:abstractNumId w:val="0"/>
  </w:num>
  <w:num w:numId="5">
    <w:abstractNumId w:val="9"/>
  </w:num>
  <w:num w:numId="6">
    <w:abstractNumId w:val="2"/>
  </w:num>
  <w:num w:numId="7">
    <w:abstractNumId w:val="5"/>
  </w:num>
  <w:num w:numId="8">
    <w:abstractNumId w:val="6"/>
  </w:num>
  <w:num w:numId="9">
    <w:abstractNumId w:val="8"/>
  </w:num>
  <w:num w:numId="10">
    <w:abstractNumId w:val="3"/>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137D6"/>
    <w:rsid w:val="00021D09"/>
    <w:rsid w:val="00030B77"/>
    <w:rsid w:val="00030B87"/>
    <w:rsid w:val="00030EDF"/>
    <w:rsid w:val="00043B35"/>
    <w:rsid w:val="000450B2"/>
    <w:rsid w:val="0004552A"/>
    <w:rsid w:val="00050D96"/>
    <w:rsid w:val="00053932"/>
    <w:rsid w:val="00056D38"/>
    <w:rsid w:val="000715A0"/>
    <w:rsid w:val="000743C1"/>
    <w:rsid w:val="00082014"/>
    <w:rsid w:val="00085AF7"/>
    <w:rsid w:val="000865CA"/>
    <w:rsid w:val="000867BD"/>
    <w:rsid w:val="000918BC"/>
    <w:rsid w:val="00095171"/>
    <w:rsid w:val="000A0BDB"/>
    <w:rsid w:val="000B5BD5"/>
    <w:rsid w:val="000C7F7A"/>
    <w:rsid w:val="000D3D37"/>
    <w:rsid w:val="000D64B9"/>
    <w:rsid w:val="000E7341"/>
    <w:rsid w:val="000F2146"/>
    <w:rsid w:val="000F45ED"/>
    <w:rsid w:val="00112CB0"/>
    <w:rsid w:val="00127CD6"/>
    <w:rsid w:val="00130014"/>
    <w:rsid w:val="00135DCA"/>
    <w:rsid w:val="00136A1D"/>
    <w:rsid w:val="00150FCD"/>
    <w:rsid w:val="00160779"/>
    <w:rsid w:val="0016127D"/>
    <w:rsid w:val="00162A97"/>
    <w:rsid w:val="00166C75"/>
    <w:rsid w:val="0017434D"/>
    <w:rsid w:val="00177B23"/>
    <w:rsid w:val="001801B4"/>
    <w:rsid w:val="00181087"/>
    <w:rsid w:val="001840EF"/>
    <w:rsid w:val="0019279C"/>
    <w:rsid w:val="001935C9"/>
    <w:rsid w:val="0019430A"/>
    <w:rsid w:val="001A2702"/>
    <w:rsid w:val="001A39CF"/>
    <w:rsid w:val="001A7861"/>
    <w:rsid w:val="001A7CB7"/>
    <w:rsid w:val="001B27A2"/>
    <w:rsid w:val="001B52F6"/>
    <w:rsid w:val="001C5003"/>
    <w:rsid w:val="001D0501"/>
    <w:rsid w:val="001D31E8"/>
    <w:rsid w:val="001E2C6E"/>
    <w:rsid w:val="001E31A6"/>
    <w:rsid w:val="001E34FB"/>
    <w:rsid w:val="001E3ECC"/>
    <w:rsid w:val="001F79F8"/>
    <w:rsid w:val="00206244"/>
    <w:rsid w:val="002146E2"/>
    <w:rsid w:val="00225C8F"/>
    <w:rsid w:val="00227792"/>
    <w:rsid w:val="00231906"/>
    <w:rsid w:val="0023262C"/>
    <w:rsid w:val="00241C2C"/>
    <w:rsid w:val="00261752"/>
    <w:rsid w:val="00263D28"/>
    <w:rsid w:val="00274AF5"/>
    <w:rsid w:val="00286AC7"/>
    <w:rsid w:val="00296DFF"/>
    <w:rsid w:val="002A38C3"/>
    <w:rsid w:val="002A6A13"/>
    <w:rsid w:val="002B2D30"/>
    <w:rsid w:val="002B4C00"/>
    <w:rsid w:val="002B5431"/>
    <w:rsid w:val="002C317F"/>
    <w:rsid w:val="002C3191"/>
    <w:rsid w:val="002D045E"/>
    <w:rsid w:val="002D6249"/>
    <w:rsid w:val="002E6628"/>
    <w:rsid w:val="002F5B54"/>
    <w:rsid w:val="00304098"/>
    <w:rsid w:val="003206F4"/>
    <w:rsid w:val="00322B52"/>
    <w:rsid w:val="00324282"/>
    <w:rsid w:val="003262D8"/>
    <w:rsid w:val="003364A3"/>
    <w:rsid w:val="00345D0F"/>
    <w:rsid w:val="003555E1"/>
    <w:rsid w:val="0035742F"/>
    <w:rsid w:val="00362538"/>
    <w:rsid w:val="0038081B"/>
    <w:rsid w:val="003869E2"/>
    <w:rsid w:val="003C6440"/>
    <w:rsid w:val="003D0CE8"/>
    <w:rsid w:val="003D2B36"/>
    <w:rsid w:val="003D6F63"/>
    <w:rsid w:val="003E04C0"/>
    <w:rsid w:val="003E4309"/>
    <w:rsid w:val="003E653F"/>
    <w:rsid w:val="003F7150"/>
    <w:rsid w:val="003F7226"/>
    <w:rsid w:val="00407E05"/>
    <w:rsid w:val="00407F62"/>
    <w:rsid w:val="00420F88"/>
    <w:rsid w:val="0043637F"/>
    <w:rsid w:val="00443711"/>
    <w:rsid w:val="00451EAF"/>
    <w:rsid w:val="00456C34"/>
    <w:rsid w:val="00457F0C"/>
    <w:rsid w:val="00475D59"/>
    <w:rsid w:val="004921A1"/>
    <w:rsid w:val="004942A8"/>
    <w:rsid w:val="0049782B"/>
    <w:rsid w:val="004A0E2C"/>
    <w:rsid w:val="004C5574"/>
    <w:rsid w:val="004D0503"/>
    <w:rsid w:val="004D39A1"/>
    <w:rsid w:val="004D5709"/>
    <w:rsid w:val="004E052C"/>
    <w:rsid w:val="004E3BC3"/>
    <w:rsid w:val="004E6F43"/>
    <w:rsid w:val="0051134C"/>
    <w:rsid w:val="00521234"/>
    <w:rsid w:val="00522293"/>
    <w:rsid w:val="00522542"/>
    <w:rsid w:val="00527F68"/>
    <w:rsid w:val="00531FE5"/>
    <w:rsid w:val="005451CD"/>
    <w:rsid w:val="00552AF2"/>
    <w:rsid w:val="00553BED"/>
    <w:rsid w:val="00562B40"/>
    <w:rsid w:val="005665D0"/>
    <w:rsid w:val="0056739B"/>
    <w:rsid w:val="005712A7"/>
    <w:rsid w:val="00572648"/>
    <w:rsid w:val="00573B12"/>
    <w:rsid w:val="005823C2"/>
    <w:rsid w:val="0058397F"/>
    <w:rsid w:val="005840DD"/>
    <w:rsid w:val="00587348"/>
    <w:rsid w:val="00592B18"/>
    <w:rsid w:val="005A4019"/>
    <w:rsid w:val="005A71F2"/>
    <w:rsid w:val="005B6F9F"/>
    <w:rsid w:val="005C42E6"/>
    <w:rsid w:val="005C4C23"/>
    <w:rsid w:val="005D2064"/>
    <w:rsid w:val="005E2395"/>
    <w:rsid w:val="005F4DAF"/>
    <w:rsid w:val="005F5770"/>
    <w:rsid w:val="0060310B"/>
    <w:rsid w:val="00603F3D"/>
    <w:rsid w:val="00615A12"/>
    <w:rsid w:val="00643A83"/>
    <w:rsid w:val="00644DAF"/>
    <w:rsid w:val="00647AC5"/>
    <w:rsid w:val="00665A61"/>
    <w:rsid w:val="00666B7D"/>
    <w:rsid w:val="00671272"/>
    <w:rsid w:val="00673661"/>
    <w:rsid w:val="00673DA7"/>
    <w:rsid w:val="00675943"/>
    <w:rsid w:val="00676320"/>
    <w:rsid w:val="0069482C"/>
    <w:rsid w:val="006978AE"/>
    <w:rsid w:val="006A0CDF"/>
    <w:rsid w:val="006A2427"/>
    <w:rsid w:val="006A47F6"/>
    <w:rsid w:val="006A565F"/>
    <w:rsid w:val="006B1FD6"/>
    <w:rsid w:val="006B6EB7"/>
    <w:rsid w:val="006C2882"/>
    <w:rsid w:val="006E2B76"/>
    <w:rsid w:val="006F2196"/>
    <w:rsid w:val="006F2D3A"/>
    <w:rsid w:val="006F3F5D"/>
    <w:rsid w:val="00710DDB"/>
    <w:rsid w:val="00712E8C"/>
    <w:rsid w:val="00715D30"/>
    <w:rsid w:val="007214D7"/>
    <w:rsid w:val="00722018"/>
    <w:rsid w:val="00726E8B"/>
    <w:rsid w:val="00731A20"/>
    <w:rsid w:val="0074421F"/>
    <w:rsid w:val="00751599"/>
    <w:rsid w:val="00756F18"/>
    <w:rsid w:val="007570C0"/>
    <w:rsid w:val="0078016B"/>
    <w:rsid w:val="00781219"/>
    <w:rsid w:val="007856EA"/>
    <w:rsid w:val="00786345"/>
    <w:rsid w:val="00795FC1"/>
    <w:rsid w:val="007978EB"/>
    <w:rsid w:val="007A04F2"/>
    <w:rsid w:val="007A0EA4"/>
    <w:rsid w:val="007A3069"/>
    <w:rsid w:val="007A6FF0"/>
    <w:rsid w:val="007B0572"/>
    <w:rsid w:val="007C309D"/>
    <w:rsid w:val="007C4295"/>
    <w:rsid w:val="007C52C9"/>
    <w:rsid w:val="007C7CDA"/>
    <w:rsid w:val="007D2311"/>
    <w:rsid w:val="007E2AB7"/>
    <w:rsid w:val="007E369A"/>
    <w:rsid w:val="007F08FF"/>
    <w:rsid w:val="008001CA"/>
    <w:rsid w:val="00804768"/>
    <w:rsid w:val="00804DBB"/>
    <w:rsid w:val="00805586"/>
    <w:rsid w:val="00805926"/>
    <w:rsid w:val="008120BC"/>
    <w:rsid w:val="00820988"/>
    <w:rsid w:val="00822249"/>
    <w:rsid w:val="008250CD"/>
    <w:rsid w:val="00830328"/>
    <w:rsid w:val="0083090D"/>
    <w:rsid w:val="00837A05"/>
    <w:rsid w:val="008419A3"/>
    <w:rsid w:val="008436B7"/>
    <w:rsid w:val="008530A3"/>
    <w:rsid w:val="00884F6B"/>
    <w:rsid w:val="0089276B"/>
    <w:rsid w:val="008A171A"/>
    <w:rsid w:val="008A2F17"/>
    <w:rsid w:val="008A7F56"/>
    <w:rsid w:val="008B2607"/>
    <w:rsid w:val="008B3149"/>
    <w:rsid w:val="008B6189"/>
    <w:rsid w:val="008B725D"/>
    <w:rsid w:val="008C2B41"/>
    <w:rsid w:val="008C379C"/>
    <w:rsid w:val="008C3D84"/>
    <w:rsid w:val="008D6A64"/>
    <w:rsid w:val="008E09D1"/>
    <w:rsid w:val="00902983"/>
    <w:rsid w:val="00904467"/>
    <w:rsid w:val="00916ED4"/>
    <w:rsid w:val="00922519"/>
    <w:rsid w:val="00922B24"/>
    <w:rsid w:val="00923D8E"/>
    <w:rsid w:val="0092457E"/>
    <w:rsid w:val="00930F34"/>
    <w:rsid w:val="00930FB5"/>
    <w:rsid w:val="009310A1"/>
    <w:rsid w:val="00934F38"/>
    <w:rsid w:val="00936ACD"/>
    <w:rsid w:val="00943FD5"/>
    <w:rsid w:val="00945DB5"/>
    <w:rsid w:val="00950CCD"/>
    <w:rsid w:val="009550BA"/>
    <w:rsid w:val="0095640A"/>
    <w:rsid w:val="00960D1F"/>
    <w:rsid w:val="00964B18"/>
    <w:rsid w:val="00971525"/>
    <w:rsid w:val="009738EB"/>
    <w:rsid w:val="009A78B3"/>
    <w:rsid w:val="009B4EAC"/>
    <w:rsid w:val="009C2F80"/>
    <w:rsid w:val="009C39D2"/>
    <w:rsid w:val="009C4033"/>
    <w:rsid w:val="009D3DFC"/>
    <w:rsid w:val="009D467B"/>
    <w:rsid w:val="009D577E"/>
    <w:rsid w:val="009E10A1"/>
    <w:rsid w:val="009E28C1"/>
    <w:rsid w:val="009E36DC"/>
    <w:rsid w:val="009F19BF"/>
    <w:rsid w:val="009F51FE"/>
    <w:rsid w:val="00A00559"/>
    <w:rsid w:val="00A1012D"/>
    <w:rsid w:val="00A12228"/>
    <w:rsid w:val="00A1310B"/>
    <w:rsid w:val="00A2567D"/>
    <w:rsid w:val="00A259F7"/>
    <w:rsid w:val="00A67530"/>
    <w:rsid w:val="00A75A0E"/>
    <w:rsid w:val="00A762F1"/>
    <w:rsid w:val="00A77EDF"/>
    <w:rsid w:val="00A83AA1"/>
    <w:rsid w:val="00A84BCD"/>
    <w:rsid w:val="00A86709"/>
    <w:rsid w:val="00A911EA"/>
    <w:rsid w:val="00A92B06"/>
    <w:rsid w:val="00A9723A"/>
    <w:rsid w:val="00AA211D"/>
    <w:rsid w:val="00AA5EC6"/>
    <w:rsid w:val="00AB63EC"/>
    <w:rsid w:val="00AC1BF3"/>
    <w:rsid w:val="00AD0DAE"/>
    <w:rsid w:val="00AE06E8"/>
    <w:rsid w:val="00AE730F"/>
    <w:rsid w:val="00AF0166"/>
    <w:rsid w:val="00AF0A0A"/>
    <w:rsid w:val="00B160A1"/>
    <w:rsid w:val="00B20672"/>
    <w:rsid w:val="00B20CFD"/>
    <w:rsid w:val="00B22003"/>
    <w:rsid w:val="00B25518"/>
    <w:rsid w:val="00B265B1"/>
    <w:rsid w:val="00B2707B"/>
    <w:rsid w:val="00B279DF"/>
    <w:rsid w:val="00B27B9D"/>
    <w:rsid w:val="00B34929"/>
    <w:rsid w:val="00B40799"/>
    <w:rsid w:val="00B42ADB"/>
    <w:rsid w:val="00B54FDE"/>
    <w:rsid w:val="00B617A6"/>
    <w:rsid w:val="00B66019"/>
    <w:rsid w:val="00B72C33"/>
    <w:rsid w:val="00B86ED0"/>
    <w:rsid w:val="00BA5DD9"/>
    <w:rsid w:val="00BD1B17"/>
    <w:rsid w:val="00BD25CE"/>
    <w:rsid w:val="00BD431F"/>
    <w:rsid w:val="00BD659F"/>
    <w:rsid w:val="00BE311A"/>
    <w:rsid w:val="00BF01B4"/>
    <w:rsid w:val="00C17ADF"/>
    <w:rsid w:val="00C22463"/>
    <w:rsid w:val="00C320E5"/>
    <w:rsid w:val="00C34AC7"/>
    <w:rsid w:val="00C403EB"/>
    <w:rsid w:val="00C43310"/>
    <w:rsid w:val="00C44ED8"/>
    <w:rsid w:val="00C52295"/>
    <w:rsid w:val="00C53E29"/>
    <w:rsid w:val="00C57114"/>
    <w:rsid w:val="00C57D93"/>
    <w:rsid w:val="00C60BAC"/>
    <w:rsid w:val="00C628DD"/>
    <w:rsid w:val="00C63B7C"/>
    <w:rsid w:val="00C70671"/>
    <w:rsid w:val="00C70A72"/>
    <w:rsid w:val="00C70AF4"/>
    <w:rsid w:val="00C84978"/>
    <w:rsid w:val="00C8735E"/>
    <w:rsid w:val="00C92D81"/>
    <w:rsid w:val="00CC3FB6"/>
    <w:rsid w:val="00CD595C"/>
    <w:rsid w:val="00CD75D5"/>
    <w:rsid w:val="00CE29FC"/>
    <w:rsid w:val="00CE65C0"/>
    <w:rsid w:val="00CE7F30"/>
    <w:rsid w:val="00CF1C67"/>
    <w:rsid w:val="00CF32D5"/>
    <w:rsid w:val="00CF48DB"/>
    <w:rsid w:val="00CF64CB"/>
    <w:rsid w:val="00D06B9C"/>
    <w:rsid w:val="00D158E7"/>
    <w:rsid w:val="00D15BD4"/>
    <w:rsid w:val="00D22728"/>
    <w:rsid w:val="00D25143"/>
    <w:rsid w:val="00D35666"/>
    <w:rsid w:val="00D45477"/>
    <w:rsid w:val="00D513CA"/>
    <w:rsid w:val="00D54E35"/>
    <w:rsid w:val="00D55EFD"/>
    <w:rsid w:val="00D63CE9"/>
    <w:rsid w:val="00D679B9"/>
    <w:rsid w:val="00D70209"/>
    <w:rsid w:val="00D778FD"/>
    <w:rsid w:val="00D841D7"/>
    <w:rsid w:val="00D97540"/>
    <w:rsid w:val="00D97605"/>
    <w:rsid w:val="00DA121F"/>
    <w:rsid w:val="00DA129F"/>
    <w:rsid w:val="00DA23ED"/>
    <w:rsid w:val="00DB24DA"/>
    <w:rsid w:val="00DB6316"/>
    <w:rsid w:val="00DC229A"/>
    <w:rsid w:val="00DD6984"/>
    <w:rsid w:val="00DE20DE"/>
    <w:rsid w:val="00DF1ED5"/>
    <w:rsid w:val="00DF3A11"/>
    <w:rsid w:val="00DF6019"/>
    <w:rsid w:val="00E1518E"/>
    <w:rsid w:val="00E322B3"/>
    <w:rsid w:val="00E34781"/>
    <w:rsid w:val="00E373BB"/>
    <w:rsid w:val="00E4627E"/>
    <w:rsid w:val="00E47DCF"/>
    <w:rsid w:val="00E516AC"/>
    <w:rsid w:val="00E63F39"/>
    <w:rsid w:val="00E741F7"/>
    <w:rsid w:val="00E74969"/>
    <w:rsid w:val="00E75DE2"/>
    <w:rsid w:val="00E75F37"/>
    <w:rsid w:val="00E80091"/>
    <w:rsid w:val="00E8143D"/>
    <w:rsid w:val="00E83A2B"/>
    <w:rsid w:val="00E92D36"/>
    <w:rsid w:val="00E93778"/>
    <w:rsid w:val="00EA3BAF"/>
    <w:rsid w:val="00EB3231"/>
    <w:rsid w:val="00EB615E"/>
    <w:rsid w:val="00EB7A27"/>
    <w:rsid w:val="00EC5838"/>
    <w:rsid w:val="00EC7C59"/>
    <w:rsid w:val="00ED085F"/>
    <w:rsid w:val="00ED2503"/>
    <w:rsid w:val="00EE09D2"/>
    <w:rsid w:val="00EE2BDE"/>
    <w:rsid w:val="00EF5712"/>
    <w:rsid w:val="00EF6336"/>
    <w:rsid w:val="00EF7FCA"/>
    <w:rsid w:val="00F06AED"/>
    <w:rsid w:val="00F23F38"/>
    <w:rsid w:val="00F25DB5"/>
    <w:rsid w:val="00F44E50"/>
    <w:rsid w:val="00F65B22"/>
    <w:rsid w:val="00F66B97"/>
    <w:rsid w:val="00F70134"/>
    <w:rsid w:val="00F83EAA"/>
    <w:rsid w:val="00FA1E01"/>
    <w:rsid w:val="00FA28AC"/>
    <w:rsid w:val="00FA6EA6"/>
    <w:rsid w:val="00FB1659"/>
    <w:rsid w:val="00FB2029"/>
    <w:rsid w:val="00FB3790"/>
    <w:rsid w:val="00FC67C8"/>
    <w:rsid w:val="00FE4594"/>
    <w:rsid w:val="00FE46F6"/>
    <w:rsid w:val="00FE5350"/>
    <w:rsid w:val="00FE73AB"/>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40970">
      <w:bodyDiv w:val="1"/>
      <w:marLeft w:val="0"/>
      <w:marRight w:val="0"/>
      <w:marTop w:val="0"/>
      <w:marBottom w:val="0"/>
      <w:divBdr>
        <w:top w:val="none" w:sz="0" w:space="0" w:color="auto"/>
        <w:left w:val="none" w:sz="0" w:space="0" w:color="auto"/>
        <w:bottom w:val="none" w:sz="0" w:space="0" w:color="auto"/>
        <w:right w:val="none" w:sz="0" w:space="0" w:color="auto"/>
      </w:divBdr>
    </w:div>
    <w:div w:id="3541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86FDA-5D38-4F8D-AAA8-2A760D6A3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6962</Words>
  <Characters>39686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2</cp:revision>
  <dcterms:created xsi:type="dcterms:W3CDTF">2014-11-14T19:40:00Z</dcterms:created>
  <dcterms:modified xsi:type="dcterms:W3CDTF">2014-11-14T19:40:00Z</dcterms:modified>
</cp:coreProperties>
</file>