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6E66DCC9" w:rsidR="00043B35" w:rsidRDefault="00D35666" w:rsidP="00804DBB">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241C2C">
        <w:rPr>
          <w:rFonts w:ascii="Bookman Old Style" w:hAnsi="Bookman Old Style"/>
          <w:b/>
          <w:sz w:val="24"/>
          <w:u w:val="single"/>
        </w:rPr>
        <w:t>12</w:t>
      </w:r>
    </w:p>
    <w:p w14:paraId="4503D167" w14:textId="1F63AB41" w:rsidR="00552AF2" w:rsidRDefault="00241C2C" w:rsidP="00804DBB">
      <w:pPr>
        <w:spacing w:after="0" w:line="240" w:lineRule="auto"/>
        <w:contextualSpacing/>
        <w:jc w:val="center"/>
        <w:rPr>
          <w:rFonts w:ascii="Bookman Old Style" w:hAnsi="Bookman Old Style"/>
          <w:b/>
          <w:sz w:val="24"/>
          <w:u w:val="single"/>
        </w:rPr>
      </w:pPr>
      <w:r>
        <w:rPr>
          <w:rFonts w:ascii="Bookman Old Style" w:hAnsi="Bookman Old Style"/>
          <w:b/>
          <w:sz w:val="24"/>
          <w:u w:val="single"/>
        </w:rPr>
        <w:t>Risk &amp; Return I</w:t>
      </w:r>
    </w:p>
    <w:p w14:paraId="4DAD8FCA" w14:textId="77777777" w:rsidR="00241C2C" w:rsidRDefault="00241C2C" w:rsidP="00804DBB">
      <w:pPr>
        <w:spacing w:after="0" w:line="240" w:lineRule="auto"/>
        <w:contextualSpacing/>
        <w:jc w:val="center"/>
        <w:rPr>
          <w:rFonts w:ascii="Bookman Old Style" w:hAnsi="Bookman Old Style"/>
          <w:b/>
          <w:sz w:val="24"/>
          <w:u w:val="single"/>
        </w:rPr>
      </w:pPr>
    </w:p>
    <w:p w14:paraId="1672148C" w14:textId="191FFC23" w:rsidR="00241C2C" w:rsidRDefault="00206244" w:rsidP="00804DBB">
      <w:pPr>
        <w:spacing w:after="0" w:line="240" w:lineRule="auto"/>
        <w:contextualSpacing/>
        <w:jc w:val="both"/>
        <w:rPr>
          <w:rFonts w:ascii="Bookman Old Style" w:hAnsi="Bookman Old Style"/>
        </w:rPr>
      </w:pPr>
      <w:r w:rsidRPr="00206244">
        <w:rPr>
          <w:rFonts w:ascii="Bookman Old Style" w:hAnsi="Bookman Old Style"/>
        </w:rPr>
        <w:t>What de</w:t>
      </w:r>
      <w:r>
        <w:rPr>
          <w:rFonts w:ascii="Bookman Old Style" w:hAnsi="Bookman Old Style"/>
        </w:rPr>
        <w:t xml:space="preserve">termines the required rate of return on an investment? Simply put, the required return depends on the </w:t>
      </w:r>
      <w:r w:rsidRPr="00206244">
        <w:rPr>
          <w:rFonts w:ascii="Bookman Old Style" w:hAnsi="Bookman Old Style"/>
          <w:b/>
          <w:i/>
        </w:rPr>
        <w:t>risk</w:t>
      </w:r>
      <w:r>
        <w:rPr>
          <w:rFonts w:ascii="Bookman Old Style" w:hAnsi="Bookman Old Style"/>
        </w:rPr>
        <w:t xml:space="preserve"> of the investment – the greater the risk is, the greater is the required return.</w:t>
      </w:r>
    </w:p>
    <w:p w14:paraId="75B76EBB" w14:textId="77777777" w:rsidR="00206244" w:rsidRDefault="00206244" w:rsidP="00804DBB">
      <w:pPr>
        <w:spacing w:after="0" w:line="240" w:lineRule="auto"/>
        <w:contextualSpacing/>
        <w:jc w:val="both"/>
        <w:rPr>
          <w:rFonts w:ascii="Bookman Old Style" w:hAnsi="Bookman Old Style"/>
        </w:rPr>
      </w:pPr>
    </w:p>
    <w:p w14:paraId="7B189C75" w14:textId="3C4364DE" w:rsidR="00206244" w:rsidRDefault="00206244" w:rsidP="00804DBB">
      <w:pPr>
        <w:spacing w:after="0" w:line="240" w:lineRule="auto"/>
        <w:contextualSpacing/>
        <w:jc w:val="both"/>
        <w:rPr>
          <w:rFonts w:ascii="Bookman Old Style" w:hAnsi="Bookman Old Style"/>
        </w:rPr>
      </w:pPr>
      <w:r>
        <w:rPr>
          <w:rFonts w:ascii="Bookman Old Style" w:hAnsi="Bookman Old Style"/>
        </w:rPr>
        <w:t>How do we measure risk? What does it mean to say that one investment is riskier than another?</w:t>
      </w:r>
    </w:p>
    <w:p w14:paraId="431CA06E" w14:textId="77777777" w:rsidR="00206244" w:rsidRDefault="00206244" w:rsidP="00804DBB">
      <w:pPr>
        <w:spacing w:after="0" w:line="240" w:lineRule="auto"/>
        <w:contextualSpacing/>
        <w:jc w:val="both"/>
        <w:rPr>
          <w:rFonts w:ascii="Bookman Old Style" w:hAnsi="Bookman Old Style"/>
        </w:rPr>
      </w:pPr>
    </w:p>
    <w:p w14:paraId="00816860" w14:textId="47086589" w:rsidR="00206244" w:rsidRDefault="00206244" w:rsidP="00804DBB">
      <w:pPr>
        <w:spacing w:after="0" w:line="240" w:lineRule="auto"/>
        <w:contextualSpacing/>
        <w:jc w:val="both"/>
        <w:rPr>
          <w:rFonts w:ascii="Bookman Old Style" w:hAnsi="Bookman Old Style"/>
        </w:rPr>
      </w:pPr>
      <w:r>
        <w:rPr>
          <w:rFonts w:ascii="Bookman Old Style" w:hAnsi="Bookman Old Style"/>
        </w:rPr>
        <w:t>One of the responsibilities of the financial manager is to assess the value of proposed real asset investment – in doing this, it’s important to know what financial investments have to offer.</w:t>
      </w:r>
    </w:p>
    <w:p w14:paraId="282C08B8" w14:textId="77777777" w:rsidR="00206244" w:rsidRDefault="00206244" w:rsidP="00804DBB">
      <w:pPr>
        <w:spacing w:after="0" w:line="240" w:lineRule="auto"/>
        <w:contextualSpacing/>
        <w:jc w:val="both"/>
        <w:rPr>
          <w:rFonts w:ascii="Bookman Old Style" w:hAnsi="Bookman Old Style"/>
        </w:rPr>
      </w:pPr>
    </w:p>
    <w:p w14:paraId="3C574D6A" w14:textId="6B9890A1" w:rsidR="00206244" w:rsidRDefault="00206244" w:rsidP="00804DBB">
      <w:pPr>
        <w:spacing w:after="0" w:line="240" w:lineRule="auto"/>
        <w:contextualSpacing/>
        <w:jc w:val="both"/>
        <w:rPr>
          <w:rFonts w:ascii="Bookman Old Style" w:hAnsi="Bookman Old Style"/>
        </w:rPr>
      </w:pPr>
      <w:r>
        <w:rPr>
          <w:rFonts w:ascii="Bookman Old Style" w:hAnsi="Bookman Old Style"/>
        </w:rPr>
        <w:t>We’ve seen that:</w:t>
      </w:r>
    </w:p>
    <w:p w14:paraId="59213FC7" w14:textId="77777777" w:rsidR="00206244" w:rsidRDefault="00206244" w:rsidP="00804DBB">
      <w:pPr>
        <w:spacing w:after="0" w:line="240" w:lineRule="auto"/>
        <w:contextualSpacing/>
        <w:jc w:val="both"/>
        <w:rPr>
          <w:rFonts w:ascii="Bookman Old Style" w:hAnsi="Bookman Old Style"/>
        </w:rPr>
      </w:pPr>
    </w:p>
    <w:p w14:paraId="56F15A70" w14:textId="21664869" w:rsidR="00206244" w:rsidRDefault="00206244" w:rsidP="00804DBB">
      <w:pPr>
        <w:spacing w:after="0" w:line="240" w:lineRule="auto"/>
        <w:contextualSpacing/>
        <w:jc w:val="center"/>
        <w:rPr>
          <w:rFonts w:ascii="Bookman Old Style" w:hAnsi="Bookman Old Style"/>
        </w:rPr>
      </w:pPr>
      <w:r>
        <w:rPr>
          <w:rFonts w:ascii="Bookman Old Style" w:hAnsi="Bookman Old Style"/>
        </w:rPr>
        <w:t>CASH FLOW TO A FIRM</w:t>
      </w:r>
    </w:p>
    <w:p w14:paraId="487A9300" w14:textId="222CF7A4" w:rsidR="00206244" w:rsidRDefault="00206244" w:rsidP="00804DBB">
      <w:pPr>
        <w:spacing w:after="0" w:line="240" w:lineRule="auto"/>
        <w:contextualSpacing/>
        <w:jc w:val="center"/>
        <w:rPr>
          <w:rFonts w:ascii="Bookman Old Style" w:hAnsi="Bookman Old Style"/>
        </w:rPr>
      </w:pPr>
      <w:r>
        <w:rPr>
          <w:rFonts w:ascii="Bookman Old Style" w:hAnsi="Bookman Old Style"/>
        </w:rPr>
        <w:t>=</w:t>
      </w:r>
    </w:p>
    <w:p w14:paraId="6BF49CB7" w14:textId="54C0773C" w:rsidR="00206244" w:rsidRDefault="00206244" w:rsidP="00804DBB">
      <w:pPr>
        <w:spacing w:after="0" w:line="240" w:lineRule="auto"/>
        <w:contextualSpacing/>
        <w:jc w:val="center"/>
        <w:rPr>
          <w:rFonts w:ascii="Bookman Old Style" w:hAnsi="Bookman Old Style"/>
        </w:rPr>
      </w:pPr>
      <w:r>
        <w:rPr>
          <w:rFonts w:ascii="Bookman Old Style" w:hAnsi="Bookman Old Style"/>
        </w:rPr>
        <w:t>CASH FLOW TO CREDITORS &amp; SHAREHOLDERS</w:t>
      </w:r>
    </w:p>
    <w:p w14:paraId="32251C6E" w14:textId="77777777" w:rsidR="00206244" w:rsidRDefault="00206244" w:rsidP="00804DBB">
      <w:pPr>
        <w:spacing w:after="0" w:line="240" w:lineRule="auto"/>
        <w:contextualSpacing/>
        <w:jc w:val="both"/>
        <w:rPr>
          <w:rFonts w:ascii="Bookman Old Style" w:hAnsi="Bookman Old Style"/>
        </w:rPr>
      </w:pPr>
    </w:p>
    <w:p w14:paraId="76AB1960" w14:textId="1F0236C0" w:rsidR="00206244" w:rsidRDefault="00206244" w:rsidP="00804DBB">
      <w:pPr>
        <w:spacing w:after="0" w:line="240" w:lineRule="auto"/>
        <w:contextualSpacing/>
        <w:jc w:val="both"/>
        <w:rPr>
          <w:rFonts w:ascii="Bookman Old Style" w:hAnsi="Bookman Old Style"/>
        </w:rPr>
      </w:pPr>
      <w:r>
        <w:rPr>
          <w:rFonts w:ascii="Bookman Old Style" w:hAnsi="Bookman Old Style"/>
        </w:rPr>
        <w:t>From history, we’ve learned 2 main lessons:</w:t>
      </w:r>
    </w:p>
    <w:p w14:paraId="19A9B7F0" w14:textId="77777777" w:rsidR="00206244" w:rsidRDefault="00206244" w:rsidP="00804DBB">
      <w:pPr>
        <w:spacing w:after="0" w:line="240" w:lineRule="auto"/>
        <w:contextualSpacing/>
        <w:jc w:val="both"/>
        <w:rPr>
          <w:rFonts w:ascii="Bookman Old Style" w:hAnsi="Bookman Old Style"/>
        </w:rPr>
      </w:pPr>
    </w:p>
    <w:p w14:paraId="4A26C02F" w14:textId="4C73B746" w:rsidR="00206244" w:rsidRDefault="00206244" w:rsidP="00804DBB">
      <w:pPr>
        <w:pStyle w:val="ListParagraph"/>
        <w:numPr>
          <w:ilvl w:val="0"/>
          <w:numId w:val="10"/>
        </w:numPr>
        <w:spacing w:after="0" w:line="240" w:lineRule="auto"/>
        <w:jc w:val="both"/>
        <w:rPr>
          <w:rFonts w:ascii="Bookman Old Style" w:hAnsi="Bookman Old Style"/>
        </w:rPr>
      </w:pPr>
      <w:r>
        <w:rPr>
          <w:rFonts w:ascii="Bookman Old Style" w:hAnsi="Bookman Old Style"/>
        </w:rPr>
        <w:t>There’s reward for bearing risk</w:t>
      </w:r>
    </w:p>
    <w:p w14:paraId="2EB76392" w14:textId="66AB1BA9" w:rsidR="00206244" w:rsidRDefault="00206244" w:rsidP="00804DBB">
      <w:pPr>
        <w:pStyle w:val="ListParagraph"/>
        <w:numPr>
          <w:ilvl w:val="0"/>
          <w:numId w:val="10"/>
        </w:numPr>
        <w:spacing w:after="0" w:line="240" w:lineRule="auto"/>
        <w:jc w:val="both"/>
        <w:rPr>
          <w:rFonts w:ascii="Bookman Old Style" w:hAnsi="Bookman Old Style"/>
        </w:rPr>
      </w:pPr>
      <w:r>
        <w:rPr>
          <w:rFonts w:ascii="Bookman Old Style" w:hAnsi="Bookman Old Style"/>
        </w:rPr>
        <w:t>The greater the risk, the greater the potential reward</w:t>
      </w:r>
    </w:p>
    <w:p w14:paraId="0E4ACD1A" w14:textId="77777777" w:rsidR="00206244" w:rsidRDefault="00206244" w:rsidP="00804DBB">
      <w:pPr>
        <w:spacing w:after="0" w:line="240" w:lineRule="auto"/>
        <w:jc w:val="both"/>
        <w:rPr>
          <w:rFonts w:ascii="Bookman Old Style" w:hAnsi="Bookman Old Style"/>
        </w:rPr>
      </w:pPr>
    </w:p>
    <w:p w14:paraId="768B95A8" w14:textId="77777777" w:rsidR="00206244" w:rsidRDefault="00206244" w:rsidP="00804DBB">
      <w:pPr>
        <w:spacing w:after="0" w:line="240" w:lineRule="auto"/>
        <w:jc w:val="both"/>
        <w:rPr>
          <w:rFonts w:ascii="Bookman Old Style" w:hAnsi="Bookman Old Style"/>
        </w:rPr>
      </w:pPr>
    </w:p>
    <w:p w14:paraId="63F93249" w14:textId="6A0AF5DB" w:rsidR="00206244" w:rsidRPr="00206244" w:rsidRDefault="00206244" w:rsidP="00804DBB">
      <w:pPr>
        <w:spacing w:after="0" w:line="240" w:lineRule="auto"/>
        <w:jc w:val="center"/>
        <w:rPr>
          <w:rFonts w:ascii="Bookman Old Style" w:hAnsi="Bookman Old Style"/>
          <w:b/>
          <w:u w:val="single"/>
        </w:rPr>
      </w:pPr>
      <w:r>
        <w:rPr>
          <w:rFonts w:ascii="Bookman Old Style" w:hAnsi="Bookman Old Style"/>
          <w:b/>
          <w:u w:val="single"/>
        </w:rPr>
        <w:t>RETURNS</w:t>
      </w:r>
    </w:p>
    <w:p w14:paraId="113FFC52" w14:textId="77777777" w:rsidR="00206244" w:rsidRDefault="00206244" w:rsidP="00804DBB">
      <w:pPr>
        <w:spacing w:after="0" w:line="240" w:lineRule="auto"/>
        <w:jc w:val="both"/>
        <w:rPr>
          <w:rFonts w:ascii="Bookman Old Style" w:hAnsi="Bookman Old Style"/>
        </w:rPr>
      </w:pPr>
    </w:p>
    <w:p w14:paraId="4186BC82" w14:textId="68FA9AEB" w:rsidR="00206244" w:rsidRDefault="00206244" w:rsidP="00804DBB">
      <w:pPr>
        <w:spacing w:after="0" w:line="240" w:lineRule="auto"/>
        <w:jc w:val="both"/>
        <w:rPr>
          <w:rFonts w:ascii="Bookman Old Style" w:hAnsi="Bookman Old Style"/>
        </w:rPr>
      </w:pPr>
      <w:r>
        <w:rPr>
          <w:rFonts w:ascii="Bookman Old Style" w:hAnsi="Bookman Old Style"/>
          <w:b/>
          <w:u w:val="single"/>
        </w:rPr>
        <w:t>DOLLAR RETURNS</w:t>
      </w:r>
    </w:p>
    <w:p w14:paraId="71162573" w14:textId="54DBE103" w:rsidR="00206244" w:rsidRDefault="00206244" w:rsidP="00804DBB">
      <w:pPr>
        <w:spacing w:after="0" w:line="240" w:lineRule="auto"/>
        <w:jc w:val="both"/>
        <w:rPr>
          <w:rFonts w:ascii="Bookman Old Style" w:hAnsi="Bookman Old Style"/>
        </w:rPr>
      </w:pPr>
      <w:r>
        <w:rPr>
          <w:rFonts w:ascii="Bookman Old Style" w:hAnsi="Bookman Old Style"/>
        </w:rPr>
        <w:t xml:space="preserve">When you buy any type of asset, your gain (or loss) from that investment is called the </w:t>
      </w:r>
      <w:r>
        <w:rPr>
          <w:rFonts w:ascii="Bookman Old Style" w:hAnsi="Bookman Old Style"/>
          <w:b/>
          <w:i/>
        </w:rPr>
        <w:t>return on your investment</w:t>
      </w:r>
      <w:r>
        <w:rPr>
          <w:rFonts w:ascii="Bookman Old Style" w:hAnsi="Bookman Old Style"/>
        </w:rPr>
        <w:t>. This return has 2 components:</w:t>
      </w:r>
    </w:p>
    <w:p w14:paraId="31B3AC0B" w14:textId="77777777" w:rsidR="00206244" w:rsidRDefault="00206244" w:rsidP="00804DBB">
      <w:pPr>
        <w:spacing w:after="0" w:line="240" w:lineRule="auto"/>
        <w:jc w:val="both"/>
        <w:rPr>
          <w:rFonts w:ascii="Bookman Old Style" w:hAnsi="Bookman Old Style"/>
        </w:rPr>
      </w:pPr>
    </w:p>
    <w:p w14:paraId="125400B7" w14:textId="69B6271A" w:rsidR="00206244" w:rsidRDefault="00206244" w:rsidP="00804DBB">
      <w:pPr>
        <w:pStyle w:val="ListParagraph"/>
        <w:numPr>
          <w:ilvl w:val="0"/>
          <w:numId w:val="11"/>
        </w:numPr>
        <w:spacing w:after="0" w:line="240" w:lineRule="auto"/>
        <w:jc w:val="both"/>
        <w:rPr>
          <w:rFonts w:ascii="Bookman Old Style" w:hAnsi="Bookman Old Style"/>
        </w:rPr>
      </w:pPr>
      <w:r>
        <w:rPr>
          <w:rFonts w:ascii="Bookman Old Style" w:hAnsi="Bookman Old Style"/>
        </w:rPr>
        <w:t>INCOME COMPONENT – You might receive some cash directly while you own the investment</w:t>
      </w:r>
    </w:p>
    <w:p w14:paraId="23C578C0" w14:textId="77777777" w:rsidR="00206244" w:rsidRDefault="00206244" w:rsidP="00804DBB">
      <w:pPr>
        <w:spacing w:after="0" w:line="240" w:lineRule="auto"/>
        <w:jc w:val="both"/>
        <w:rPr>
          <w:rFonts w:ascii="Bookman Old Style" w:hAnsi="Bookman Old Style"/>
        </w:rPr>
      </w:pPr>
    </w:p>
    <w:p w14:paraId="7B670428" w14:textId="3B24FEAD" w:rsidR="00206244" w:rsidRDefault="00206244" w:rsidP="00804DBB">
      <w:pPr>
        <w:pStyle w:val="ListParagraph"/>
        <w:numPr>
          <w:ilvl w:val="0"/>
          <w:numId w:val="11"/>
        </w:numPr>
        <w:spacing w:after="0" w:line="240" w:lineRule="auto"/>
        <w:jc w:val="both"/>
        <w:rPr>
          <w:rFonts w:ascii="Bookman Old Style" w:hAnsi="Bookman Old Style"/>
        </w:rPr>
      </w:pPr>
      <w:r>
        <w:rPr>
          <w:rFonts w:ascii="Bookman Old Style" w:hAnsi="Bookman Old Style"/>
        </w:rPr>
        <w:t>CAPITAL GAIN/LOSS – The value of the asset you buy often changes in value, this will be the capital gain or loss in your investment.</w:t>
      </w:r>
    </w:p>
    <w:p w14:paraId="154AFFBA" w14:textId="77777777" w:rsidR="00206244" w:rsidRPr="00206244" w:rsidRDefault="00206244" w:rsidP="00804DBB">
      <w:pPr>
        <w:pStyle w:val="ListParagraph"/>
        <w:spacing w:after="0" w:line="240" w:lineRule="auto"/>
        <w:rPr>
          <w:rFonts w:ascii="Bookman Old Style" w:hAnsi="Bookman Old Style"/>
        </w:rPr>
      </w:pPr>
    </w:p>
    <w:p w14:paraId="4492C164" w14:textId="77777777" w:rsidR="00FE73AB" w:rsidRDefault="00FE73AB" w:rsidP="00804DBB">
      <w:pPr>
        <w:spacing w:after="0" w:line="240" w:lineRule="auto"/>
        <w:jc w:val="both"/>
        <w:rPr>
          <w:rFonts w:ascii="Bookman Old Style" w:hAnsi="Bookman Old Style"/>
        </w:rPr>
      </w:pPr>
    </w:p>
    <w:p w14:paraId="016338D4" w14:textId="038C2216" w:rsidR="00206244" w:rsidRDefault="00206244" w:rsidP="00804DBB">
      <w:pPr>
        <w:spacing w:after="0" w:line="240" w:lineRule="auto"/>
        <w:jc w:val="both"/>
        <w:rPr>
          <w:rFonts w:ascii="Bookman Old Style" w:hAnsi="Bookman Old Style"/>
        </w:rPr>
      </w:pPr>
      <w:r>
        <w:rPr>
          <w:rFonts w:ascii="Bookman Old Style" w:hAnsi="Bookman Old Style"/>
        </w:rPr>
        <w:t>Over the year, a company might pay cash dividends to its shareholders – as a shareholder, you’re part owner of the company. If the company is profitable, it might distribute some of that profit to shareholders.</w:t>
      </w:r>
    </w:p>
    <w:p w14:paraId="4BD9F4AB" w14:textId="77777777" w:rsidR="00206244" w:rsidRDefault="00206244" w:rsidP="00804DBB">
      <w:pPr>
        <w:spacing w:after="0" w:line="240" w:lineRule="auto"/>
        <w:jc w:val="both"/>
        <w:rPr>
          <w:rFonts w:ascii="Bookman Old Style" w:hAnsi="Bookman Old Style"/>
        </w:rPr>
      </w:pPr>
    </w:p>
    <w:p w14:paraId="320450ED" w14:textId="73BB425A" w:rsidR="00206244" w:rsidRDefault="00206244" w:rsidP="00804DBB">
      <w:pPr>
        <w:spacing w:after="0" w:line="240" w:lineRule="auto"/>
        <w:jc w:val="both"/>
        <w:rPr>
          <w:rFonts w:ascii="Bookman Old Style" w:hAnsi="Bookman Old Style"/>
        </w:rPr>
      </w:pPr>
      <w:r>
        <w:rPr>
          <w:rFonts w:ascii="Bookman Old Style" w:hAnsi="Bookman Old Style"/>
        </w:rPr>
        <w:t xml:space="preserve">So, as the owner of some stock, you might receive some cash. This is the </w:t>
      </w:r>
      <w:r>
        <w:rPr>
          <w:rFonts w:ascii="Bookman Old Style" w:hAnsi="Bookman Old Style"/>
          <w:b/>
          <w:i/>
        </w:rPr>
        <w:t>cash component</w:t>
      </w:r>
      <w:r>
        <w:rPr>
          <w:rFonts w:ascii="Bookman Old Style" w:hAnsi="Bookman Old Style"/>
        </w:rPr>
        <w:t xml:space="preserve"> of owning stock.</w:t>
      </w:r>
    </w:p>
    <w:p w14:paraId="61A43612" w14:textId="77777777" w:rsidR="00206244" w:rsidRDefault="00206244" w:rsidP="00804DBB">
      <w:pPr>
        <w:spacing w:after="0" w:line="240" w:lineRule="auto"/>
        <w:jc w:val="both"/>
        <w:rPr>
          <w:rFonts w:ascii="Bookman Old Style" w:hAnsi="Bookman Old Style"/>
        </w:rPr>
      </w:pPr>
    </w:p>
    <w:p w14:paraId="71ED7386" w14:textId="1B70EEB9" w:rsidR="00206244" w:rsidRDefault="00206244" w:rsidP="00804DBB">
      <w:pPr>
        <w:spacing w:after="0" w:line="240" w:lineRule="auto"/>
        <w:jc w:val="both"/>
        <w:rPr>
          <w:rFonts w:ascii="Bookman Old Style" w:hAnsi="Bookman Old Style"/>
        </w:rPr>
      </w:pPr>
      <w:r>
        <w:rPr>
          <w:rFonts w:ascii="Bookman Old Style" w:hAnsi="Bookman Old Style"/>
        </w:rPr>
        <w:t xml:space="preserve">On top of </w:t>
      </w:r>
      <w:r>
        <w:rPr>
          <w:rFonts w:ascii="Bookman Old Style" w:hAnsi="Bookman Old Style"/>
          <w:u w:val="single"/>
        </w:rPr>
        <w:t>dividends</w:t>
      </w:r>
      <w:r>
        <w:rPr>
          <w:rFonts w:ascii="Bookman Old Style" w:hAnsi="Bookman Old Style"/>
        </w:rPr>
        <w:t>, the other part of your return is the capital gain or loss on the stock. This comes from changes in the value of your investment</w:t>
      </w:r>
    </w:p>
    <w:p w14:paraId="4D11F75D" w14:textId="77777777" w:rsidR="00FE73AB" w:rsidRDefault="00FE73AB" w:rsidP="00804DBB">
      <w:pPr>
        <w:spacing w:after="0" w:line="240" w:lineRule="auto"/>
        <w:jc w:val="both"/>
        <w:rPr>
          <w:rFonts w:ascii="Bookman Old Style" w:hAnsi="Bookman Old Style"/>
        </w:rPr>
      </w:pPr>
    </w:p>
    <w:p w14:paraId="454B830D" w14:textId="7CEF6282" w:rsidR="00FE73AB" w:rsidRDefault="00FE73AB" w:rsidP="00804DBB">
      <w:pPr>
        <w:spacing w:after="0" w:line="240" w:lineRule="auto"/>
        <w:jc w:val="both"/>
        <w:rPr>
          <w:rFonts w:ascii="Bookman Old Style" w:hAnsi="Bookman Old Style"/>
        </w:rPr>
      </w:pPr>
      <w:r>
        <w:rPr>
          <w:rFonts w:ascii="Bookman Old Style" w:hAnsi="Bookman Old Style"/>
          <w:i/>
          <w:u w:val="single"/>
        </w:rPr>
        <w:lastRenderedPageBreak/>
        <w:t>Ex.:</w:t>
      </w:r>
    </w:p>
    <w:p w14:paraId="06A31ECC" w14:textId="5D55B4E0" w:rsidR="00FE73AB" w:rsidRDefault="00FE73AB" w:rsidP="00804DBB">
      <w:pPr>
        <w:spacing w:after="0" w:line="240" w:lineRule="auto"/>
        <w:jc w:val="both"/>
        <w:rPr>
          <w:rFonts w:ascii="Bookman Old Style" w:hAnsi="Bookman Old Style"/>
        </w:rPr>
      </w:pPr>
      <w:r>
        <w:rPr>
          <w:rFonts w:ascii="Bookman Old Style" w:hAnsi="Bookman Old Style"/>
        </w:rPr>
        <w:t>A stock is selling for $37 per share, if you buy 100 shares; you have a total outlay of $3700. Suppose that over the year, the stock paid a dividend of $1.85 per share. By the end of the year, you would’ve received an income of:</w:t>
      </w:r>
    </w:p>
    <w:p w14:paraId="076C35B9" w14:textId="77777777" w:rsidR="00FE73AB" w:rsidRDefault="00FE73AB" w:rsidP="00804DBB">
      <w:pPr>
        <w:spacing w:after="0" w:line="240" w:lineRule="auto"/>
        <w:jc w:val="both"/>
        <w:rPr>
          <w:rFonts w:ascii="Bookman Old Style" w:hAnsi="Bookman Old Style"/>
        </w:rPr>
      </w:pPr>
    </w:p>
    <w:p w14:paraId="3C08D7D5" w14:textId="19A7BB44" w:rsidR="00FE73AB" w:rsidRDefault="00FE73AB" w:rsidP="00804DBB">
      <w:pPr>
        <w:spacing w:after="0" w:line="240" w:lineRule="auto"/>
        <w:jc w:val="center"/>
        <w:rPr>
          <w:rFonts w:ascii="Bookman Old Style" w:hAnsi="Bookman Old Style"/>
        </w:rPr>
      </w:pPr>
      <w:r>
        <w:rPr>
          <w:rFonts w:ascii="Bookman Old Style" w:hAnsi="Bookman Old Style"/>
        </w:rPr>
        <w:t>Dividend:</w:t>
      </w:r>
    </w:p>
    <w:p w14:paraId="3A4CD3C8" w14:textId="53855B09" w:rsidR="00FE73AB" w:rsidRDefault="00FE73AB" w:rsidP="00804DBB">
      <w:pPr>
        <w:spacing w:after="0" w:line="240" w:lineRule="auto"/>
        <w:jc w:val="center"/>
        <w:rPr>
          <w:rFonts w:ascii="Bookman Old Style" w:hAnsi="Bookman Old Style"/>
        </w:rPr>
      </w:pPr>
      <w:r>
        <w:rPr>
          <w:rFonts w:ascii="Bookman Old Style" w:hAnsi="Bookman Old Style"/>
        </w:rPr>
        <w:t>$1.85 * 100 = $185</w:t>
      </w:r>
    </w:p>
    <w:p w14:paraId="3DD946FE" w14:textId="77777777" w:rsidR="00FE73AB" w:rsidRDefault="00FE73AB" w:rsidP="00804DBB">
      <w:pPr>
        <w:spacing w:after="0" w:line="240" w:lineRule="auto"/>
        <w:jc w:val="both"/>
        <w:rPr>
          <w:rFonts w:ascii="Bookman Old Style" w:hAnsi="Bookman Old Style"/>
        </w:rPr>
      </w:pPr>
    </w:p>
    <w:p w14:paraId="3E023D2A" w14:textId="591C8025" w:rsidR="00FE73AB" w:rsidRDefault="00FE73AB" w:rsidP="00804DBB">
      <w:pPr>
        <w:spacing w:after="0" w:line="240" w:lineRule="auto"/>
        <w:jc w:val="both"/>
        <w:rPr>
          <w:rFonts w:ascii="Bookman Old Style" w:hAnsi="Bookman Old Style"/>
        </w:rPr>
      </w:pPr>
      <w:r>
        <w:rPr>
          <w:rFonts w:ascii="Bookman Old Style" w:hAnsi="Bookman Old Style"/>
        </w:rPr>
        <w:t>Also, the value of the stock rises to $40.33 per share by the end of the year. Your 100 shares are worth $4033, so you have a capital gain of:</w:t>
      </w:r>
    </w:p>
    <w:p w14:paraId="004102FE" w14:textId="77777777" w:rsidR="00FE73AB" w:rsidRDefault="00FE73AB" w:rsidP="00804DBB">
      <w:pPr>
        <w:spacing w:after="0" w:line="240" w:lineRule="auto"/>
        <w:jc w:val="both"/>
        <w:rPr>
          <w:rFonts w:ascii="Bookman Old Style" w:hAnsi="Bookman Old Style"/>
        </w:rPr>
      </w:pPr>
    </w:p>
    <w:p w14:paraId="356CFC49" w14:textId="66EB9E02" w:rsidR="00FE73AB" w:rsidRDefault="00FE73AB" w:rsidP="00804DBB">
      <w:pPr>
        <w:spacing w:after="0" w:line="240" w:lineRule="auto"/>
        <w:jc w:val="center"/>
        <w:rPr>
          <w:rFonts w:ascii="Bookman Old Style" w:hAnsi="Bookman Old Style"/>
        </w:rPr>
      </w:pPr>
      <w:r>
        <w:rPr>
          <w:rFonts w:ascii="Bookman Old Style" w:hAnsi="Bookman Old Style"/>
        </w:rPr>
        <w:t>Capital Gain:</w:t>
      </w:r>
    </w:p>
    <w:p w14:paraId="31175383" w14:textId="0799E3B2" w:rsidR="00FE73AB" w:rsidRDefault="00FE73AB" w:rsidP="00804DBB">
      <w:pPr>
        <w:spacing w:after="0" w:line="240" w:lineRule="auto"/>
        <w:jc w:val="center"/>
        <w:rPr>
          <w:rFonts w:ascii="Bookman Old Style" w:hAnsi="Bookman Old Style"/>
        </w:rPr>
      </w:pPr>
      <w:r>
        <w:rPr>
          <w:rFonts w:ascii="Bookman Old Style" w:hAnsi="Bookman Old Style"/>
        </w:rPr>
        <w:t>($40.33 - $37) * 100 = $333</w:t>
      </w:r>
    </w:p>
    <w:p w14:paraId="78198F43" w14:textId="77777777" w:rsidR="00FE73AB" w:rsidRDefault="00FE73AB" w:rsidP="00804DBB">
      <w:pPr>
        <w:spacing w:after="0" w:line="240" w:lineRule="auto"/>
        <w:jc w:val="both"/>
        <w:rPr>
          <w:rFonts w:ascii="Bookman Old Style" w:hAnsi="Bookman Old Style"/>
        </w:rPr>
      </w:pPr>
    </w:p>
    <w:p w14:paraId="35C0DBF0" w14:textId="32898525" w:rsidR="00FE73AB" w:rsidRDefault="00FE73AB" w:rsidP="00804DBB">
      <w:pPr>
        <w:spacing w:after="0" w:line="240" w:lineRule="auto"/>
        <w:jc w:val="both"/>
        <w:rPr>
          <w:rFonts w:ascii="Bookman Old Style" w:hAnsi="Bookman Old Style"/>
        </w:rPr>
      </w:pPr>
      <w:r>
        <w:rPr>
          <w:rFonts w:ascii="Bookman Old Style" w:hAnsi="Bookman Old Style"/>
        </w:rPr>
        <w:t>If the price had dropped to $34.78, you would have had a capital loss of:</w:t>
      </w:r>
    </w:p>
    <w:p w14:paraId="42C24979" w14:textId="77777777" w:rsidR="00FE73AB" w:rsidRDefault="00FE73AB" w:rsidP="00804DBB">
      <w:pPr>
        <w:spacing w:after="0" w:line="240" w:lineRule="auto"/>
        <w:jc w:val="both"/>
        <w:rPr>
          <w:rFonts w:ascii="Bookman Old Style" w:hAnsi="Bookman Old Style"/>
        </w:rPr>
      </w:pPr>
    </w:p>
    <w:p w14:paraId="60C59C47" w14:textId="36EA4B59" w:rsidR="00FE73AB" w:rsidRDefault="00FE73AB" w:rsidP="00804DBB">
      <w:pPr>
        <w:spacing w:after="0" w:line="240" w:lineRule="auto"/>
        <w:jc w:val="center"/>
        <w:rPr>
          <w:rFonts w:ascii="Bookman Old Style" w:hAnsi="Bookman Old Style"/>
        </w:rPr>
      </w:pPr>
      <w:r>
        <w:rPr>
          <w:rFonts w:ascii="Bookman Old Style" w:hAnsi="Bookman Old Style"/>
        </w:rPr>
        <w:t>Capital Loss:</w:t>
      </w:r>
    </w:p>
    <w:p w14:paraId="180946B5" w14:textId="5F112A70" w:rsidR="00FE73AB" w:rsidRDefault="00FE73AB" w:rsidP="00804DBB">
      <w:pPr>
        <w:spacing w:after="0" w:line="240" w:lineRule="auto"/>
        <w:jc w:val="center"/>
        <w:rPr>
          <w:rFonts w:ascii="Bookman Old Style" w:hAnsi="Bookman Old Style"/>
        </w:rPr>
      </w:pPr>
      <w:r>
        <w:rPr>
          <w:rFonts w:ascii="Bookman Old Style" w:hAnsi="Bookman Old Style"/>
        </w:rPr>
        <w:t>$34.78 - $37) * 100 = -$222</w:t>
      </w:r>
    </w:p>
    <w:p w14:paraId="555954A5" w14:textId="77777777" w:rsidR="00FE73AB" w:rsidRDefault="00FE73AB" w:rsidP="00804DBB">
      <w:pPr>
        <w:spacing w:after="0" w:line="240" w:lineRule="auto"/>
        <w:jc w:val="both"/>
        <w:rPr>
          <w:rFonts w:ascii="Bookman Old Style" w:hAnsi="Bookman Old Style"/>
        </w:rPr>
      </w:pPr>
    </w:p>
    <w:p w14:paraId="3095E521" w14:textId="4B0CF854" w:rsidR="00FE73AB" w:rsidRDefault="00FE73AB" w:rsidP="00804DBB">
      <w:pPr>
        <w:spacing w:after="0" w:line="240" w:lineRule="auto"/>
        <w:jc w:val="both"/>
        <w:rPr>
          <w:rFonts w:ascii="Bookman Old Style" w:hAnsi="Bookman Old Style"/>
        </w:rPr>
      </w:pPr>
      <w:r>
        <w:rPr>
          <w:rFonts w:ascii="Bookman Old Style" w:hAnsi="Bookman Old Style"/>
        </w:rPr>
        <w:t>Capital loss is the same thing as a negative capital gain.</w:t>
      </w:r>
    </w:p>
    <w:p w14:paraId="430253F0" w14:textId="61F9BF15" w:rsidR="00FE73AB" w:rsidRDefault="00FE73AB" w:rsidP="00804DBB">
      <w:pPr>
        <w:spacing w:after="0" w:line="240" w:lineRule="auto"/>
        <w:jc w:val="both"/>
        <w:rPr>
          <w:rFonts w:ascii="Bookman Old Style" w:hAnsi="Bookman Old Style"/>
        </w:rPr>
      </w:pPr>
      <w:r>
        <w:rPr>
          <w:rFonts w:ascii="Bookman Old Style" w:hAnsi="Bookman Old Style"/>
        </w:rPr>
        <w:t>The total dollar return on your investment is the sum of the dividend and the capital gain:</w:t>
      </w:r>
    </w:p>
    <w:tbl>
      <w:tblPr>
        <w:tblStyle w:val="MediumGrid1-Accent5"/>
        <w:tblW w:w="0" w:type="auto"/>
        <w:jc w:val="center"/>
        <w:tblLook w:val="04A0" w:firstRow="1" w:lastRow="0" w:firstColumn="1" w:lastColumn="0" w:noHBand="0" w:noVBand="1"/>
      </w:tblPr>
      <w:tblGrid>
        <w:gridCol w:w="2988"/>
      </w:tblGrid>
      <w:tr w:rsidR="00FE73AB" w14:paraId="0492807D" w14:textId="77777777" w:rsidTr="00F83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88" w:type="dxa"/>
          </w:tcPr>
          <w:p w14:paraId="0357FEB3" w14:textId="55758CCF" w:rsidR="00FE73AB" w:rsidRDefault="00FE73AB" w:rsidP="00804DBB">
            <w:pPr>
              <w:jc w:val="both"/>
              <w:rPr>
                <w:rFonts w:ascii="Bookman Old Style" w:hAnsi="Bookman Old Style"/>
              </w:rPr>
            </w:pPr>
          </w:p>
          <w:p w14:paraId="61D2D0D9" w14:textId="77777777" w:rsidR="00FE73AB" w:rsidRDefault="00FE73AB" w:rsidP="00804DBB">
            <w:pPr>
              <w:jc w:val="center"/>
              <w:rPr>
                <w:rFonts w:ascii="Bookman Old Style" w:hAnsi="Bookman Old Style"/>
              </w:rPr>
            </w:pPr>
            <w:r>
              <w:rPr>
                <w:rFonts w:ascii="Bookman Old Style" w:hAnsi="Bookman Old Style"/>
              </w:rPr>
              <w:t>Total Dollar Return</w:t>
            </w:r>
          </w:p>
          <w:p w14:paraId="5A8558D1" w14:textId="77777777" w:rsidR="00FE73AB" w:rsidRDefault="00FE73AB" w:rsidP="00804DBB">
            <w:pPr>
              <w:jc w:val="center"/>
              <w:rPr>
                <w:rFonts w:ascii="Bookman Old Style" w:hAnsi="Bookman Old Style"/>
              </w:rPr>
            </w:pPr>
          </w:p>
          <w:p w14:paraId="48AD2DF4" w14:textId="77777777" w:rsidR="00FE73AB" w:rsidRPr="00FE73AB" w:rsidRDefault="00FE73AB" w:rsidP="00804DBB">
            <w:pPr>
              <w:jc w:val="center"/>
              <w:rPr>
                <w:rFonts w:ascii="Bookman Old Style" w:hAnsi="Bookman Old Style"/>
                <w:b w:val="0"/>
              </w:rPr>
            </w:pPr>
            <w:r w:rsidRPr="00FE73AB">
              <w:rPr>
                <w:rFonts w:ascii="Bookman Old Style" w:hAnsi="Bookman Old Style"/>
                <w:b w:val="0"/>
              </w:rPr>
              <w:t>Dividend Income</w:t>
            </w:r>
          </w:p>
          <w:p w14:paraId="51D196E5" w14:textId="77777777" w:rsidR="00FE73AB" w:rsidRPr="00FE73AB" w:rsidRDefault="00FE73AB" w:rsidP="00804DBB">
            <w:pPr>
              <w:jc w:val="center"/>
              <w:rPr>
                <w:rFonts w:ascii="Bookman Old Style" w:hAnsi="Bookman Old Style"/>
                <w:b w:val="0"/>
              </w:rPr>
            </w:pPr>
            <w:r w:rsidRPr="00FE73AB">
              <w:rPr>
                <w:rFonts w:ascii="Bookman Old Style" w:hAnsi="Bookman Old Style"/>
                <w:b w:val="0"/>
              </w:rPr>
              <w:t>+</w:t>
            </w:r>
          </w:p>
          <w:p w14:paraId="5F04C7E5" w14:textId="77777777" w:rsidR="00FE73AB" w:rsidRPr="00FE73AB" w:rsidRDefault="00FE73AB" w:rsidP="00804DBB">
            <w:pPr>
              <w:jc w:val="center"/>
              <w:rPr>
                <w:rFonts w:ascii="Bookman Old Style" w:hAnsi="Bookman Old Style"/>
                <w:b w:val="0"/>
              </w:rPr>
            </w:pPr>
            <w:r w:rsidRPr="00FE73AB">
              <w:rPr>
                <w:rFonts w:ascii="Bookman Old Style" w:hAnsi="Bookman Old Style"/>
                <w:b w:val="0"/>
              </w:rPr>
              <w:t>Capital Gain (or Loss)</w:t>
            </w:r>
          </w:p>
          <w:p w14:paraId="442618CE" w14:textId="77777777" w:rsidR="00FE73AB" w:rsidRDefault="00FE73AB" w:rsidP="00804DBB">
            <w:pPr>
              <w:jc w:val="both"/>
              <w:rPr>
                <w:rFonts w:ascii="Bookman Old Style" w:hAnsi="Bookman Old Style"/>
              </w:rPr>
            </w:pPr>
          </w:p>
        </w:tc>
      </w:tr>
    </w:tbl>
    <w:p w14:paraId="1E092317" w14:textId="77777777" w:rsidR="00FE73AB" w:rsidRDefault="00FE73AB" w:rsidP="00804DBB">
      <w:pPr>
        <w:spacing w:after="0" w:line="240" w:lineRule="auto"/>
        <w:jc w:val="both"/>
        <w:rPr>
          <w:rFonts w:ascii="Bookman Old Style" w:hAnsi="Bookman Old Style"/>
        </w:rPr>
      </w:pPr>
    </w:p>
    <w:p w14:paraId="7A184B2A" w14:textId="4B5711D4" w:rsidR="00FE73AB" w:rsidRDefault="00FE73AB" w:rsidP="00804DBB">
      <w:pPr>
        <w:spacing w:after="0" w:line="240" w:lineRule="auto"/>
        <w:jc w:val="both"/>
        <w:rPr>
          <w:rFonts w:ascii="Bookman Old Style" w:hAnsi="Bookman Old Style"/>
        </w:rPr>
      </w:pPr>
      <w:r>
        <w:rPr>
          <w:rFonts w:ascii="Bookman Old Style" w:hAnsi="Bookman Old Style"/>
        </w:rPr>
        <w:t>So, in our example, the total dollar return is given by:</w:t>
      </w:r>
    </w:p>
    <w:p w14:paraId="5F93FCD3" w14:textId="77777777" w:rsidR="00FE73AB" w:rsidRDefault="00FE73AB" w:rsidP="00804DBB">
      <w:pPr>
        <w:spacing w:after="0" w:line="240" w:lineRule="auto"/>
        <w:jc w:val="both"/>
        <w:rPr>
          <w:rFonts w:ascii="Bookman Old Style" w:hAnsi="Bookman Old Style"/>
        </w:rPr>
      </w:pPr>
    </w:p>
    <w:p w14:paraId="6653D06C" w14:textId="0CDC740C" w:rsidR="00FE73AB" w:rsidRDefault="00FE73AB" w:rsidP="00804DBB">
      <w:pPr>
        <w:spacing w:after="0" w:line="240" w:lineRule="auto"/>
        <w:jc w:val="center"/>
        <w:rPr>
          <w:rFonts w:ascii="Bookman Old Style" w:hAnsi="Bookman Old Style"/>
        </w:rPr>
      </w:pPr>
      <w:r>
        <w:rPr>
          <w:rFonts w:ascii="Bookman Old Style" w:hAnsi="Bookman Old Style"/>
        </w:rPr>
        <w:t>Total Dollar Return</w:t>
      </w:r>
    </w:p>
    <w:p w14:paraId="66F62AFF" w14:textId="7DF4AFAD" w:rsidR="00FE73AB" w:rsidRDefault="00FE73AB" w:rsidP="00804DBB">
      <w:pPr>
        <w:spacing w:after="0" w:line="240" w:lineRule="auto"/>
        <w:jc w:val="center"/>
        <w:rPr>
          <w:rFonts w:ascii="Bookman Old Style" w:hAnsi="Bookman Old Style"/>
        </w:rPr>
      </w:pPr>
      <w:r>
        <w:rPr>
          <w:rFonts w:ascii="Bookman Old Style" w:hAnsi="Bookman Old Style"/>
        </w:rPr>
        <w:t>=</w:t>
      </w:r>
    </w:p>
    <w:p w14:paraId="005CAA0F" w14:textId="2F0482D3" w:rsidR="00FE73AB" w:rsidRDefault="00FE73AB" w:rsidP="00804DBB">
      <w:pPr>
        <w:spacing w:after="0" w:line="240" w:lineRule="auto"/>
        <w:jc w:val="center"/>
        <w:rPr>
          <w:rFonts w:ascii="Bookman Old Style" w:hAnsi="Bookman Old Style"/>
        </w:rPr>
      </w:pPr>
      <w:r>
        <w:rPr>
          <w:rFonts w:ascii="Bookman Old Style" w:hAnsi="Bookman Old Style"/>
        </w:rPr>
        <w:t>$185 + 333 = $518</w:t>
      </w:r>
    </w:p>
    <w:p w14:paraId="5B1BADFF" w14:textId="77777777" w:rsidR="00FE73AB" w:rsidRDefault="00FE73AB" w:rsidP="00804DBB">
      <w:pPr>
        <w:spacing w:after="0" w:line="240" w:lineRule="auto"/>
        <w:jc w:val="center"/>
        <w:rPr>
          <w:rFonts w:ascii="Bookman Old Style" w:hAnsi="Bookman Old Style"/>
        </w:rPr>
      </w:pPr>
    </w:p>
    <w:p w14:paraId="4FEEE534" w14:textId="31B0AD6B" w:rsidR="00FE73AB" w:rsidRDefault="00FE73AB" w:rsidP="00804DBB">
      <w:pPr>
        <w:spacing w:after="0" w:line="240" w:lineRule="auto"/>
        <w:jc w:val="both"/>
        <w:rPr>
          <w:rFonts w:ascii="Bookman Old Style" w:hAnsi="Bookman Old Style"/>
        </w:rPr>
      </w:pPr>
      <w:r>
        <w:rPr>
          <w:rFonts w:ascii="Bookman Old Style" w:hAnsi="Bookman Old Style"/>
        </w:rPr>
        <w:t xml:space="preserve">If you sold the stock at the end of the year, the total cash you’d have would be your initial investment plus the total return. </w:t>
      </w:r>
    </w:p>
    <w:p w14:paraId="5C42D6B0" w14:textId="77777777" w:rsidR="00FE73AB" w:rsidRDefault="00FE73AB" w:rsidP="00804DBB">
      <w:pPr>
        <w:spacing w:after="0" w:line="240" w:lineRule="auto"/>
        <w:jc w:val="both"/>
        <w:rPr>
          <w:rFonts w:ascii="Bookman Old Style" w:hAnsi="Bookman Old Style"/>
        </w:rPr>
      </w:pPr>
    </w:p>
    <w:tbl>
      <w:tblPr>
        <w:tblStyle w:val="MediumGrid1-Accent5"/>
        <w:tblW w:w="0" w:type="auto"/>
        <w:jc w:val="center"/>
        <w:tblLook w:val="04A0" w:firstRow="1" w:lastRow="0" w:firstColumn="1" w:lastColumn="0" w:noHBand="0" w:noVBand="1"/>
      </w:tblPr>
      <w:tblGrid>
        <w:gridCol w:w="3978"/>
      </w:tblGrid>
      <w:tr w:rsidR="00FE73AB" w14:paraId="7910E162" w14:textId="77777777" w:rsidTr="00F83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78" w:type="dxa"/>
          </w:tcPr>
          <w:p w14:paraId="45E29CAE" w14:textId="0DE0EC20" w:rsidR="00FE73AB" w:rsidRDefault="00FE73AB" w:rsidP="00804DBB">
            <w:pPr>
              <w:jc w:val="both"/>
              <w:rPr>
                <w:rFonts w:ascii="Bookman Old Style" w:hAnsi="Bookman Old Style"/>
              </w:rPr>
            </w:pPr>
          </w:p>
          <w:p w14:paraId="21A18B91" w14:textId="77777777" w:rsidR="00FE73AB" w:rsidRDefault="00FE73AB" w:rsidP="00804DBB">
            <w:pPr>
              <w:jc w:val="center"/>
              <w:rPr>
                <w:rFonts w:ascii="Bookman Old Style" w:hAnsi="Bookman Old Style"/>
              </w:rPr>
            </w:pPr>
            <w:r>
              <w:rPr>
                <w:rFonts w:ascii="Bookman Old Style" w:hAnsi="Bookman Old Style"/>
              </w:rPr>
              <w:t>Total Cash if Stock is Sold</w:t>
            </w:r>
          </w:p>
          <w:p w14:paraId="73E4DCC2" w14:textId="77777777" w:rsidR="00FE73AB" w:rsidRDefault="00FE73AB" w:rsidP="00804DBB">
            <w:pPr>
              <w:jc w:val="center"/>
              <w:rPr>
                <w:rFonts w:ascii="Bookman Old Style" w:hAnsi="Bookman Old Style"/>
              </w:rPr>
            </w:pPr>
          </w:p>
          <w:p w14:paraId="2DF5FC5C" w14:textId="18A90274" w:rsidR="00FE73AB" w:rsidRPr="00FE73AB" w:rsidRDefault="00FE73AB" w:rsidP="00804DBB">
            <w:pPr>
              <w:jc w:val="center"/>
              <w:rPr>
                <w:rFonts w:ascii="Bookman Old Style" w:hAnsi="Bookman Old Style"/>
                <w:b w:val="0"/>
              </w:rPr>
            </w:pPr>
            <w:r w:rsidRPr="00FE73AB">
              <w:rPr>
                <w:rFonts w:ascii="Bookman Old Style" w:hAnsi="Bookman Old Style"/>
                <w:b w:val="0"/>
              </w:rPr>
              <w:t>Initial Investment</w:t>
            </w:r>
          </w:p>
          <w:p w14:paraId="184B26E2" w14:textId="77777777" w:rsidR="00FE73AB" w:rsidRPr="00FE73AB" w:rsidRDefault="00FE73AB" w:rsidP="00804DBB">
            <w:pPr>
              <w:jc w:val="center"/>
              <w:rPr>
                <w:rFonts w:ascii="Bookman Old Style" w:hAnsi="Bookman Old Style"/>
                <w:b w:val="0"/>
              </w:rPr>
            </w:pPr>
            <w:r w:rsidRPr="00FE73AB">
              <w:rPr>
                <w:rFonts w:ascii="Bookman Old Style" w:hAnsi="Bookman Old Style"/>
                <w:b w:val="0"/>
              </w:rPr>
              <w:t>+</w:t>
            </w:r>
          </w:p>
          <w:p w14:paraId="26CFD311" w14:textId="77777777" w:rsidR="00FE73AB" w:rsidRPr="00FE73AB" w:rsidRDefault="00FE73AB" w:rsidP="00804DBB">
            <w:pPr>
              <w:jc w:val="center"/>
              <w:rPr>
                <w:rFonts w:ascii="Bookman Old Style" w:hAnsi="Bookman Old Style"/>
                <w:b w:val="0"/>
              </w:rPr>
            </w:pPr>
            <w:r w:rsidRPr="00FE73AB">
              <w:rPr>
                <w:rFonts w:ascii="Bookman Old Style" w:hAnsi="Bookman Old Style"/>
                <w:b w:val="0"/>
              </w:rPr>
              <w:t>Total Return</w:t>
            </w:r>
          </w:p>
          <w:p w14:paraId="48F84F8E" w14:textId="74C85E9D" w:rsidR="00FE73AB" w:rsidRDefault="00FE73AB" w:rsidP="00804DBB">
            <w:pPr>
              <w:jc w:val="both"/>
              <w:rPr>
                <w:rFonts w:ascii="Bookman Old Style" w:hAnsi="Bookman Old Style"/>
              </w:rPr>
            </w:pPr>
          </w:p>
        </w:tc>
      </w:tr>
    </w:tbl>
    <w:p w14:paraId="41F00A12" w14:textId="77777777" w:rsidR="00FE73AB" w:rsidRDefault="00FE73AB" w:rsidP="00804DBB">
      <w:pPr>
        <w:spacing w:after="0" w:line="240" w:lineRule="auto"/>
        <w:jc w:val="both"/>
        <w:rPr>
          <w:rFonts w:ascii="Bookman Old Style" w:hAnsi="Bookman Old Style"/>
        </w:rPr>
      </w:pPr>
    </w:p>
    <w:p w14:paraId="5E88F17D" w14:textId="4CFC6AEC" w:rsidR="00FE73AB" w:rsidRDefault="00FE73AB" w:rsidP="00804DBB">
      <w:pPr>
        <w:spacing w:after="0" w:line="240" w:lineRule="auto"/>
        <w:jc w:val="both"/>
        <w:rPr>
          <w:rFonts w:ascii="Bookman Old Style" w:hAnsi="Bookman Old Style"/>
        </w:rPr>
      </w:pPr>
      <w:r>
        <w:rPr>
          <w:rFonts w:ascii="Bookman Old Style" w:hAnsi="Bookman Old Style"/>
        </w:rPr>
        <w:t>So in our example, the total cash when we sold the stock would be:</w:t>
      </w:r>
    </w:p>
    <w:p w14:paraId="46A542B1" w14:textId="77777777" w:rsidR="00FE73AB" w:rsidRDefault="00FE73AB" w:rsidP="00804DBB">
      <w:pPr>
        <w:spacing w:after="0" w:line="240" w:lineRule="auto"/>
        <w:jc w:val="both"/>
        <w:rPr>
          <w:rFonts w:ascii="Bookman Old Style" w:hAnsi="Bookman Old Style"/>
        </w:rPr>
      </w:pPr>
    </w:p>
    <w:p w14:paraId="0A9ECBC9" w14:textId="08FC8EA7" w:rsidR="00FE73AB" w:rsidRDefault="00FE73AB" w:rsidP="00804DBB">
      <w:pPr>
        <w:spacing w:after="0" w:line="240" w:lineRule="auto"/>
        <w:jc w:val="center"/>
        <w:rPr>
          <w:rFonts w:ascii="Bookman Old Style" w:hAnsi="Bookman Old Style"/>
        </w:rPr>
      </w:pPr>
      <w:r>
        <w:rPr>
          <w:rFonts w:ascii="Bookman Old Style" w:hAnsi="Bookman Old Style"/>
        </w:rPr>
        <w:lastRenderedPageBreak/>
        <w:t>$3700 + 518 = $4218</w:t>
      </w:r>
    </w:p>
    <w:p w14:paraId="5BF94BB9" w14:textId="77777777" w:rsidR="00FE73AB" w:rsidRDefault="00FE73AB" w:rsidP="00804DBB">
      <w:pPr>
        <w:spacing w:after="0" w:line="240" w:lineRule="auto"/>
        <w:jc w:val="center"/>
        <w:rPr>
          <w:rFonts w:ascii="Bookman Old Style" w:hAnsi="Bookman Old Style"/>
        </w:rPr>
      </w:pPr>
    </w:p>
    <w:p w14:paraId="05DAD4BF" w14:textId="79BAA2BE" w:rsidR="00FE73AB" w:rsidRDefault="00FE73AB" w:rsidP="00804DBB">
      <w:pPr>
        <w:spacing w:after="0" w:line="240" w:lineRule="auto"/>
        <w:jc w:val="both"/>
        <w:rPr>
          <w:rFonts w:ascii="Bookman Old Style" w:hAnsi="Bookman Old Style"/>
        </w:rPr>
      </w:pPr>
      <w:r>
        <w:rPr>
          <w:rFonts w:ascii="Bookman Old Style" w:hAnsi="Bookman Old Style"/>
        </w:rPr>
        <w:t>To check, notice that this is the same as the proceeds from the sale of the stock plus the dividends:</w:t>
      </w:r>
    </w:p>
    <w:p w14:paraId="489AE7C7" w14:textId="77777777" w:rsidR="00FE73AB" w:rsidRDefault="00FE73AB" w:rsidP="00804DBB">
      <w:pPr>
        <w:spacing w:after="0" w:line="240" w:lineRule="auto"/>
        <w:jc w:val="both"/>
        <w:rPr>
          <w:rFonts w:ascii="Bookman Old Style" w:hAnsi="Bookman Old Style"/>
        </w:rPr>
      </w:pPr>
    </w:p>
    <w:p w14:paraId="080250FB" w14:textId="4A69AA2F" w:rsidR="00FE73AB" w:rsidRDefault="00FE73AB" w:rsidP="00804DBB">
      <w:pPr>
        <w:spacing w:after="0" w:line="240" w:lineRule="auto"/>
        <w:jc w:val="center"/>
        <w:rPr>
          <w:rFonts w:ascii="Bookman Old Style" w:hAnsi="Bookman Old Style"/>
        </w:rPr>
      </w:pPr>
      <w:r>
        <w:rPr>
          <w:rFonts w:ascii="Bookman Old Style" w:hAnsi="Bookman Old Style"/>
        </w:rPr>
        <w:t>Proceeds from Stock Sale + Dividends</w:t>
      </w:r>
    </w:p>
    <w:p w14:paraId="2B612F8B" w14:textId="28C6072F" w:rsidR="00FE73AB" w:rsidRDefault="00FE73AB" w:rsidP="00804DBB">
      <w:pPr>
        <w:spacing w:after="0" w:line="240" w:lineRule="auto"/>
        <w:jc w:val="center"/>
        <w:rPr>
          <w:rFonts w:ascii="Bookman Old Style" w:hAnsi="Bookman Old Style"/>
        </w:rPr>
      </w:pPr>
      <w:r>
        <w:rPr>
          <w:rFonts w:ascii="Bookman Old Style" w:hAnsi="Bookman Old Style"/>
        </w:rPr>
        <w:t>=</w:t>
      </w:r>
    </w:p>
    <w:p w14:paraId="52B299E0" w14:textId="5310CAE3" w:rsidR="00FE73AB" w:rsidRDefault="00FE73AB" w:rsidP="00804DBB">
      <w:pPr>
        <w:spacing w:after="0" w:line="240" w:lineRule="auto"/>
        <w:jc w:val="center"/>
        <w:rPr>
          <w:rFonts w:ascii="Bookman Old Style" w:hAnsi="Bookman Old Style"/>
        </w:rPr>
      </w:pPr>
      <w:r>
        <w:rPr>
          <w:rFonts w:ascii="Bookman Old Style" w:hAnsi="Bookman Old Style"/>
        </w:rPr>
        <w:t>$40.33 * 100 + $185</w:t>
      </w:r>
    </w:p>
    <w:p w14:paraId="500E63A0" w14:textId="46DED9EB" w:rsidR="00FE73AB" w:rsidRDefault="00FE73AB" w:rsidP="00804DBB">
      <w:pPr>
        <w:spacing w:after="0" w:line="240" w:lineRule="auto"/>
        <w:jc w:val="center"/>
        <w:rPr>
          <w:rFonts w:ascii="Bookman Old Style" w:hAnsi="Bookman Old Style"/>
        </w:rPr>
      </w:pPr>
      <w:r>
        <w:rPr>
          <w:rFonts w:ascii="Bookman Old Style" w:hAnsi="Bookman Old Style"/>
        </w:rPr>
        <w:t>=</w:t>
      </w:r>
    </w:p>
    <w:p w14:paraId="46445788" w14:textId="2E728BFC" w:rsidR="00FE73AB" w:rsidRDefault="00FE73AB" w:rsidP="00804DBB">
      <w:pPr>
        <w:spacing w:after="0" w:line="240" w:lineRule="auto"/>
        <w:jc w:val="center"/>
        <w:rPr>
          <w:rFonts w:ascii="Bookman Old Style" w:hAnsi="Bookman Old Style"/>
        </w:rPr>
      </w:pPr>
      <w:r>
        <w:rPr>
          <w:rFonts w:ascii="Bookman Old Style" w:hAnsi="Bookman Old Style"/>
        </w:rPr>
        <w:t>$4033 + 185</w:t>
      </w:r>
    </w:p>
    <w:p w14:paraId="6E5ADA38" w14:textId="38A389F4" w:rsidR="00FE73AB" w:rsidRDefault="00FE73AB" w:rsidP="00804DBB">
      <w:pPr>
        <w:spacing w:after="0" w:line="240" w:lineRule="auto"/>
        <w:jc w:val="center"/>
        <w:rPr>
          <w:rFonts w:ascii="Bookman Old Style" w:hAnsi="Bookman Old Style"/>
        </w:rPr>
      </w:pPr>
      <w:r>
        <w:rPr>
          <w:rFonts w:ascii="Bookman Old Style" w:hAnsi="Bookman Old Style"/>
        </w:rPr>
        <w:t>=</w:t>
      </w:r>
    </w:p>
    <w:p w14:paraId="7B70FCEA" w14:textId="74F033AC" w:rsidR="00FE73AB" w:rsidRDefault="00FE73AB" w:rsidP="00804DBB">
      <w:pPr>
        <w:spacing w:after="0" w:line="240" w:lineRule="auto"/>
        <w:jc w:val="center"/>
        <w:rPr>
          <w:rFonts w:ascii="Bookman Old Style" w:hAnsi="Bookman Old Style"/>
        </w:rPr>
      </w:pPr>
      <w:r>
        <w:rPr>
          <w:rFonts w:ascii="Bookman Old Style" w:hAnsi="Bookman Old Style"/>
        </w:rPr>
        <w:t>$4218</w:t>
      </w:r>
    </w:p>
    <w:p w14:paraId="3DFB4C1D" w14:textId="77777777" w:rsidR="00FE73AB" w:rsidRDefault="00FE73AB" w:rsidP="00804DBB">
      <w:pPr>
        <w:spacing w:after="0" w:line="240" w:lineRule="auto"/>
        <w:jc w:val="center"/>
        <w:rPr>
          <w:rFonts w:ascii="Bookman Old Style" w:hAnsi="Bookman Old Style"/>
        </w:rPr>
      </w:pPr>
    </w:p>
    <w:p w14:paraId="6CA3CD79" w14:textId="039E0169" w:rsidR="00FE73AB" w:rsidRDefault="00FE73AB" w:rsidP="00804DBB">
      <w:pPr>
        <w:spacing w:after="0" w:line="240" w:lineRule="auto"/>
        <w:jc w:val="both"/>
        <w:rPr>
          <w:rFonts w:ascii="Bookman Old Style" w:hAnsi="Bookman Old Style"/>
        </w:rPr>
      </w:pPr>
      <w:r>
        <w:rPr>
          <w:rFonts w:ascii="Bookman Old Style" w:hAnsi="Bookman Old Style"/>
        </w:rPr>
        <w:t>If you held your stock and didn’t sell it at the end of the year, should you still consider the capital gain as part of your return?</w:t>
      </w:r>
    </w:p>
    <w:p w14:paraId="431B266D" w14:textId="77777777" w:rsidR="00FE73AB" w:rsidRDefault="00FE73AB" w:rsidP="00804DBB">
      <w:pPr>
        <w:spacing w:after="0" w:line="240" w:lineRule="auto"/>
        <w:jc w:val="both"/>
        <w:rPr>
          <w:rFonts w:ascii="Bookman Old Style" w:hAnsi="Bookman Old Style"/>
        </w:rPr>
      </w:pPr>
    </w:p>
    <w:p w14:paraId="5FA8DC81" w14:textId="2B1F5E31" w:rsidR="00FE73AB" w:rsidRDefault="00FE73AB" w:rsidP="00804DBB">
      <w:pPr>
        <w:spacing w:after="0" w:line="240" w:lineRule="auto"/>
        <w:jc w:val="both"/>
        <w:rPr>
          <w:rFonts w:ascii="Bookman Old Style" w:hAnsi="Bookman Old Style"/>
        </w:rPr>
      </w:pPr>
      <w:r>
        <w:rPr>
          <w:rFonts w:ascii="Bookman Old Style" w:hAnsi="Bookman Old Style"/>
        </w:rPr>
        <w:t xml:space="preserve">The capital gain is part of your as much as your dividend is so you should count it as part of your return. The fact that you decided to keep the stock and not sell it is irrelevant because you could have converted it to cash if you wanted to. </w:t>
      </w:r>
    </w:p>
    <w:p w14:paraId="65687CD2" w14:textId="77777777" w:rsidR="00B20672" w:rsidRDefault="00B20672" w:rsidP="00804DBB">
      <w:pPr>
        <w:spacing w:after="0" w:line="240" w:lineRule="auto"/>
        <w:jc w:val="both"/>
        <w:rPr>
          <w:rFonts w:ascii="Bookman Old Style" w:hAnsi="Bookman Old Style"/>
        </w:rPr>
      </w:pPr>
    </w:p>
    <w:p w14:paraId="74896D7C" w14:textId="04039293" w:rsidR="00B20672" w:rsidRDefault="00B20672" w:rsidP="00804DBB">
      <w:pPr>
        <w:spacing w:after="0" w:line="240" w:lineRule="auto"/>
        <w:jc w:val="both"/>
        <w:rPr>
          <w:rFonts w:ascii="Bookman Old Style" w:hAnsi="Bookman Old Style"/>
        </w:rPr>
      </w:pPr>
      <w:r>
        <w:rPr>
          <w:rFonts w:ascii="Bookman Old Style" w:hAnsi="Bookman Old Style"/>
        </w:rPr>
        <w:t>If you wanted to convert your gain to cash, you could always sell the stock at year-end and immediately reinvest by buying the stock back. There’s not net difference between doing this and not selling it (assuming no tax consequences from selling the stock). So whether you cash out or reinvest by not selling doesn’t affect the return that you earn.</w:t>
      </w:r>
    </w:p>
    <w:p w14:paraId="5278EC06" w14:textId="77777777" w:rsidR="00B20672" w:rsidRDefault="00B20672" w:rsidP="00804DBB">
      <w:pPr>
        <w:spacing w:after="0" w:line="240" w:lineRule="auto"/>
        <w:jc w:val="both"/>
        <w:rPr>
          <w:rFonts w:ascii="Bookman Old Style" w:hAnsi="Bookman Old Style"/>
        </w:rPr>
      </w:pPr>
    </w:p>
    <w:p w14:paraId="181AD690" w14:textId="77777777" w:rsidR="00B20672" w:rsidRDefault="00B20672" w:rsidP="00804DBB">
      <w:pPr>
        <w:spacing w:after="0" w:line="240" w:lineRule="auto"/>
        <w:jc w:val="both"/>
        <w:rPr>
          <w:rFonts w:ascii="Bookman Old Style" w:hAnsi="Bookman Old Style"/>
        </w:rPr>
      </w:pPr>
    </w:p>
    <w:p w14:paraId="58A61EE3" w14:textId="77FBDCBA" w:rsidR="00B20672" w:rsidRDefault="00B20672" w:rsidP="00804DBB">
      <w:pPr>
        <w:spacing w:after="0" w:line="240" w:lineRule="auto"/>
        <w:jc w:val="both"/>
        <w:rPr>
          <w:rFonts w:ascii="Bookman Old Style" w:hAnsi="Bookman Old Style"/>
        </w:rPr>
      </w:pPr>
      <w:r>
        <w:rPr>
          <w:rFonts w:ascii="Bookman Old Style" w:hAnsi="Bookman Old Style"/>
          <w:b/>
          <w:u w:val="single"/>
        </w:rPr>
        <w:t>PERCENTAGE RETURNS</w:t>
      </w:r>
    </w:p>
    <w:p w14:paraId="144FCBDA" w14:textId="4EF30A28" w:rsidR="00B20672" w:rsidRDefault="00B20672" w:rsidP="00804DBB">
      <w:pPr>
        <w:spacing w:after="0" w:line="240" w:lineRule="auto"/>
        <w:jc w:val="both"/>
        <w:rPr>
          <w:rFonts w:ascii="Bookman Old Style" w:hAnsi="Bookman Old Style"/>
        </w:rPr>
      </w:pPr>
      <w:r>
        <w:rPr>
          <w:rFonts w:ascii="Bookman Old Style" w:hAnsi="Bookman Old Style"/>
        </w:rPr>
        <w:t>It’s usually easier to summarize information about return in terms of percentage instead of dollars because that way, your return doesn’t depend much on how much you actually invested.</w:t>
      </w:r>
    </w:p>
    <w:p w14:paraId="1E8E2A22" w14:textId="77777777" w:rsidR="00B20672" w:rsidRDefault="00B20672" w:rsidP="00804DBB">
      <w:pPr>
        <w:spacing w:after="0" w:line="240" w:lineRule="auto"/>
        <w:jc w:val="both"/>
        <w:rPr>
          <w:rFonts w:ascii="Bookman Old Style" w:hAnsi="Bookman Old Style"/>
        </w:rPr>
      </w:pPr>
    </w:p>
    <w:p w14:paraId="5CD97606" w14:textId="0015FB25" w:rsidR="00B20672" w:rsidRDefault="00B20672" w:rsidP="00804DBB">
      <w:pPr>
        <w:spacing w:after="0" w:line="240" w:lineRule="auto"/>
        <w:jc w:val="both"/>
        <w:rPr>
          <w:rFonts w:ascii="Bookman Old Style" w:hAnsi="Bookman Old Style"/>
        </w:rPr>
      </w:pPr>
      <w:r>
        <w:rPr>
          <w:rFonts w:ascii="Bookman Old Style" w:hAnsi="Bookman Old Style"/>
        </w:rPr>
        <w:t>We want to answer the question – how much do we get for each dollar that we invest?</w:t>
      </w:r>
    </w:p>
    <w:p w14:paraId="31B17659" w14:textId="77777777" w:rsidR="00B20672" w:rsidRDefault="00B20672" w:rsidP="00804DBB">
      <w:pPr>
        <w:spacing w:after="0" w:line="240" w:lineRule="auto"/>
        <w:jc w:val="both"/>
        <w:rPr>
          <w:rFonts w:ascii="Bookman Old Style" w:hAnsi="Bookman Old Style"/>
        </w:rPr>
      </w:pPr>
    </w:p>
    <w:p w14:paraId="66506081" w14:textId="35C9E43D" w:rsidR="00B20672" w:rsidRPr="00B20672" w:rsidRDefault="003262D8" w:rsidP="00804DBB">
      <w:pPr>
        <w:spacing w:after="0" w:line="240" w:lineRule="auto"/>
        <w:jc w:val="both"/>
        <w:rPr>
          <w:rFonts w:ascii="Bookman Old Style" w:eastAsiaTheme="minorEastAsia" w:hAnsi="Bookman Old Style"/>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t</m:t>
              </m:r>
            </m:sub>
          </m:sSub>
          <m:r>
            <w:rPr>
              <w:rFonts w:ascii="Cambria Math" w:hAnsi="Cambria Math"/>
            </w:rPr>
            <m:t>=The price of the stock at the beginning of the year</m:t>
          </m:r>
        </m:oMath>
      </m:oMathPara>
    </w:p>
    <w:p w14:paraId="784E6230" w14:textId="7A978EAD" w:rsidR="00B20672" w:rsidRPr="00B20672" w:rsidRDefault="003262D8" w:rsidP="00804DBB">
      <w:pPr>
        <w:spacing w:after="0" w:line="240" w:lineRule="auto"/>
        <w:jc w:val="both"/>
        <w:rPr>
          <w:rFonts w:ascii="Bookman Old Style" w:eastAsiaTheme="minorEastAsia" w:hAnsi="Bookman Old Style"/>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r>
            <w:rPr>
              <w:rFonts w:ascii="Cambria Math" w:eastAsiaTheme="minorEastAsia" w:hAnsi="Cambria Math"/>
            </w:rPr>
            <m:t>=The dividend paid on the stock during the year</m:t>
          </m:r>
        </m:oMath>
      </m:oMathPara>
    </w:p>
    <w:p w14:paraId="43E90877" w14:textId="77777777" w:rsidR="00B20672" w:rsidRDefault="00B20672" w:rsidP="00804DBB">
      <w:pPr>
        <w:spacing w:after="0" w:line="240" w:lineRule="auto"/>
        <w:jc w:val="both"/>
        <w:rPr>
          <w:rFonts w:ascii="Bookman Old Style" w:eastAsiaTheme="minorEastAsia" w:hAnsi="Bookman Old Style"/>
        </w:rPr>
      </w:pPr>
    </w:p>
    <w:p w14:paraId="5DF695B8" w14:textId="797401F9"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t>So the price at the beginning of the year was $37 per share and the dividend paid during the year on each share was $1.85.</w:t>
      </w:r>
    </w:p>
    <w:p w14:paraId="57DAA18A" w14:textId="22DECD54"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br/>
        <w:t>Expressing the dividend as a percentage of the beginning stock price results in the dividend yield:</w:t>
      </w:r>
    </w:p>
    <w:tbl>
      <w:tblPr>
        <w:tblStyle w:val="MediumGrid1-Accent5"/>
        <w:tblW w:w="0" w:type="auto"/>
        <w:jc w:val="center"/>
        <w:tblLook w:val="04A0" w:firstRow="1" w:lastRow="0" w:firstColumn="1" w:lastColumn="0" w:noHBand="0" w:noVBand="1"/>
      </w:tblPr>
      <w:tblGrid>
        <w:gridCol w:w="2988"/>
      </w:tblGrid>
      <w:tr w:rsidR="00B20672" w14:paraId="1C6C587E" w14:textId="77777777" w:rsidTr="00F83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88" w:type="dxa"/>
          </w:tcPr>
          <w:p w14:paraId="038BA9CD" w14:textId="673A4C77" w:rsidR="00B20672" w:rsidRDefault="00B20672" w:rsidP="00804DBB">
            <w:pPr>
              <w:jc w:val="both"/>
              <w:rPr>
                <w:rFonts w:ascii="Bookman Old Style" w:eastAsiaTheme="minorEastAsia" w:hAnsi="Bookman Old Style"/>
              </w:rPr>
            </w:pPr>
          </w:p>
          <w:p w14:paraId="1FFDD0A7" w14:textId="77777777" w:rsidR="00B20672" w:rsidRDefault="00B20672" w:rsidP="00804DBB">
            <w:pPr>
              <w:jc w:val="center"/>
              <w:rPr>
                <w:rFonts w:ascii="Bookman Old Style" w:eastAsiaTheme="minorEastAsia" w:hAnsi="Bookman Old Style"/>
              </w:rPr>
            </w:pPr>
            <w:r>
              <w:rPr>
                <w:rFonts w:ascii="Bookman Old Style" w:eastAsiaTheme="minorEastAsia" w:hAnsi="Bookman Old Style"/>
              </w:rPr>
              <w:t>Dividend Yield</w:t>
            </w:r>
          </w:p>
          <w:p w14:paraId="42945B1B" w14:textId="77777777" w:rsidR="00B20672" w:rsidRPr="00B20672" w:rsidRDefault="00B20672" w:rsidP="00804DBB">
            <w:pPr>
              <w:jc w:val="center"/>
              <w:rPr>
                <w:rFonts w:ascii="Bookman Old Style" w:eastAsiaTheme="minorEastAsia" w:hAnsi="Bookman Old Style"/>
                <w:b w:val="0"/>
              </w:rPr>
            </w:pPr>
          </w:p>
          <w:p w14:paraId="06B6A1FD" w14:textId="69CF264F" w:rsidR="00B20672" w:rsidRPr="00B20672" w:rsidRDefault="003262D8" w:rsidP="00804DBB">
            <w:pPr>
              <w:jc w:val="center"/>
              <w:rPr>
                <w:rFonts w:ascii="Bookman Old Style" w:eastAsiaTheme="minorEastAsia" w:hAnsi="Bookman Old Style"/>
                <w:b w:val="0"/>
              </w:rPr>
            </w:pPr>
            <m:oMathPara>
              <m:oMath>
                <m:f>
                  <m:fPr>
                    <m:ctrlPr>
                      <w:rPr>
                        <w:rFonts w:ascii="Cambria Math" w:eastAsiaTheme="minorEastAsia" w:hAnsi="Cambria Math"/>
                        <w:b w:val="0"/>
                        <w:i/>
                      </w:rPr>
                    </m:ctrlPr>
                  </m:fPr>
                  <m:num>
                    <m:sSub>
                      <m:sSubPr>
                        <m:ctrlPr>
                          <w:rPr>
                            <w:rFonts w:ascii="Cambria Math" w:eastAsiaTheme="minorEastAsia" w:hAnsi="Cambria Math"/>
                            <w:b w:val="0"/>
                            <w:bCs w:val="0"/>
                            <w:i/>
                          </w:rPr>
                        </m:ctrlPr>
                      </m:sSubPr>
                      <m:e>
                        <m:r>
                          <m:rPr>
                            <m:sty m:val="bi"/>
                          </m:rPr>
                          <w:rPr>
                            <w:rFonts w:ascii="Cambria Math" w:eastAsiaTheme="minorEastAsia" w:hAnsi="Cambria Math"/>
                          </w:rPr>
                          <m:t>D</m:t>
                        </m:r>
                      </m:e>
                      <m:sub>
                        <m:r>
                          <m:rPr>
                            <m:sty m:val="bi"/>
                          </m:rPr>
                          <w:rPr>
                            <w:rFonts w:ascii="Cambria Math" w:eastAsiaTheme="minorEastAsia" w:hAnsi="Cambria Math"/>
                          </w:rPr>
                          <m:t>t</m:t>
                        </m:r>
                      </m:sub>
                    </m:sSub>
                  </m:num>
                  <m:den>
                    <m:sSub>
                      <m:sSubPr>
                        <m:ctrlPr>
                          <w:rPr>
                            <w:rFonts w:ascii="Cambria Math" w:eastAsiaTheme="minorEastAsia" w:hAnsi="Cambria Math"/>
                            <w:b w:val="0"/>
                            <w:bCs w:val="0"/>
                            <w:i/>
                          </w:rPr>
                        </m:ctrlPr>
                      </m:sSubPr>
                      <m:e>
                        <m:r>
                          <m:rPr>
                            <m:sty m:val="bi"/>
                          </m:rPr>
                          <w:rPr>
                            <w:rFonts w:ascii="Cambria Math" w:eastAsiaTheme="minorEastAsia" w:hAnsi="Cambria Math"/>
                          </w:rPr>
                          <m:t>P</m:t>
                        </m:r>
                      </m:e>
                      <m:sub>
                        <m:r>
                          <m:rPr>
                            <m:sty m:val="bi"/>
                          </m:rPr>
                          <w:rPr>
                            <w:rFonts w:ascii="Cambria Math" w:eastAsiaTheme="minorEastAsia" w:hAnsi="Cambria Math"/>
                          </w:rPr>
                          <m:t>t</m:t>
                        </m:r>
                      </m:sub>
                    </m:sSub>
                  </m:den>
                </m:f>
                <m:r>
                  <m:rPr>
                    <m:sty m:val="bi"/>
                  </m:rPr>
                  <w:rPr>
                    <w:rFonts w:ascii="Cambria Math" w:eastAsiaTheme="minorEastAsia" w:hAnsi="Cambria Math"/>
                  </w:rPr>
                  <m:t>=</m:t>
                </m:r>
                <m:f>
                  <m:fPr>
                    <m:ctrlPr>
                      <w:rPr>
                        <w:rFonts w:ascii="Cambria Math" w:eastAsiaTheme="minorEastAsia" w:hAnsi="Cambria Math"/>
                        <w:bCs w:val="0"/>
                        <w:i/>
                      </w:rPr>
                    </m:ctrlPr>
                  </m:fPr>
                  <m:num>
                    <m:r>
                      <m:rPr>
                        <m:sty m:val="bi"/>
                      </m:rPr>
                      <w:rPr>
                        <w:rFonts w:ascii="Cambria Math" w:eastAsiaTheme="minorEastAsia" w:hAnsi="Cambria Math"/>
                      </w:rPr>
                      <m:t>Dividend Paid</m:t>
                    </m:r>
                    <m:ctrlPr>
                      <w:rPr>
                        <w:rFonts w:ascii="Cambria Math" w:eastAsiaTheme="minorEastAsia" w:hAnsi="Cambria Math"/>
                        <w:b w:val="0"/>
                        <w:i/>
                      </w:rPr>
                    </m:ctrlPr>
                  </m:num>
                  <m:den>
                    <m:r>
                      <m:rPr>
                        <m:sty m:val="bi"/>
                      </m:rPr>
                      <w:rPr>
                        <w:rFonts w:ascii="Cambria Math" w:eastAsiaTheme="minorEastAsia" w:hAnsi="Cambria Math"/>
                      </w:rPr>
                      <m:t>Original Price</m:t>
                    </m:r>
                  </m:den>
                </m:f>
              </m:oMath>
            </m:oMathPara>
          </w:p>
          <w:p w14:paraId="30E6AC4A" w14:textId="13D46BC7" w:rsidR="00B20672" w:rsidRPr="00B20672" w:rsidRDefault="00B20672" w:rsidP="00804DBB">
            <w:pPr>
              <w:jc w:val="both"/>
              <w:rPr>
                <w:rFonts w:ascii="Bookman Old Style" w:eastAsiaTheme="minorEastAsia" w:hAnsi="Bookman Old Style"/>
              </w:rPr>
            </w:pPr>
          </w:p>
        </w:tc>
      </w:tr>
    </w:tbl>
    <w:p w14:paraId="5877C517" w14:textId="77777777" w:rsidR="00B20672" w:rsidRDefault="00B20672" w:rsidP="00804DBB">
      <w:pPr>
        <w:spacing w:after="0" w:line="240" w:lineRule="auto"/>
        <w:jc w:val="both"/>
        <w:rPr>
          <w:rFonts w:ascii="Bookman Old Style" w:eastAsiaTheme="minorEastAsia" w:hAnsi="Bookman Old Style"/>
        </w:rPr>
      </w:pPr>
    </w:p>
    <w:p w14:paraId="3D1A99E0" w14:textId="7BE06F4C"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t>So, for our example, the dividend yield was: $1.85/$37 = 0.05 = 5%</w:t>
      </w:r>
    </w:p>
    <w:p w14:paraId="4AFD8B93" w14:textId="599907A7"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This says that for each dollar we invest, we get 5 cents in dividends.</w:t>
      </w:r>
    </w:p>
    <w:p w14:paraId="6C1AC233" w14:textId="77777777" w:rsidR="00B20672" w:rsidRDefault="00B20672" w:rsidP="00804DBB">
      <w:pPr>
        <w:spacing w:after="0" w:line="240" w:lineRule="auto"/>
        <w:jc w:val="both"/>
        <w:rPr>
          <w:rFonts w:ascii="Bookman Old Style" w:eastAsiaTheme="minorEastAsia" w:hAnsi="Bookman Old Style"/>
        </w:rPr>
      </w:pPr>
    </w:p>
    <w:p w14:paraId="5EC76583" w14:textId="24C7C2AA"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t>The other component of our percentage return is the capital gains yield. This is calculated as the change in the price during the year (the capital gain) divided by the beginning price:</w:t>
      </w:r>
    </w:p>
    <w:p w14:paraId="0836437D" w14:textId="77777777" w:rsidR="00B20672" w:rsidRDefault="00B20672" w:rsidP="00804DBB">
      <w:pPr>
        <w:spacing w:after="0" w:line="240" w:lineRule="auto"/>
        <w:jc w:val="both"/>
        <w:rPr>
          <w:rFonts w:ascii="Bookman Old Style" w:eastAsiaTheme="minorEastAsia" w:hAnsi="Bookman Old Style"/>
        </w:rPr>
      </w:pPr>
    </w:p>
    <w:tbl>
      <w:tblPr>
        <w:tblStyle w:val="MediumGrid1-Accent5"/>
        <w:tblW w:w="0" w:type="auto"/>
        <w:jc w:val="center"/>
        <w:tblLook w:val="04A0" w:firstRow="1" w:lastRow="0" w:firstColumn="1" w:lastColumn="0" w:noHBand="0" w:noVBand="1"/>
      </w:tblPr>
      <w:tblGrid>
        <w:gridCol w:w="2808"/>
      </w:tblGrid>
      <w:tr w:rsidR="00B20672" w14:paraId="2F745F95" w14:textId="77777777" w:rsidTr="00F83E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08" w:type="dxa"/>
          </w:tcPr>
          <w:p w14:paraId="1E839A31" w14:textId="0BF3AA86" w:rsidR="00B20672" w:rsidRDefault="00B20672" w:rsidP="00804DBB">
            <w:pPr>
              <w:jc w:val="both"/>
              <w:rPr>
                <w:rFonts w:ascii="Bookman Old Style" w:eastAsiaTheme="minorEastAsia" w:hAnsi="Bookman Old Style"/>
              </w:rPr>
            </w:pPr>
          </w:p>
          <w:p w14:paraId="5CE9AF37" w14:textId="77777777" w:rsidR="00B20672" w:rsidRDefault="00B20672" w:rsidP="00804DBB">
            <w:pPr>
              <w:jc w:val="center"/>
              <w:rPr>
                <w:rFonts w:ascii="Bookman Old Style" w:eastAsiaTheme="minorEastAsia" w:hAnsi="Bookman Old Style"/>
              </w:rPr>
            </w:pPr>
            <w:r>
              <w:rPr>
                <w:rFonts w:ascii="Bookman Old Style" w:eastAsiaTheme="minorEastAsia" w:hAnsi="Bookman Old Style"/>
              </w:rPr>
              <w:t>Capital Gains Yield</w:t>
            </w:r>
          </w:p>
          <w:p w14:paraId="1DE18C7B" w14:textId="77777777" w:rsidR="00B20672" w:rsidRDefault="00B20672" w:rsidP="00804DBB">
            <w:pPr>
              <w:jc w:val="both"/>
              <w:rPr>
                <w:rFonts w:ascii="Bookman Old Style" w:eastAsiaTheme="minorEastAsia" w:hAnsi="Bookman Old Style"/>
              </w:rPr>
            </w:pPr>
          </w:p>
          <w:p w14:paraId="35CDC432" w14:textId="77777777" w:rsidR="00B20672" w:rsidRPr="00B20672" w:rsidRDefault="003262D8" w:rsidP="00804DBB">
            <w:pPr>
              <w:jc w:val="both"/>
              <w:rPr>
                <w:rFonts w:ascii="Bookman Old Style" w:eastAsiaTheme="minorEastAsia" w:hAnsi="Bookman Old Style"/>
              </w:rPr>
            </w:pPr>
            <m:oMathPara>
              <m:oMath>
                <m:f>
                  <m:fPr>
                    <m:ctrlPr>
                      <w:rPr>
                        <w:rFonts w:ascii="Cambria Math" w:eastAsiaTheme="minorEastAsia" w:hAnsi="Cambria Math"/>
                        <w:i/>
                      </w:rPr>
                    </m:ctrlPr>
                  </m:fPr>
                  <m:num>
                    <m:sSub>
                      <m:sSubPr>
                        <m:ctrlPr>
                          <w:rPr>
                            <w:rFonts w:ascii="Cambria Math" w:eastAsiaTheme="minorEastAsia" w:hAnsi="Cambria Math"/>
                            <w:b w:val="0"/>
                            <w:bCs w:val="0"/>
                            <w:i/>
                          </w:rPr>
                        </m:ctrlPr>
                      </m:sSubPr>
                      <m:e>
                        <m:r>
                          <m:rPr>
                            <m:sty m:val="bi"/>
                          </m:rPr>
                          <w:rPr>
                            <w:rFonts w:ascii="Cambria Math" w:eastAsiaTheme="minorEastAsia" w:hAnsi="Cambria Math"/>
                          </w:rPr>
                          <m:t>P</m:t>
                        </m:r>
                      </m:e>
                      <m:sub>
                        <m:r>
                          <m:rPr>
                            <m:sty m:val="bi"/>
                          </m:rPr>
                          <w:rPr>
                            <w:rFonts w:ascii="Cambria Math" w:eastAsiaTheme="minorEastAsia" w:hAnsi="Cambria Math"/>
                          </w:rPr>
                          <m:t>t+1</m:t>
                        </m:r>
                      </m:sub>
                    </m:sSub>
                    <m:r>
                      <m:rPr>
                        <m:sty m:val="bi"/>
                      </m:rPr>
                      <w:rPr>
                        <w:rFonts w:ascii="Cambria Math" w:eastAsiaTheme="minorEastAsia" w:hAnsi="Cambria Math"/>
                      </w:rPr>
                      <m:t>-</m:t>
                    </m:r>
                    <m:sSub>
                      <m:sSubPr>
                        <m:ctrlPr>
                          <w:rPr>
                            <w:rFonts w:ascii="Cambria Math" w:eastAsiaTheme="minorEastAsia" w:hAnsi="Cambria Math"/>
                            <w:b w:val="0"/>
                            <w:bCs w:val="0"/>
                            <w:i/>
                          </w:rPr>
                        </m:ctrlPr>
                      </m:sSubPr>
                      <m:e>
                        <m:r>
                          <m:rPr>
                            <m:sty m:val="bi"/>
                          </m:rPr>
                          <w:rPr>
                            <w:rFonts w:ascii="Cambria Math" w:eastAsiaTheme="minorEastAsia" w:hAnsi="Cambria Math"/>
                          </w:rPr>
                          <m:t>P</m:t>
                        </m:r>
                      </m:e>
                      <m:sub>
                        <m:r>
                          <m:rPr>
                            <m:sty m:val="bi"/>
                          </m:rPr>
                          <w:rPr>
                            <w:rFonts w:ascii="Cambria Math" w:eastAsiaTheme="minorEastAsia" w:hAnsi="Cambria Math"/>
                          </w:rPr>
                          <m:t>t</m:t>
                        </m:r>
                      </m:sub>
                    </m:sSub>
                  </m:num>
                  <m:den>
                    <m:sSub>
                      <m:sSubPr>
                        <m:ctrlPr>
                          <w:rPr>
                            <w:rFonts w:ascii="Cambria Math" w:eastAsiaTheme="minorEastAsia" w:hAnsi="Cambria Math"/>
                            <w:b w:val="0"/>
                            <w:bCs w:val="0"/>
                            <w:i/>
                          </w:rPr>
                        </m:ctrlPr>
                      </m:sSubPr>
                      <m:e>
                        <m:r>
                          <m:rPr>
                            <m:sty m:val="bi"/>
                          </m:rPr>
                          <w:rPr>
                            <w:rFonts w:ascii="Cambria Math" w:eastAsiaTheme="minorEastAsia" w:hAnsi="Cambria Math"/>
                          </w:rPr>
                          <m:t>P</m:t>
                        </m:r>
                      </m:e>
                      <m:sub>
                        <m:r>
                          <m:rPr>
                            <m:sty m:val="bi"/>
                          </m:rPr>
                          <w:rPr>
                            <w:rFonts w:ascii="Cambria Math" w:eastAsiaTheme="minorEastAsia" w:hAnsi="Cambria Math"/>
                          </w:rPr>
                          <m:t>t</m:t>
                        </m:r>
                      </m:sub>
                    </m:sSub>
                  </m:den>
                </m:f>
              </m:oMath>
            </m:oMathPara>
          </w:p>
          <w:p w14:paraId="42937ECD" w14:textId="1BF459CE" w:rsidR="00B20672" w:rsidRPr="00B20672" w:rsidRDefault="00B20672" w:rsidP="00804DBB">
            <w:pPr>
              <w:jc w:val="both"/>
              <w:rPr>
                <w:rFonts w:ascii="Bookman Old Style" w:eastAsiaTheme="minorEastAsia" w:hAnsi="Bookman Old Style"/>
              </w:rPr>
            </w:pPr>
          </w:p>
        </w:tc>
      </w:tr>
    </w:tbl>
    <w:p w14:paraId="1E83CCB3" w14:textId="77777777" w:rsidR="00B20672" w:rsidRDefault="00B20672" w:rsidP="00804DBB">
      <w:pPr>
        <w:spacing w:after="0" w:line="240" w:lineRule="auto"/>
        <w:jc w:val="both"/>
        <w:rPr>
          <w:rFonts w:ascii="Bookman Old Style" w:eastAsiaTheme="minorEastAsia" w:hAnsi="Bookman Old Style"/>
        </w:rPr>
      </w:pPr>
    </w:p>
    <w:p w14:paraId="23D55CE8" w14:textId="47A962C4"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t>So, in our example, the capital gains yield would be:</w:t>
      </w:r>
    </w:p>
    <w:p w14:paraId="0FC9B174" w14:textId="77777777" w:rsidR="00B20672" w:rsidRDefault="00B20672" w:rsidP="00804DBB">
      <w:pPr>
        <w:spacing w:after="0" w:line="240" w:lineRule="auto"/>
        <w:jc w:val="both"/>
        <w:rPr>
          <w:rFonts w:ascii="Bookman Old Style" w:eastAsiaTheme="minorEastAsia" w:hAnsi="Bookman Old Style"/>
        </w:rPr>
      </w:pPr>
    </w:p>
    <w:p w14:paraId="483ED8D0" w14:textId="66A8944C" w:rsidR="00B20672" w:rsidRPr="00B20672" w:rsidRDefault="003262D8" w:rsidP="00804DBB">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$40.33-37</m:t>
              </m:r>
            </m:num>
            <m:den>
              <m:r>
                <w:rPr>
                  <w:rFonts w:ascii="Cambria Math" w:eastAsiaTheme="minorEastAsia" w:hAnsi="Cambria Math"/>
                </w:rPr>
                <m:t>$37</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$3.33</m:t>
              </m:r>
            </m:num>
            <m:den>
              <m:r>
                <w:rPr>
                  <w:rFonts w:ascii="Cambria Math" w:eastAsiaTheme="minorEastAsia" w:hAnsi="Cambria Math"/>
                </w:rPr>
                <m:t>$37</m:t>
              </m:r>
            </m:den>
          </m:f>
          <m:r>
            <w:rPr>
              <w:rFonts w:ascii="Cambria Math" w:eastAsiaTheme="minorEastAsia" w:hAnsi="Cambria Math"/>
            </w:rPr>
            <m:t>=9%</m:t>
          </m:r>
        </m:oMath>
      </m:oMathPara>
    </w:p>
    <w:p w14:paraId="1A675FAD" w14:textId="77777777" w:rsidR="00B20672" w:rsidRDefault="00B20672" w:rsidP="00804DBB">
      <w:pPr>
        <w:spacing w:after="0" w:line="240" w:lineRule="auto"/>
        <w:jc w:val="both"/>
        <w:rPr>
          <w:rFonts w:ascii="Bookman Old Style" w:eastAsiaTheme="minorEastAsia" w:hAnsi="Bookman Old Style"/>
        </w:rPr>
      </w:pPr>
    </w:p>
    <w:p w14:paraId="0ACE298C" w14:textId="3C83E4F8"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t>So, per dollar invested, you get 9 cents in capital gains.</w:t>
      </w:r>
    </w:p>
    <w:p w14:paraId="221C8E18" w14:textId="77777777" w:rsidR="00B20672" w:rsidRDefault="00B20672" w:rsidP="00804DBB">
      <w:pPr>
        <w:spacing w:after="0" w:line="240" w:lineRule="auto"/>
        <w:jc w:val="both"/>
        <w:rPr>
          <w:rFonts w:ascii="Bookman Old Style" w:eastAsiaTheme="minorEastAsia" w:hAnsi="Bookman Old Style"/>
        </w:rPr>
      </w:pPr>
    </w:p>
    <w:p w14:paraId="5199E58C" w14:textId="589E31D9" w:rsidR="00B20672" w:rsidRDefault="00B20672" w:rsidP="00804DBB">
      <w:pPr>
        <w:spacing w:after="0" w:line="240" w:lineRule="auto"/>
        <w:jc w:val="both"/>
        <w:rPr>
          <w:rFonts w:ascii="Bookman Old Style" w:eastAsiaTheme="minorEastAsia" w:hAnsi="Bookman Old Style"/>
        </w:rPr>
      </w:pPr>
      <w:r>
        <w:rPr>
          <w:rFonts w:ascii="Bookman Old Style" w:eastAsiaTheme="minorEastAsia" w:hAnsi="Bookman Old Style"/>
        </w:rPr>
        <w:t>Putting it together, per dollar invested, we get 5 cents in dividends and 9 cents in capital gains – a total of 14 cents. Our percentage return is 14 cents on the dollar, or 14%.</w:t>
      </w:r>
    </w:p>
    <w:p w14:paraId="699FC530" w14:textId="77777777" w:rsidR="00DB24DA" w:rsidRDefault="00DB24DA" w:rsidP="00804DBB">
      <w:pPr>
        <w:spacing w:after="0" w:line="240" w:lineRule="auto"/>
        <w:jc w:val="both"/>
        <w:rPr>
          <w:rFonts w:ascii="Bookman Old Style" w:eastAsiaTheme="minorEastAsia" w:hAnsi="Bookman Old Style"/>
        </w:rPr>
      </w:pPr>
    </w:p>
    <w:p w14:paraId="315CC411" w14:textId="4AA4AA15" w:rsidR="00DB24DA" w:rsidRDefault="00DB24DA" w:rsidP="00804DBB">
      <w:pPr>
        <w:spacing w:after="0" w:line="240" w:lineRule="auto"/>
        <w:jc w:val="both"/>
        <w:rPr>
          <w:rFonts w:ascii="Bookman Old Style" w:eastAsiaTheme="minorEastAsia" w:hAnsi="Bookman Old Style"/>
        </w:rPr>
      </w:pPr>
      <w:r>
        <w:rPr>
          <w:rFonts w:ascii="Bookman Old Style" w:eastAsiaTheme="minorEastAsia" w:hAnsi="Bookman Old Style"/>
        </w:rPr>
        <w:t>To check this – notice you invested $3700 and ended with $4218. By what percentage did you $3700 increase?</w:t>
      </w:r>
    </w:p>
    <w:p w14:paraId="5EA06738" w14:textId="77777777" w:rsidR="00DB24DA" w:rsidRDefault="00DB24DA" w:rsidP="00804DBB">
      <w:pPr>
        <w:spacing w:after="0" w:line="240" w:lineRule="auto"/>
        <w:jc w:val="both"/>
        <w:rPr>
          <w:rFonts w:ascii="Bookman Old Style" w:eastAsiaTheme="minorEastAsia" w:hAnsi="Bookman Old Style"/>
        </w:rPr>
      </w:pPr>
    </w:p>
    <w:p w14:paraId="2A1DC032" w14:textId="5DC1BFB0" w:rsidR="00DB24DA" w:rsidRDefault="00DB24DA" w:rsidP="00804DBB">
      <w:pPr>
        <w:spacing w:after="0" w:line="240" w:lineRule="auto"/>
        <w:jc w:val="both"/>
        <w:rPr>
          <w:rFonts w:ascii="Bookman Old Style" w:eastAsiaTheme="minorEastAsia" w:hAnsi="Bookman Old Style"/>
        </w:rPr>
      </w:pPr>
      <w:r>
        <w:rPr>
          <w:rFonts w:ascii="Bookman Old Style" w:eastAsiaTheme="minorEastAsia" w:hAnsi="Bookman Old Style"/>
        </w:rPr>
        <w:t>You picked up $4218 – 3700 = $518, this is a $518/$3700 = 14% increase</w:t>
      </w:r>
    </w:p>
    <w:p w14:paraId="35C83C65" w14:textId="77777777" w:rsidR="00DB24DA" w:rsidRDefault="00DB24DA" w:rsidP="00804DBB">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DB24DA" w14:paraId="56A39908" w14:textId="77777777" w:rsidTr="00DB24DA">
        <w:tc>
          <w:tcPr>
            <w:tcW w:w="9576" w:type="dxa"/>
          </w:tcPr>
          <w:p w14:paraId="5D32B06E" w14:textId="77777777" w:rsidR="00DB24DA" w:rsidRDefault="00DB24DA" w:rsidP="00804DBB">
            <w:pPr>
              <w:jc w:val="both"/>
              <w:rPr>
                <w:rFonts w:ascii="Bookman Old Style" w:eastAsiaTheme="minorEastAsia" w:hAnsi="Bookman Old Style"/>
              </w:rPr>
            </w:pPr>
          </w:p>
          <w:p w14:paraId="7CA754B5" w14:textId="77777777" w:rsidR="00DB24DA" w:rsidRDefault="00DB24DA" w:rsidP="00804DBB">
            <w:pPr>
              <w:jc w:val="both"/>
              <w:rPr>
                <w:rFonts w:ascii="Bookman Old Style" w:eastAsiaTheme="minorEastAsia" w:hAnsi="Bookman Old Style"/>
              </w:rPr>
            </w:pPr>
            <w:r>
              <w:rPr>
                <w:rFonts w:ascii="Bookman Old Style" w:eastAsiaTheme="minorEastAsia" w:hAnsi="Bookman Old Style"/>
                <w:i/>
                <w:u w:val="single"/>
              </w:rPr>
              <w:t>Ex.:</w:t>
            </w:r>
          </w:p>
          <w:p w14:paraId="3A69A169" w14:textId="77777777" w:rsidR="00DB24DA" w:rsidRDefault="00DB24DA" w:rsidP="00804DBB">
            <w:pPr>
              <w:jc w:val="both"/>
              <w:rPr>
                <w:rFonts w:ascii="Bookman Old Style" w:eastAsiaTheme="minorEastAsia" w:hAnsi="Bookman Old Style"/>
              </w:rPr>
            </w:pPr>
            <w:r>
              <w:rPr>
                <w:rFonts w:ascii="Bookman Old Style" w:eastAsiaTheme="minorEastAsia" w:hAnsi="Bookman Old Style"/>
              </w:rPr>
              <w:t xml:space="preserve">You buy a stock for $25 per share. At the end of the year, the price is $35 per share. During the year, you get a $2 dividend per share. What’s the dividend yield? The capital gains yield? The percentage return? </w:t>
            </w:r>
          </w:p>
          <w:p w14:paraId="01620427" w14:textId="77777777" w:rsidR="00DB24DA" w:rsidRDefault="00DB24DA" w:rsidP="00804DBB">
            <w:pPr>
              <w:jc w:val="both"/>
              <w:rPr>
                <w:rFonts w:ascii="Bookman Old Style" w:eastAsiaTheme="minorEastAsia" w:hAnsi="Bookman Old Style"/>
              </w:rPr>
            </w:pPr>
          </w:p>
          <w:p w14:paraId="2845F8D4" w14:textId="77777777" w:rsidR="00DB24DA" w:rsidRDefault="00DB24DA" w:rsidP="00804DBB">
            <w:pPr>
              <w:jc w:val="both"/>
              <w:rPr>
                <w:rFonts w:ascii="Bookman Old Style" w:eastAsiaTheme="minorEastAsia" w:hAnsi="Bookman Old Style"/>
              </w:rPr>
            </w:pPr>
            <w:r>
              <w:rPr>
                <w:rFonts w:ascii="Bookman Old Style" w:eastAsiaTheme="minorEastAsia" w:hAnsi="Bookman Old Style"/>
              </w:rPr>
              <w:t>Your $2 dividend per share works out to a dividend yield of:</w:t>
            </w:r>
          </w:p>
          <w:p w14:paraId="1F679A63" w14:textId="77777777" w:rsidR="00DB24DA" w:rsidRDefault="00DB24DA" w:rsidP="00804DBB">
            <w:pPr>
              <w:jc w:val="both"/>
              <w:rPr>
                <w:rFonts w:ascii="Bookman Old Style" w:eastAsiaTheme="minorEastAsia" w:hAnsi="Bookman Old Style"/>
              </w:rPr>
            </w:pPr>
          </w:p>
          <w:p w14:paraId="649A7DE0" w14:textId="77777777" w:rsidR="00DB24DA" w:rsidRPr="00DB24DA" w:rsidRDefault="00DB24DA" w:rsidP="00804DBB">
            <w:pPr>
              <w:jc w:val="both"/>
              <w:rPr>
                <w:rFonts w:ascii="Bookman Old Style" w:eastAsiaTheme="minorEastAsia" w:hAnsi="Bookman Old Style"/>
              </w:rPr>
            </w:pPr>
            <m:oMathPara>
              <m:oMath>
                <m:r>
                  <w:rPr>
                    <w:rFonts w:ascii="Cambria Math" w:eastAsiaTheme="minorEastAsia" w:hAnsi="Cambria Math"/>
                  </w:rPr>
                  <m:t>Dividend Yield=</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$25</m:t>
                    </m:r>
                  </m:den>
                </m:f>
                <m:r>
                  <w:rPr>
                    <w:rFonts w:ascii="Cambria Math" w:eastAsiaTheme="minorEastAsia" w:hAnsi="Cambria Math"/>
                  </w:rPr>
                  <m:t>=0.08=8%</m:t>
                </m:r>
              </m:oMath>
            </m:oMathPara>
          </w:p>
          <w:p w14:paraId="15DBDB86" w14:textId="77777777" w:rsidR="00DB24DA" w:rsidRDefault="00DB24DA" w:rsidP="00804DBB">
            <w:pPr>
              <w:jc w:val="both"/>
              <w:rPr>
                <w:rFonts w:ascii="Bookman Old Style" w:eastAsiaTheme="minorEastAsia" w:hAnsi="Bookman Old Style"/>
              </w:rPr>
            </w:pPr>
          </w:p>
          <w:p w14:paraId="2E815715" w14:textId="77777777" w:rsidR="00DB24DA" w:rsidRDefault="00DB24DA" w:rsidP="00804DBB">
            <w:pPr>
              <w:jc w:val="both"/>
              <w:rPr>
                <w:rFonts w:ascii="Bookman Old Style" w:eastAsiaTheme="minorEastAsia" w:hAnsi="Bookman Old Style"/>
              </w:rPr>
            </w:pPr>
            <w:r>
              <w:rPr>
                <w:rFonts w:ascii="Bookman Old Style" w:eastAsiaTheme="minorEastAsia" w:hAnsi="Bookman Old Style"/>
              </w:rPr>
              <w:t>The per share capital gain is $10, so the capital gains yield is:</w:t>
            </w:r>
          </w:p>
          <w:p w14:paraId="32F68B55" w14:textId="77777777" w:rsidR="00DB24DA" w:rsidRDefault="00DB24DA" w:rsidP="00804DBB">
            <w:pPr>
              <w:jc w:val="both"/>
              <w:rPr>
                <w:rFonts w:ascii="Bookman Old Style" w:eastAsiaTheme="minorEastAsia" w:hAnsi="Bookman Old Style"/>
              </w:rPr>
            </w:pPr>
          </w:p>
          <w:p w14:paraId="374C1964" w14:textId="77777777" w:rsidR="00DB24DA" w:rsidRPr="00DB24DA" w:rsidRDefault="00DB24DA" w:rsidP="00804DBB">
            <w:pPr>
              <w:jc w:val="both"/>
              <w:rPr>
                <w:rFonts w:ascii="Bookman Old Style" w:eastAsiaTheme="minorEastAsia" w:hAnsi="Bookman Old Style"/>
              </w:rPr>
            </w:pPr>
            <m:oMathPara>
              <m:oMath>
                <m:r>
                  <w:rPr>
                    <w:rFonts w:ascii="Cambria Math" w:eastAsiaTheme="minorEastAsia" w:hAnsi="Cambria Math"/>
                  </w:rPr>
                  <m:t>Capital Gains Yield=</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$35-25</m:t>
                    </m:r>
                  </m:num>
                  <m:den>
                    <m:r>
                      <w:rPr>
                        <w:rFonts w:ascii="Cambria Math" w:eastAsiaTheme="minorEastAsia" w:hAnsi="Cambria Math"/>
                      </w:rPr>
                      <m:t>$25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$25</m:t>
                    </m:r>
                  </m:den>
                </m:f>
                <m:r>
                  <w:rPr>
                    <w:rFonts w:ascii="Cambria Math" w:eastAsiaTheme="minorEastAsia" w:hAnsi="Cambria Math"/>
                  </w:rPr>
                  <m:t>=40%</m:t>
                </m:r>
              </m:oMath>
            </m:oMathPara>
          </w:p>
          <w:p w14:paraId="7D76DF2D" w14:textId="77777777" w:rsidR="00DB24DA" w:rsidRDefault="00DB24DA" w:rsidP="00804DBB">
            <w:pPr>
              <w:jc w:val="both"/>
              <w:rPr>
                <w:rFonts w:ascii="Bookman Old Style" w:eastAsiaTheme="minorEastAsia" w:hAnsi="Bookman Old Style"/>
              </w:rPr>
            </w:pPr>
          </w:p>
          <w:p w14:paraId="545CB6FC" w14:textId="77777777" w:rsidR="00DB24DA" w:rsidRPr="00DB24DA" w:rsidRDefault="00DB24DA" w:rsidP="00804DBB">
            <w:pPr>
              <w:jc w:val="both"/>
              <w:rPr>
                <w:rFonts w:ascii="Bookman Old Style" w:eastAsiaTheme="minorEastAsia" w:hAnsi="Bookman Old Style"/>
              </w:rPr>
            </w:pPr>
            <w:r>
              <w:rPr>
                <w:rFonts w:ascii="Bookman Old Style" w:eastAsiaTheme="minorEastAsia" w:hAnsi="Bookman Old Style"/>
              </w:rPr>
              <w:t>The total percentage return is therefore 48%.</w:t>
            </w:r>
          </w:p>
          <w:p w14:paraId="7C5B539D" w14:textId="77777777" w:rsidR="00DB24DA" w:rsidRDefault="00DB24DA" w:rsidP="00804DBB">
            <w:pPr>
              <w:jc w:val="both"/>
              <w:rPr>
                <w:rFonts w:ascii="Bookman Old Style" w:eastAsiaTheme="minorEastAsia" w:hAnsi="Bookman Old Style"/>
              </w:rPr>
            </w:pPr>
          </w:p>
        </w:tc>
      </w:tr>
    </w:tbl>
    <w:p w14:paraId="16BDDF3C" w14:textId="77777777" w:rsidR="00DB24DA" w:rsidRDefault="00DB24DA" w:rsidP="00804DBB">
      <w:pPr>
        <w:spacing w:after="0" w:line="240" w:lineRule="auto"/>
        <w:jc w:val="both"/>
        <w:rPr>
          <w:rFonts w:ascii="Bookman Old Style" w:eastAsiaTheme="minorEastAsia" w:hAnsi="Bookman Old Style"/>
        </w:rPr>
      </w:pPr>
    </w:p>
    <w:p w14:paraId="03E4C249" w14:textId="77777777" w:rsidR="00DB24DA" w:rsidRDefault="00DB24DA" w:rsidP="00804DBB">
      <w:pPr>
        <w:spacing w:after="0" w:line="240" w:lineRule="auto"/>
        <w:jc w:val="both"/>
        <w:rPr>
          <w:rFonts w:ascii="Bookman Old Style" w:eastAsiaTheme="minorEastAsia" w:hAnsi="Bookman Old Style"/>
        </w:rPr>
      </w:pPr>
    </w:p>
    <w:p w14:paraId="79FE0ABC" w14:textId="21EED28C" w:rsidR="00DB24DA" w:rsidRDefault="00DB24DA"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lastRenderedPageBreak/>
        <w:t>THE HISTORICAL RECORD</w:t>
      </w:r>
    </w:p>
    <w:p w14:paraId="62100F43" w14:textId="64B154B9" w:rsidR="00DB24DA" w:rsidRDefault="003364A3" w:rsidP="00804DBB">
      <w:pPr>
        <w:spacing w:after="0" w:line="240" w:lineRule="auto"/>
        <w:jc w:val="both"/>
        <w:rPr>
          <w:rFonts w:ascii="Bookman Old Style" w:eastAsiaTheme="minorEastAsia" w:hAnsi="Bookman Old Style"/>
        </w:rPr>
      </w:pPr>
      <w:r>
        <w:rPr>
          <w:rFonts w:ascii="Bookman Old Style" w:eastAsiaTheme="minorEastAsia" w:hAnsi="Bookman Old Style"/>
        </w:rPr>
        <w:t>Capital market history is important to investment consultants who advise institutional investors on portfolio strategy.</w:t>
      </w:r>
    </w:p>
    <w:p w14:paraId="14D2591C" w14:textId="77777777" w:rsidR="003364A3" w:rsidRDefault="003364A3" w:rsidP="00804DBB">
      <w:pPr>
        <w:spacing w:after="0" w:line="240" w:lineRule="auto"/>
        <w:jc w:val="both"/>
        <w:rPr>
          <w:rFonts w:ascii="Bookman Old Style" w:eastAsiaTheme="minorEastAsia" w:hAnsi="Bookman Old Style"/>
        </w:rPr>
      </w:pPr>
    </w:p>
    <w:p w14:paraId="020C16FA" w14:textId="443F587A" w:rsidR="003364A3" w:rsidRDefault="003364A3" w:rsidP="00804DBB">
      <w:pPr>
        <w:spacing w:after="0" w:line="240" w:lineRule="auto"/>
        <w:jc w:val="both"/>
        <w:rPr>
          <w:rFonts w:ascii="Bookman Old Style" w:eastAsiaTheme="minorEastAsia" w:hAnsi="Bookman Old Style"/>
        </w:rPr>
      </w:pPr>
      <w:r>
        <w:rPr>
          <w:rFonts w:ascii="Bookman Old Style" w:eastAsiaTheme="minorEastAsia" w:hAnsi="Bookman Old Style"/>
        </w:rPr>
        <w:t>The following data presents year-to-year historical rates of return on 6 important types of financial investments.</w:t>
      </w:r>
    </w:p>
    <w:p w14:paraId="1C88B974" w14:textId="77777777" w:rsidR="003364A3" w:rsidRDefault="003364A3" w:rsidP="00804DBB">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1188"/>
        <w:gridCol w:w="1196"/>
        <w:gridCol w:w="1214"/>
        <w:gridCol w:w="1188"/>
        <w:gridCol w:w="1193"/>
        <w:gridCol w:w="1191"/>
        <w:gridCol w:w="1192"/>
        <w:gridCol w:w="1214"/>
      </w:tblGrid>
      <w:tr w:rsidR="003364A3" w14:paraId="491D0355" w14:textId="77777777" w:rsidTr="003364A3">
        <w:tc>
          <w:tcPr>
            <w:tcW w:w="1197" w:type="dxa"/>
            <w:vAlign w:val="center"/>
          </w:tcPr>
          <w:p w14:paraId="19783681" w14:textId="5EA0BD49"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Year</w:t>
            </w:r>
          </w:p>
        </w:tc>
        <w:tc>
          <w:tcPr>
            <w:tcW w:w="1197" w:type="dxa"/>
            <w:vAlign w:val="center"/>
          </w:tcPr>
          <w:p w14:paraId="33CFA118" w14:textId="578A8FAE"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Statistics Canada inflation</w:t>
            </w:r>
          </w:p>
        </w:tc>
        <w:tc>
          <w:tcPr>
            <w:tcW w:w="1197" w:type="dxa"/>
            <w:vAlign w:val="center"/>
          </w:tcPr>
          <w:p w14:paraId="3F63F255" w14:textId="79B6F135"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Canadian stocks S&amp;P/TSX Composite</w:t>
            </w:r>
          </w:p>
        </w:tc>
        <w:tc>
          <w:tcPr>
            <w:tcW w:w="1197" w:type="dxa"/>
            <w:vAlign w:val="center"/>
          </w:tcPr>
          <w:p w14:paraId="78546DD5" w14:textId="2F1065A6"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DEX 91 day T-bill</w:t>
            </w:r>
          </w:p>
        </w:tc>
        <w:tc>
          <w:tcPr>
            <w:tcW w:w="1197" w:type="dxa"/>
            <w:vAlign w:val="center"/>
          </w:tcPr>
          <w:p w14:paraId="5A06851B" w14:textId="23186095"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Scotial Capital Markets long bonds</w:t>
            </w:r>
          </w:p>
        </w:tc>
        <w:tc>
          <w:tcPr>
            <w:tcW w:w="1197" w:type="dxa"/>
            <w:vAlign w:val="center"/>
          </w:tcPr>
          <w:p w14:paraId="472D390C" w14:textId="793DEE58"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US stocks S&amp;P 500 (CAD$)</w:t>
            </w:r>
          </w:p>
        </w:tc>
        <w:tc>
          <w:tcPr>
            <w:tcW w:w="1197" w:type="dxa"/>
            <w:vAlign w:val="center"/>
          </w:tcPr>
          <w:p w14:paraId="2CF24BD7" w14:textId="57EDAB57"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Nesbitt Burns small stocks</w:t>
            </w:r>
          </w:p>
        </w:tc>
        <w:tc>
          <w:tcPr>
            <w:tcW w:w="1197" w:type="dxa"/>
            <w:vAlign w:val="center"/>
          </w:tcPr>
          <w:p w14:paraId="66543FB5" w14:textId="53D30EBB" w:rsidR="003364A3" w:rsidRPr="003364A3" w:rsidRDefault="003364A3" w:rsidP="00804DBB">
            <w:pPr>
              <w:jc w:val="center"/>
              <w:rPr>
                <w:rFonts w:ascii="Bookman Old Style" w:eastAsiaTheme="minorEastAsia" w:hAnsi="Bookman Old Style"/>
                <w:b/>
                <w:sz w:val="18"/>
              </w:rPr>
            </w:pPr>
            <w:r w:rsidRPr="003364A3">
              <w:rPr>
                <w:rFonts w:ascii="Bookman Old Style" w:eastAsiaTheme="minorEastAsia" w:hAnsi="Bookman Old Style"/>
                <w:b/>
                <w:sz w:val="18"/>
              </w:rPr>
              <w:t>S&amp;P/TSX Venture Composite</w:t>
            </w:r>
          </w:p>
        </w:tc>
      </w:tr>
      <w:tr w:rsidR="003364A3" w14:paraId="2D120D32" w14:textId="77777777" w:rsidTr="003364A3">
        <w:tc>
          <w:tcPr>
            <w:tcW w:w="1197" w:type="dxa"/>
          </w:tcPr>
          <w:p w14:paraId="7915A207" w14:textId="62E90BE0"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1948</w:t>
            </w:r>
          </w:p>
        </w:tc>
        <w:tc>
          <w:tcPr>
            <w:tcW w:w="1197" w:type="dxa"/>
          </w:tcPr>
          <w:p w14:paraId="4DF5D1B1" w14:textId="21797874"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8.88</w:t>
            </w:r>
          </w:p>
        </w:tc>
        <w:tc>
          <w:tcPr>
            <w:tcW w:w="1197" w:type="dxa"/>
          </w:tcPr>
          <w:p w14:paraId="6A7A438C" w14:textId="4C0EB914"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12.25</w:t>
            </w:r>
          </w:p>
        </w:tc>
        <w:tc>
          <w:tcPr>
            <w:tcW w:w="1197" w:type="dxa"/>
          </w:tcPr>
          <w:p w14:paraId="6F7E404D" w14:textId="6BDF2448"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0.40</w:t>
            </w:r>
          </w:p>
        </w:tc>
        <w:tc>
          <w:tcPr>
            <w:tcW w:w="1197" w:type="dxa"/>
          </w:tcPr>
          <w:p w14:paraId="5975C022" w14:textId="6A7FCD33"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-0.80</w:t>
            </w:r>
          </w:p>
        </w:tc>
        <w:tc>
          <w:tcPr>
            <w:tcW w:w="1197" w:type="dxa"/>
          </w:tcPr>
          <w:p w14:paraId="1558C36D" w14:textId="43EFFEDC"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5.50</w:t>
            </w:r>
          </w:p>
        </w:tc>
        <w:tc>
          <w:tcPr>
            <w:tcW w:w="1197" w:type="dxa"/>
          </w:tcPr>
          <w:p w14:paraId="094DF5BB" w14:textId="77777777" w:rsidR="003364A3" w:rsidRPr="003364A3" w:rsidRDefault="003364A3" w:rsidP="00804DBB">
            <w:pPr>
              <w:jc w:val="center"/>
              <w:rPr>
                <w:rFonts w:ascii="Bookman Old Style" w:eastAsiaTheme="minorEastAsia" w:hAnsi="Bookman Old Style"/>
                <w:sz w:val="18"/>
              </w:rPr>
            </w:pPr>
          </w:p>
        </w:tc>
        <w:tc>
          <w:tcPr>
            <w:tcW w:w="1197" w:type="dxa"/>
          </w:tcPr>
          <w:p w14:paraId="0ED8C534" w14:textId="77777777" w:rsidR="003364A3" w:rsidRPr="003364A3" w:rsidRDefault="003364A3" w:rsidP="00804DBB">
            <w:pPr>
              <w:jc w:val="center"/>
              <w:rPr>
                <w:rFonts w:ascii="Bookman Old Style" w:eastAsiaTheme="minorEastAsia" w:hAnsi="Bookman Old Style"/>
                <w:sz w:val="18"/>
              </w:rPr>
            </w:pPr>
          </w:p>
        </w:tc>
      </w:tr>
      <w:tr w:rsidR="003364A3" w14:paraId="76B37BC9" w14:textId="77777777" w:rsidTr="003364A3">
        <w:tc>
          <w:tcPr>
            <w:tcW w:w="1197" w:type="dxa"/>
          </w:tcPr>
          <w:p w14:paraId="2890FE93" w14:textId="691115E3"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1949</w:t>
            </w:r>
          </w:p>
        </w:tc>
        <w:tc>
          <w:tcPr>
            <w:tcW w:w="1197" w:type="dxa"/>
          </w:tcPr>
          <w:p w14:paraId="5D8304D9" w14:textId="4F8188BF"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1.09</w:t>
            </w:r>
          </w:p>
        </w:tc>
        <w:tc>
          <w:tcPr>
            <w:tcW w:w="1197" w:type="dxa"/>
          </w:tcPr>
          <w:p w14:paraId="065DE28F" w14:textId="3767D4B7"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23.85</w:t>
            </w:r>
          </w:p>
        </w:tc>
        <w:tc>
          <w:tcPr>
            <w:tcW w:w="1197" w:type="dxa"/>
          </w:tcPr>
          <w:p w14:paraId="5AC946BD" w14:textId="25583557"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0.45</w:t>
            </w:r>
          </w:p>
        </w:tc>
        <w:tc>
          <w:tcPr>
            <w:tcW w:w="1197" w:type="dxa"/>
          </w:tcPr>
          <w:p w14:paraId="76ABA2BD" w14:textId="440321AC"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5.18</w:t>
            </w:r>
          </w:p>
        </w:tc>
        <w:tc>
          <w:tcPr>
            <w:tcW w:w="1197" w:type="dxa"/>
          </w:tcPr>
          <w:p w14:paraId="318F23F2" w14:textId="472F9FDF"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22.15</w:t>
            </w:r>
          </w:p>
        </w:tc>
        <w:tc>
          <w:tcPr>
            <w:tcW w:w="1197" w:type="dxa"/>
          </w:tcPr>
          <w:p w14:paraId="5B62DB58" w14:textId="77777777" w:rsidR="003364A3" w:rsidRPr="003364A3" w:rsidRDefault="003364A3" w:rsidP="00804DBB">
            <w:pPr>
              <w:jc w:val="center"/>
              <w:rPr>
                <w:rFonts w:ascii="Bookman Old Style" w:eastAsiaTheme="minorEastAsia" w:hAnsi="Bookman Old Style"/>
                <w:sz w:val="18"/>
              </w:rPr>
            </w:pPr>
          </w:p>
        </w:tc>
        <w:tc>
          <w:tcPr>
            <w:tcW w:w="1197" w:type="dxa"/>
          </w:tcPr>
          <w:p w14:paraId="7A85B667" w14:textId="77777777" w:rsidR="003364A3" w:rsidRPr="003364A3" w:rsidRDefault="003364A3" w:rsidP="00804DBB">
            <w:pPr>
              <w:jc w:val="center"/>
              <w:rPr>
                <w:rFonts w:ascii="Bookman Old Style" w:eastAsiaTheme="minorEastAsia" w:hAnsi="Bookman Old Style"/>
                <w:sz w:val="18"/>
              </w:rPr>
            </w:pPr>
          </w:p>
        </w:tc>
      </w:tr>
      <w:tr w:rsidR="003364A3" w14:paraId="280F90A5" w14:textId="77777777" w:rsidTr="003364A3">
        <w:tc>
          <w:tcPr>
            <w:tcW w:w="1197" w:type="dxa"/>
          </w:tcPr>
          <w:p w14:paraId="3B6A6DBD" w14:textId="782CD431"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1950</w:t>
            </w:r>
          </w:p>
        </w:tc>
        <w:tc>
          <w:tcPr>
            <w:tcW w:w="1197" w:type="dxa"/>
          </w:tcPr>
          <w:p w14:paraId="7D00AFFE" w14:textId="6AD55C3A"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5.91</w:t>
            </w:r>
          </w:p>
        </w:tc>
        <w:tc>
          <w:tcPr>
            <w:tcW w:w="1197" w:type="dxa"/>
          </w:tcPr>
          <w:p w14:paraId="1E6C964A" w14:textId="164003CD"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51.69</w:t>
            </w:r>
          </w:p>
        </w:tc>
        <w:tc>
          <w:tcPr>
            <w:tcW w:w="1197" w:type="dxa"/>
          </w:tcPr>
          <w:p w14:paraId="46CE67D4" w14:textId="30DE8426"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0.51</w:t>
            </w:r>
          </w:p>
        </w:tc>
        <w:tc>
          <w:tcPr>
            <w:tcW w:w="1197" w:type="dxa"/>
          </w:tcPr>
          <w:p w14:paraId="77720CC6" w14:textId="638073E1"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1.74</w:t>
            </w:r>
          </w:p>
        </w:tc>
        <w:tc>
          <w:tcPr>
            <w:tcW w:w="1197" w:type="dxa"/>
          </w:tcPr>
          <w:p w14:paraId="6D61032F" w14:textId="51EA62EB"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39.18</w:t>
            </w:r>
          </w:p>
        </w:tc>
        <w:tc>
          <w:tcPr>
            <w:tcW w:w="1197" w:type="dxa"/>
          </w:tcPr>
          <w:p w14:paraId="3DC41AA2" w14:textId="77777777" w:rsidR="003364A3" w:rsidRPr="003364A3" w:rsidRDefault="003364A3" w:rsidP="00804DBB">
            <w:pPr>
              <w:jc w:val="center"/>
              <w:rPr>
                <w:rFonts w:ascii="Bookman Old Style" w:eastAsiaTheme="minorEastAsia" w:hAnsi="Bookman Old Style"/>
                <w:sz w:val="18"/>
              </w:rPr>
            </w:pPr>
          </w:p>
        </w:tc>
        <w:tc>
          <w:tcPr>
            <w:tcW w:w="1197" w:type="dxa"/>
          </w:tcPr>
          <w:p w14:paraId="273E9CBC" w14:textId="77777777" w:rsidR="003364A3" w:rsidRPr="003364A3" w:rsidRDefault="003364A3" w:rsidP="00804DBB">
            <w:pPr>
              <w:jc w:val="center"/>
              <w:rPr>
                <w:rFonts w:ascii="Bookman Old Style" w:eastAsiaTheme="minorEastAsia" w:hAnsi="Bookman Old Style"/>
                <w:sz w:val="18"/>
              </w:rPr>
            </w:pPr>
          </w:p>
        </w:tc>
      </w:tr>
      <w:tr w:rsidR="003364A3" w14:paraId="054C30FC" w14:textId="77777777" w:rsidTr="003364A3">
        <w:tc>
          <w:tcPr>
            <w:tcW w:w="1197" w:type="dxa"/>
          </w:tcPr>
          <w:p w14:paraId="57FBAE8C" w14:textId="22E3760A"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c>
          <w:tcPr>
            <w:tcW w:w="1197" w:type="dxa"/>
          </w:tcPr>
          <w:p w14:paraId="6D641662" w14:textId="2EF5C998"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c>
          <w:tcPr>
            <w:tcW w:w="1197" w:type="dxa"/>
          </w:tcPr>
          <w:p w14:paraId="33BBB287" w14:textId="3DBC8D47"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c>
          <w:tcPr>
            <w:tcW w:w="1197" w:type="dxa"/>
          </w:tcPr>
          <w:p w14:paraId="42BCA183" w14:textId="751C2925"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c>
          <w:tcPr>
            <w:tcW w:w="1197" w:type="dxa"/>
          </w:tcPr>
          <w:p w14:paraId="598CE878" w14:textId="6D70A3A4"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c>
          <w:tcPr>
            <w:tcW w:w="1197" w:type="dxa"/>
          </w:tcPr>
          <w:p w14:paraId="0DBF212F" w14:textId="4BE46C73"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c>
          <w:tcPr>
            <w:tcW w:w="1197" w:type="dxa"/>
          </w:tcPr>
          <w:p w14:paraId="7868B687" w14:textId="07142E56"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c>
          <w:tcPr>
            <w:tcW w:w="1197" w:type="dxa"/>
          </w:tcPr>
          <w:p w14:paraId="642F4A8F" w14:textId="43BECC56"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w:t>
            </w:r>
          </w:p>
        </w:tc>
      </w:tr>
      <w:tr w:rsidR="003364A3" w14:paraId="7D7CB1BA" w14:textId="77777777" w:rsidTr="003364A3">
        <w:tc>
          <w:tcPr>
            <w:tcW w:w="1197" w:type="dxa"/>
          </w:tcPr>
          <w:p w14:paraId="6DAD474F" w14:textId="33BB3457"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2009</w:t>
            </w:r>
          </w:p>
        </w:tc>
        <w:tc>
          <w:tcPr>
            <w:tcW w:w="1197" w:type="dxa"/>
          </w:tcPr>
          <w:p w14:paraId="2B95868E" w14:textId="2FD3CC8A"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1.30</w:t>
            </w:r>
          </w:p>
        </w:tc>
        <w:tc>
          <w:tcPr>
            <w:tcW w:w="1197" w:type="dxa"/>
          </w:tcPr>
          <w:p w14:paraId="2257BBF2" w14:textId="6B5AA94A"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34.35</w:t>
            </w:r>
          </w:p>
        </w:tc>
        <w:tc>
          <w:tcPr>
            <w:tcW w:w="1197" w:type="dxa"/>
          </w:tcPr>
          <w:p w14:paraId="1AD1FBE6" w14:textId="101D6FF3"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0.60</w:t>
            </w:r>
          </w:p>
        </w:tc>
        <w:tc>
          <w:tcPr>
            <w:tcW w:w="1197" w:type="dxa"/>
          </w:tcPr>
          <w:p w14:paraId="04B956E3" w14:textId="545C7EB0"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5.31</w:t>
            </w:r>
          </w:p>
        </w:tc>
        <w:tc>
          <w:tcPr>
            <w:tcW w:w="1197" w:type="dxa"/>
          </w:tcPr>
          <w:p w14:paraId="5546FC02" w14:textId="7B7515BA"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9.26</w:t>
            </w:r>
          </w:p>
        </w:tc>
        <w:tc>
          <w:tcPr>
            <w:tcW w:w="1197" w:type="dxa"/>
          </w:tcPr>
          <w:p w14:paraId="1F3EC5C0" w14:textId="12A95DC5"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86.80</w:t>
            </w:r>
          </w:p>
        </w:tc>
        <w:tc>
          <w:tcPr>
            <w:tcW w:w="1197" w:type="dxa"/>
          </w:tcPr>
          <w:p w14:paraId="4635153D" w14:textId="067F1A2C"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90.80</w:t>
            </w:r>
          </w:p>
        </w:tc>
      </w:tr>
      <w:tr w:rsidR="003364A3" w14:paraId="5C2A0451" w14:textId="77777777" w:rsidTr="003364A3">
        <w:tc>
          <w:tcPr>
            <w:tcW w:w="1197" w:type="dxa"/>
          </w:tcPr>
          <w:p w14:paraId="6F890D20" w14:textId="52F48EF0"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2010</w:t>
            </w:r>
          </w:p>
        </w:tc>
        <w:tc>
          <w:tcPr>
            <w:tcW w:w="1197" w:type="dxa"/>
          </w:tcPr>
          <w:p w14:paraId="77C98653" w14:textId="0B1C5C2A"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2.40</w:t>
            </w:r>
          </w:p>
        </w:tc>
        <w:tc>
          <w:tcPr>
            <w:tcW w:w="1197" w:type="dxa"/>
          </w:tcPr>
          <w:p w14:paraId="0933082E" w14:textId="5A087BF7"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17.27</w:t>
            </w:r>
          </w:p>
        </w:tc>
        <w:tc>
          <w:tcPr>
            <w:tcW w:w="1197" w:type="dxa"/>
          </w:tcPr>
          <w:p w14:paraId="05CD8117" w14:textId="1288A23A"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0.50</w:t>
            </w:r>
          </w:p>
        </w:tc>
        <w:tc>
          <w:tcPr>
            <w:tcW w:w="1197" w:type="dxa"/>
          </w:tcPr>
          <w:p w14:paraId="37DE018F" w14:textId="1EC44957"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12.10</w:t>
            </w:r>
          </w:p>
        </w:tc>
        <w:tc>
          <w:tcPr>
            <w:tcW w:w="1197" w:type="dxa"/>
          </w:tcPr>
          <w:p w14:paraId="5AEE993F" w14:textId="6B3E3FE8"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8.10</w:t>
            </w:r>
          </w:p>
        </w:tc>
        <w:tc>
          <w:tcPr>
            <w:tcW w:w="1197" w:type="dxa"/>
          </w:tcPr>
          <w:p w14:paraId="0E79FEF9" w14:textId="4E26950D"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36.10</w:t>
            </w:r>
          </w:p>
        </w:tc>
        <w:tc>
          <w:tcPr>
            <w:tcW w:w="1197" w:type="dxa"/>
          </w:tcPr>
          <w:p w14:paraId="79375E4F" w14:textId="3930F19C"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50.45</w:t>
            </w:r>
          </w:p>
        </w:tc>
      </w:tr>
      <w:tr w:rsidR="003364A3" w14:paraId="453A08E2" w14:textId="77777777" w:rsidTr="003364A3">
        <w:tc>
          <w:tcPr>
            <w:tcW w:w="1197" w:type="dxa"/>
          </w:tcPr>
          <w:p w14:paraId="303DCD08" w14:textId="5E739CDE"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2011</w:t>
            </w:r>
          </w:p>
        </w:tc>
        <w:tc>
          <w:tcPr>
            <w:tcW w:w="1197" w:type="dxa"/>
          </w:tcPr>
          <w:p w14:paraId="4DEF7423" w14:textId="1455D787"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2.30</w:t>
            </w:r>
          </w:p>
        </w:tc>
        <w:tc>
          <w:tcPr>
            <w:tcW w:w="1197" w:type="dxa"/>
          </w:tcPr>
          <w:p w14:paraId="76474072" w14:textId="3C3A1894"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-8.57</w:t>
            </w:r>
          </w:p>
        </w:tc>
        <w:tc>
          <w:tcPr>
            <w:tcW w:w="1197" w:type="dxa"/>
          </w:tcPr>
          <w:p w14:paraId="26805E89" w14:textId="1BCDCAFF"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1.00</w:t>
            </w:r>
          </w:p>
        </w:tc>
        <w:tc>
          <w:tcPr>
            <w:tcW w:w="1197" w:type="dxa"/>
          </w:tcPr>
          <w:p w14:paraId="25B770D5" w14:textId="40F15B53"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17.72</w:t>
            </w:r>
          </w:p>
        </w:tc>
        <w:tc>
          <w:tcPr>
            <w:tcW w:w="1197" w:type="dxa"/>
          </w:tcPr>
          <w:p w14:paraId="097064AA" w14:textId="06494BF5"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4.39</w:t>
            </w:r>
          </w:p>
        </w:tc>
        <w:tc>
          <w:tcPr>
            <w:tcW w:w="1197" w:type="dxa"/>
          </w:tcPr>
          <w:p w14:paraId="37D27399" w14:textId="44F3B073"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-19.50</w:t>
            </w:r>
          </w:p>
        </w:tc>
        <w:tc>
          <w:tcPr>
            <w:tcW w:w="1197" w:type="dxa"/>
          </w:tcPr>
          <w:p w14:paraId="1FA98402" w14:textId="53C4F954" w:rsidR="003364A3" w:rsidRPr="003364A3" w:rsidRDefault="003364A3" w:rsidP="00804DBB">
            <w:pPr>
              <w:jc w:val="center"/>
              <w:rPr>
                <w:rFonts w:ascii="Bookman Old Style" w:eastAsiaTheme="minorEastAsia" w:hAnsi="Bookman Old Style"/>
                <w:sz w:val="18"/>
              </w:rPr>
            </w:pPr>
            <w:r w:rsidRPr="003364A3">
              <w:rPr>
                <w:rFonts w:ascii="Bookman Old Style" w:eastAsiaTheme="minorEastAsia" w:hAnsi="Bookman Old Style"/>
                <w:sz w:val="18"/>
              </w:rPr>
              <w:t>-35.07</w:t>
            </w:r>
          </w:p>
        </w:tc>
      </w:tr>
    </w:tbl>
    <w:p w14:paraId="4D322925" w14:textId="77777777" w:rsidR="003364A3" w:rsidRDefault="003364A3" w:rsidP="00804DBB">
      <w:pPr>
        <w:spacing w:after="0" w:line="240" w:lineRule="auto"/>
        <w:jc w:val="both"/>
        <w:rPr>
          <w:rFonts w:ascii="Bookman Old Style" w:eastAsiaTheme="minorEastAsia" w:hAnsi="Bookman Old Style"/>
        </w:rPr>
      </w:pPr>
    </w:p>
    <w:p w14:paraId="1437BA83" w14:textId="6B59A26F" w:rsidR="003364A3" w:rsidRDefault="003364A3" w:rsidP="00804DBB">
      <w:pPr>
        <w:spacing w:after="0" w:line="240" w:lineRule="auto"/>
        <w:jc w:val="both"/>
        <w:rPr>
          <w:rFonts w:ascii="Bookman Old Style" w:eastAsiaTheme="minorEastAsia" w:hAnsi="Bookman Old Style"/>
        </w:rPr>
      </w:pPr>
      <w:r>
        <w:rPr>
          <w:rFonts w:ascii="Bookman Old Style" w:eastAsiaTheme="minorEastAsia" w:hAnsi="Bookman Old Style"/>
        </w:rPr>
        <w:t>The returns can be interpreted as what you’d have earned if you held portfolios of the following:</w:t>
      </w:r>
    </w:p>
    <w:p w14:paraId="2C16DE6B" w14:textId="77777777" w:rsidR="003364A3" w:rsidRDefault="003364A3" w:rsidP="00804DBB">
      <w:pPr>
        <w:spacing w:after="0" w:line="240" w:lineRule="auto"/>
        <w:jc w:val="both"/>
        <w:rPr>
          <w:rFonts w:ascii="Bookman Old Style" w:eastAsiaTheme="minorEastAsia" w:hAnsi="Bookman Old Style"/>
        </w:rPr>
      </w:pPr>
    </w:p>
    <w:p w14:paraId="68B96958" w14:textId="70680440" w:rsidR="003364A3" w:rsidRDefault="003364A3" w:rsidP="00804DBB">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Canadian common stocks. The common stock portfolio is based on a sample if the largest companies (in total market value of outstanding stock) in Canada</w:t>
      </w:r>
    </w:p>
    <w:p w14:paraId="3BD4DE7C" w14:textId="77777777" w:rsidR="003364A3" w:rsidRDefault="003364A3" w:rsidP="00804DBB">
      <w:pPr>
        <w:spacing w:after="0" w:line="240" w:lineRule="auto"/>
        <w:jc w:val="both"/>
        <w:rPr>
          <w:rFonts w:ascii="Bookman Old Style" w:eastAsiaTheme="minorEastAsia" w:hAnsi="Bookman Old Style"/>
        </w:rPr>
      </w:pPr>
    </w:p>
    <w:p w14:paraId="38E5E020" w14:textId="59B95610" w:rsidR="003364A3" w:rsidRDefault="003364A3" w:rsidP="00804DBB">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US common stocks. The US common stock portfolio consists of 500 of the largest US companies. The full historical series is given in US dollars. A separate series presents US stock returns in Canadian dollars adjusting for shifts in exchange rates.</w:t>
      </w:r>
    </w:p>
    <w:p w14:paraId="55C2EA22" w14:textId="77777777" w:rsidR="003364A3" w:rsidRPr="003364A3" w:rsidRDefault="003364A3" w:rsidP="00804DBB">
      <w:pPr>
        <w:pStyle w:val="ListParagraph"/>
        <w:spacing w:after="0" w:line="240" w:lineRule="auto"/>
        <w:rPr>
          <w:rFonts w:ascii="Bookman Old Style" w:eastAsiaTheme="minorEastAsia" w:hAnsi="Bookman Old Style"/>
        </w:rPr>
      </w:pPr>
    </w:p>
    <w:p w14:paraId="08FC6532" w14:textId="242590AA" w:rsidR="003364A3" w:rsidRDefault="003364A3" w:rsidP="00804DBB">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TSX Venture stock. The TSX Venture stock portfolio consists of small and emerging companies that don’t yet meet listing requirements for the S&amp;P/TSX Composite Index</w:t>
      </w:r>
    </w:p>
    <w:p w14:paraId="502B8E8B" w14:textId="77777777" w:rsidR="003364A3" w:rsidRPr="003364A3" w:rsidRDefault="003364A3" w:rsidP="00804DBB">
      <w:pPr>
        <w:pStyle w:val="ListParagraph"/>
        <w:spacing w:after="0" w:line="240" w:lineRule="auto"/>
        <w:rPr>
          <w:rFonts w:ascii="Bookman Old Style" w:eastAsiaTheme="minorEastAsia" w:hAnsi="Bookman Old Style"/>
        </w:rPr>
      </w:pPr>
    </w:p>
    <w:p w14:paraId="02C03E60" w14:textId="77777777" w:rsidR="003364A3" w:rsidRDefault="003364A3" w:rsidP="00804DBB">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Small stocks. The small stock portfolio is composed of the small capitalization Canadian stocks as compiled by BMO Nesbitt Burns</w:t>
      </w:r>
    </w:p>
    <w:p w14:paraId="682E6FFB" w14:textId="77777777" w:rsidR="003364A3" w:rsidRPr="003364A3" w:rsidRDefault="003364A3" w:rsidP="00804DBB">
      <w:pPr>
        <w:pStyle w:val="ListParagraph"/>
        <w:spacing w:after="0" w:line="240" w:lineRule="auto"/>
        <w:rPr>
          <w:rFonts w:ascii="Bookman Old Style" w:eastAsiaTheme="minorEastAsia" w:hAnsi="Bookman Old Style"/>
        </w:rPr>
      </w:pPr>
    </w:p>
    <w:p w14:paraId="185AA311" w14:textId="1D8A5E2D" w:rsidR="003364A3" w:rsidRDefault="003364A3" w:rsidP="00804DBB">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Long bonds. The long bond portfolio has high-quality, long-term corporate, provincial and Government of Canada bonds</w:t>
      </w:r>
    </w:p>
    <w:p w14:paraId="234E9B1C" w14:textId="77777777" w:rsidR="003364A3" w:rsidRPr="003364A3" w:rsidRDefault="003364A3" w:rsidP="00804DBB">
      <w:pPr>
        <w:pStyle w:val="ListParagraph"/>
        <w:spacing w:after="0" w:line="240" w:lineRule="auto"/>
        <w:rPr>
          <w:rFonts w:ascii="Bookman Old Style" w:eastAsiaTheme="minorEastAsia" w:hAnsi="Bookman Old Style"/>
        </w:rPr>
      </w:pPr>
    </w:p>
    <w:p w14:paraId="65A088C9" w14:textId="4869B56B" w:rsidR="003364A3" w:rsidRDefault="003364A3" w:rsidP="00804DBB">
      <w:pPr>
        <w:pStyle w:val="ListParagraph"/>
        <w:numPr>
          <w:ilvl w:val="0"/>
          <w:numId w:val="12"/>
        </w:numPr>
        <w:spacing w:after="0" w:line="240" w:lineRule="auto"/>
        <w:jc w:val="both"/>
        <w:rPr>
          <w:rFonts w:ascii="Bookman Old Style" w:eastAsiaTheme="minorEastAsia" w:hAnsi="Bookman Old Style"/>
        </w:rPr>
      </w:pPr>
      <w:r>
        <w:rPr>
          <w:rFonts w:ascii="Bookman Old Style" w:eastAsiaTheme="minorEastAsia" w:hAnsi="Bookman Old Style"/>
        </w:rPr>
        <w:t>Canada Treasury bills. The T-bill portfolio has Treasury bills with a 3-month maturity.</w:t>
      </w:r>
    </w:p>
    <w:p w14:paraId="513CD21B" w14:textId="77777777" w:rsidR="003364A3" w:rsidRDefault="003364A3" w:rsidP="00804DBB">
      <w:pPr>
        <w:spacing w:after="0" w:line="240" w:lineRule="auto"/>
        <w:jc w:val="both"/>
        <w:rPr>
          <w:rFonts w:ascii="Bookman Old Style" w:eastAsiaTheme="minorEastAsia" w:hAnsi="Bookman Old Style"/>
        </w:rPr>
      </w:pPr>
    </w:p>
    <w:p w14:paraId="756E76B7" w14:textId="134D9A14" w:rsidR="003364A3" w:rsidRDefault="003364A3" w:rsidP="00804DBB">
      <w:pPr>
        <w:spacing w:after="0" w:line="240" w:lineRule="auto"/>
        <w:jc w:val="both"/>
        <w:rPr>
          <w:rFonts w:ascii="Bookman Old Style" w:eastAsiaTheme="minorEastAsia" w:hAnsi="Bookman Old Style"/>
        </w:rPr>
      </w:pPr>
      <w:r>
        <w:rPr>
          <w:rFonts w:ascii="Bookman Old Style" w:eastAsiaTheme="minorEastAsia" w:hAnsi="Bookman Old Style"/>
        </w:rPr>
        <w:t>These returns aren’</w:t>
      </w:r>
      <w:r w:rsidR="00150FCD">
        <w:rPr>
          <w:rFonts w:ascii="Bookman Old Style" w:eastAsiaTheme="minorEastAsia" w:hAnsi="Bookman Old Style"/>
        </w:rPr>
        <w:t xml:space="preserve">t adjusted for inflation </w:t>
      </w:r>
      <w:r>
        <w:rPr>
          <w:rFonts w:ascii="Bookman Old Style" w:eastAsiaTheme="minorEastAsia" w:hAnsi="Bookman Old Style"/>
        </w:rPr>
        <w:t>o</w:t>
      </w:r>
      <w:r w:rsidR="00150FCD">
        <w:rPr>
          <w:rFonts w:ascii="Bookman Old Style" w:eastAsiaTheme="minorEastAsia" w:hAnsi="Bookman Old Style"/>
        </w:rPr>
        <w:t>r</w:t>
      </w:r>
      <w:r>
        <w:rPr>
          <w:rFonts w:ascii="Bookman Old Style" w:eastAsiaTheme="minorEastAsia" w:hAnsi="Bookman Old Style"/>
        </w:rPr>
        <w:t xml:space="preserve"> taxes so they’re </w:t>
      </w:r>
      <w:r>
        <w:rPr>
          <w:rFonts w:ascii="Bookman Old Style" w:eastAsiaTheme="minorEastAsia" w:hAnsi="Bookman Old Style"/>
          <w:u w:val="single"/>
        </w:rPr>
        <w:t>nominal</w:t>
      </w:r>
      <w:r>
        <w:rPr>
          <w:rFonts w:ascii="Bookman Old Style" w:eastAsiaTheme="minorEastAsia" w:hAnsi="Bookman Old Style"/>
        </w:rPr>
        <w:t>, pre-tax returns.</w:t>
      </w:r>
    </w:p>
    <w:p w14:paraId="6972425C" w14:textId="77777777" w:rsidR="003364A3" w:rsidRDefault="003364A3" w:rsidP="00804DBB">
      <w:pPr>
        <w:spacing w:after="0" w:line="240" w:lineRule="auto"/>
        <w:jc w:val="both"/>
        <w:rPr>
          <w:rFonts w:ascii="Bookman Old Style" w:eastAsiaTheme="minorEastAsia" w:hAnsi="Bookman Old Style"/>
        </w:rPr>
      </w:pPr>
    </w:p>
    <w:p w14:paraId="511A2350" w14:textId="01CCB5B9" w:rsidR="003364A3" w:rsidRDefault="003364A3"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In addition to the year-to-year returns on these financial </w:t>
      </w:r>
      <w:r w:rsidR="00150FCD">
        <w:rPr>
          <w:rFonts w:ascii="Bookman Old Style" w:eastAsiaTheme="minorEastAsia" w:hAnsi="Bookman Old Style"/>
        </w:rPr>
        <w:t>instruments</w:t>
      </w:r>
      <w:r>
        <w:rPr>
          <w:rFonts w:ascii="Bookman Old Style" w:eastAsiaTheme="minorEastAsia" w:hAnsi="Bookman Old Style"/>
        </w:rPr>
        <w:t xml:space="preserve">, the year-to-year percentage change in the CPI is also computed. This is a commonly used measure of inflation, so we can calculate real </w:t>
      </w:r>
      <w:r w:rsidR="00150FCD">
        <w:rPr>
          <w:rFonts w:ascii="Bookman Old Style" w:eastAsiaTheme="minorEastAsia" w:hAnsi="Bookman Old Style"/>
        </w:rPr>
        <w:t>returns</w:t>
      </w:r>
      <w:r>
        <w:rPr>
          <w:rFonts w:ascii="Bookman Old Style" w:eastAsiaTheme="minorEastAsia" w:hAnsi="Bookman Old Style"/>
        </w:rPr>
        <w:t xml:space="preserve"> using this as the inflation rate.</w:t>
      </w:r>
    </w:p>
    <w:p w14:paraId="51CD2241" w14:textId="77777777" w:rsidR="003364A3" w:rsidRDefault="003364A3" w:rsidP="00804DBB">
      <w:pPr>
        <w:spacing w:after="0" w:line="240" w:lineRule="auto"/>
        <w:jc w:val="both"/>
        <w:rPr>
          <w:rFonts w:ascii="Bookman Old Style" w:eastAsiaTheme="minorEastAsia" w:hAnsi="Bookman Old Style"/>
        </w:rPr>
      </w:pPr>
    </w:p>
    <w:p w14:paraId="552934DB" w14:textId="6967180A" w:rsidR="003364A3" w:rsidRPr="003364A3" w:rsidRDefault="003364A3"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The 6 asset </w:t>
      </w:r>
      <w:r w:rsidR="00150FCD">
        <w:rPr>
          <w:rFonts w:ascii="Bookman Old Style" w:eastAsiaTheme="minorEastAsia" w:hAnsi="Bookman Old Style"/>
        </w:rPr>
        <w:t>classes</w:t>
      </w:r>
      <w:r>
        <w:rPr>
          <w:rFonts w:ascii="Bookman Old Style" w:eastAsiaTheme="minorEastAsia" w:hAnsi="Bookman Old Style"/>
        </w:rPr>
        <w:t xml:space="preserve"> included in the table cover a broad range of investment </w:t>
      </w:r>
      <w:r w:rsidR="00150FCD">
        <w:rPr>
          <w:rFonts w:ascii="Bookman Old Style" w:eastAsiaTheme="minorEastAsia" w:hAnsi="Bookman Old Style"/>
        </w:rPr>
        <w:t>popular</w:t>
      </w:r>
      <w:r>
        <w:rPr>
          <w:rFonts w:ascii="Bookman Old Style" w:eastAsiaTheme="minorEastAsia" w:hAnsi="Bookman Old Style"/>
        </w:rPr>
        <w:t xml:space="preserve"> with Canadians and financial institutions. We include US stocks since Canadian investors often invest abroad – </w:t>
      </w:r>
      <w:r w:rsidR="00150FCD">
        <w:rPr>
          <w:rFonts w:ascii="Bookman Old Style" w:eastAsiaTheme="minorEastAsia" w:hAnsi="Bookman Old Style"/>
        </w:rPr>
        <w:t>particularly</w:t>
      </w:r>
      <w:r>
        <w:rPr>
          <w:rFonts w:ascii="Bookman Old Style" w:eastAsiaTheme="minorEastAsia" w:hAnsi="Bookman Old Style"/>
        </w:rPr>
        <w:t xml:space="preserve"> in the US.</w:t>
      </w:r>
    </w:p>
    <w:p w14:paraId="4FD5D781" w14:textId="77777777" w:rsidR="003364A3" w:rsidRDefault="003364A3" w:rsidP="00804DBB">
      <w:pPr>
        <w:spacing w:after="0" w:line="240" w:lineRule="auto"/>
        <w:jc w:val="both"/>
        <w:rPr>
          <w:rFonts w:ascii="Bookman Old Style" w:eastAsiaTheme="minorEastAsia" w:hAnsi="Bookman Old Style"/>
        </w:rPr>
      </w:pPr>
    </w:p>
    <w:p w14:paraId="33121D29" w14:textId="77777777" w:rsidR="00150FCD" w:rsidRDefault="00150FCD" w:rsidP="00804DBB">
      <w:pPr>
        <w:spacing w:after="0" w:line="240" w:lineRule="auto"/>
        <w:jc w:val="both"/>
        <w:rPr>
          <w:rFonts w:ascii="Bookman Old Style" w:eastAsiaTheme="minorEastAsia" w:hAnsi="Bookman Old Style"/>
        </w:rPr>
      </w:pPr>
    </w:p>
    <w:p w14:paraId="58F58C74" w14:textId="5F1A20D2" w:rsidR="00150FCD" w:rsidRDefault="00150FCD"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A FIRST LOOK</w:t>
      </w:r>
    </w:p>
    <w:p w14:paraId="0869FA99" w14:textId="5F342728" w:rsidR="00150FCD" w:rsidRPr="00150FCD"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Before looking at portfolio returns, we look at the “big picture”</w:t>
      </w:r>
    </w:p>
    <w:p w14:paraId="604BA66F" w14:textId="77777777" w:rsidR="003364A3" w:rsidRDefault="003364A3" w:rsidP="00804DBB">
      <w:pPr>
        <w:spacing w:after="0" w:line="240" w:lineRule="auto"/>
        <w:jc w:val="both"/>
        <w:rPr>
          <w:rFonts w:ascii="Bookman Old Style" w:eastAsiaTheme="minorEastAsia" w:hAnsi="Bookman Old Style"/>
        </w:rPr>
      </w:pPr>
    </w:p>
    <w:p w14:paraId="6ECF077D" w14:textId="58C30A86" w:rsidR="002D045E"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In looking at a graph from 1957-2011 (after the Second World War), we can see how $1 invested in common stocks, bonds, T-bills and the CPI grew over this time period.</w:t>
      </w:r>
    </w:p>
    <w:p w14:paraId="5022E7BB" w14:textId="77777777" w:rsidR="002D045E" w:rsidRDefault="002D045E" w:rsidP="00804DBB">
      <w:pPr>
        <w:spacing w:after="0" w:line="240" w:lineRule="auto"/>
        <w:jc w:val="both"/>
        <w:rPr>
          <w:rFonts w:ascii="Bookman Old Style" w:eastAsiaTheme="minorEastAsia" w:hAnsi="Bookman Old Style"/>
        </w:rPr>
      </w:pPr>
    </w:p>
    <w:p w14:paraId="140154BE" w14:textId="7178327F" w:rsidR="002D045E" w:rsidRPr="003364A3"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The common stock investment did best overall, every dollar invested in Canadian stocks grew to $120.09 over the 55 years.</w:t>
      </w:r>
    </w:p>
    <w:p w14:paraId="5D21216A" w14:textId="77777777" w:rsidR="003364A3" w:rsidRDefault="003364A3" w:rsidP="00804DBB">
      <w:pPr>
        <w:spacing w:after="0" w:line="240" w:lineRule="auto"/>
        <w:jc w:val="both"/>
        <w:rPr>
          <w:rFonts w:ascii="Bookman Old Style" w:eastAsiaTheme="minorEastAsia" w:hAnsi="Bookman Old Style"/>
        </w:rPr>
      </w:pPr>
    </w:p>
    <w:p w14:paraId="42D60369" w14:textId="77777777" w:rsidR="002D045E"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The T-bill portfolio grew to only $25.81. Long bonds did better with a value of $81.45. But these values are less impressive when we consider inflation of this period. The price level climbed such that $8.20 is needed just to replace the original $1.</w:t>
      </w:r>
    </w:p>
    <w:p w14:paraId="679C431F" w14:textId="77777777" w:rsidR="002D045E" w:rsidRDefault="002D045E" w:rsidP="00804DBB">
      <w:pPr>
        <w:spacing w:after="0" w:line="240" w:lineRule="auto"/>
        <w:jc w:val="both"/>
        <w:rPr>
          <w:rFonts w:ascii="Bookman Old Style" w:eastAsiaTheme="minorEastAsia" w:hAnsi="Bookman Old Style"/>
        </w:rPr>
      </w:pPr>
    </w:p>
    <w:p w14:paraId="2631F6F6" w14:textId="77777777" w:rsidR="002D045E"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Looking at this historical record, why would any investor hold any assets other than common stock? As we can see, the T-bill portfolio and the long-term bond portfolio grew more steadily – common stocks ended up on top, but they were erratic at times.</w:t>
      </w:r>
    </w:p>
    <w:p w14:paraId="4D77A26D" w14:textId="27B0DE2A" w:rsidR="002D045E" w:rsidRDefault="002D045E" w:rsidP="00804DBB">
      <w:pPr>
        <w:spacing w:after="0" w:line="240" w:lineRule="auto"/>
        <w:jc w:val="both"/>
        <w:rPr>
          <w:rFonts w:ascii="Bookman Old Style" w:eastAsiaTheme="minorEastAsia" w:hAnsi="Bookman Old Style"/>
        </w:rPr>
      </w:pPr>
    </w:p>
    <w:p w14:paraId="4747B571" w14:textId="77777777" w:rsidR="002D045E" w:rsidRDefault="002D045E" w:rsidP="00804DBB">
      <w:pPr>
        <w:spacing w:after="0" w:line="240" w:lineRule="auto"/>
        <w:jc w:val="both"/>
        <w:rPr>
          <w:rFonts w:ascii="Bookman Old Style" w:eastAsiaTheme="minorEastAsia" w:hAnsi="Bookman Old Style"/>
        </w:rPr>
      </w:pPr>
    </w:p>
    <w:p w14:paraId="25089522" w14:textId="77777777" w:rsidR="002D045E" w:rsidRDefault="002D045E" w:rsidP="00804DBB">
      <w:pPr>
        <w:spacing w:after="0" w:line="240" w:lineRule="auto"/>
        <w:jc w:val="both"/>
        <w:rPr>
          <w:rFonts w:ascii="Bookman Old Style" w:eastAsiaTheme="minorEastAsia" w:hAnsi="Bookman Old Style"/>
        </w:rPr>
      </w:pPr>
    </w:p>
    <w:p w14:paraId="554DEE1A" w14:textId="00B50B79" w:rsidR="002D045E" w:rsidRDefault="002D045E" w:rsidP="00804DBB">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AVERAGE RETURNS</w:t>
      </w:r>
    </w:p>
    <w:p w14:paraId="29B4307E" w14:textId="3C85CF30" w:rsidR="002D045E" w:rsidRDefault="002D045E" w:rsidP="00804DBB">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LESSON 1</w:t>
      </w:r>
    </w:p>
    <w:p w14:paraId="746A410C" w14:textId="77777777" w:rsidR="002D045E" w:rsidRDefault="002D045E" w:rsidP="00804DBB">
      <w:pPr>
        <w:spacing w:after="0" w:line="240" w:lineRule="auto"/>
        <w:jc w:val="center"/>
        <w:rPr>
          <w:rFonts w:ascii="Bookman Old Style" w:eastAsiaTheme="minorEastAsia" w:hAnsi="Bookman Old Style"/>
          <w:b/>
          <w:u w:val="single"/>
        </w:rPr>
      </w:pPr>
    </w:p>
    <w:p w14:paraId="2B4E6225" w14:textId="0CBDA4F7" w:rsidR="002D045E"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Capital market history is too complicated to be of much use in an undigested form. We have to start summarizing all of these numbers and consider the details. We start by calculating average returns.</w:t>
      </w:r>
    </w:p>
    <w:p w14:paraId="0A5F7FFC" w14:textId="77777777" w:rsidR="002D045E" w:rsidRDefault="002D045E" w:rsidP="00804DBB">
      <w:pPr>
        <w:spacing w:after="0" w:line="240" w:lineRule="auto"/>
        <w:jc w:val="both"/>
        <w:rPr>
          <w:rFonts w:ascii="Bookman Old Style" w:eastAsiaTheme="minorEastAsia" w:hAnsi="Bookman Old Style"/>
        </w:rPr>
      </w:pPr>
    </w:p>
    <w:p w14:paraId="626E56F8" w14:textId="77777777" w:rsidR="002D045E" w:rsidRDefault="002D045E" w:rsidP="00804DBB">
      <w:pPr>
        <w:spacing w:after="0" w:line="240" w:lineRule="auto"/>
        <w:jc w:val="both"/>
        <w:rPr>
          <w:rFonts w:ascii="Bookman Old Style" w:eastAsiaTheme="minorEastAsia" w:hAnsi="Bookman Old Style"/>
        </w:rPr>
      </w:pPr>
    </w:p>
    <w:p w14:paraId="3E0B4D9F" w14:textId="6B924B78" w:rsidR="002D045E" w:rsidRDefault="002D045E" w:rsidP="00804DBB">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CALCULATING AVERAGE RETURNS</w:t>
      </w:r>
    </w:p>
    <w:p w14:paraId="52ADAB52" w14:textId="31818DFC" w:rsidR="002D045E"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An obvious way to calculate the average returns from 1957-2011 on the different investments is to simply add up the yearly returns and divide by 55 – this result is the historical average of the individual values. Statisticians call this the </w:t>
      </w:r>
      <w:r>
        <w:rPr>
          <w:rFonts w:ascii="Bookman Old Style" w:eastAsiaTheme="minorEastAsia" w:hAnsi="Bookman Old Style"/>
          <w:b/>
          <w:i/>
        </w:rPr>
        <w:t>arithmetic average</w:t>
      </w:r>
      <w:r>
        <w:rPr>
          <w:rFonts w:ascii="Bookman Old Style" w:eastAsiaTheme="minorEastAsia" w:hAnsi="Bookman Old Style"/>
        </w:rPr>
        <w:t xml:space="preserve"> or the </w:t>
      </w:r>
      <w:r>
        <w:rPr>
          <w:rFonts w:ascii="Bookman Old Style" w:eastAsiaTheme="minorEastAsia" w:hAnsi="Bookman Old Style"/>
          <w:b/>
          <w:i/>
        </w:rPr>
        <w:t>arithmetic mean return</w:t>
      </w:r>
      <w:r>
        <w:rPr>
          <w:rFonts w:ascii="Bookman Old Style" w:eastAsiaTheme="minorEastAsia" w:hAnsi="Bookman Old Style"/>
        </w:rPr>
        <w:t>. It’s easy to calculate and interpret, so we use it here to measure expected return.</w:t>
      </w:r>
    </w:p>
    <w:p w14:paraId="705CC1BE" w14:textId="77777777" w:rsidR="002D045E" w:rsidRDefault="002D045E" w:rsidP="00804DBB">
      <w:pPr>
        <w:spacing w:after="0" w:line="240" w:lineRule="auto"/>
        <w:jc w:val="both"/>
        <w:rPr>
          <w:rFonts w:ascii="Bookman Old Style" w:eastAsiaTheme="minorEastAsia" w:hAnsi="Bookman Old Style"/>
        </w:rPr>
      </w:pPr>
    </w:p>
    <w:p w14:paraId="5230CF0B" w14:textId="7F9D2FC8" w:rsidR="002D045E" w:rsidRDefault="002D045E" w:rsidP="00804DBB">
      <w:pPr>
        <w:spacing w:after="0" w:line="240" w:lineRule="auto"/>
        <w:jc w:val="both"/>
        <w:rPr>
          <w:rFonts w:ascii="Bookman Old Style" w:eastAsiaTheme="minorEastAsia" w:hAnsi="Bookman Old Style"/>
        </w:rPr>
      </w:pPr>
      <w:r>
        <w:rPr>
          <w:rFonts w:ascii="Bookman Old Style" w:eastAsiaTheme="minorEastAsia" w:hAnsi="Bookman Old Style"/>
        </w:rPr>
        <w:t>If you add the returns for the Canadian common stock for the 55 years, you get around $574.86. The average annual return is thus 574.86/55 = 10.45%</w:t>
      </w:r>
    </w:p>
    <w:p w14:paraId="21B82E7F" w14:textId="77777777" w:rsidR="00AE06E8" w:rsidRDefault="00AE06E8" w:rsidP="00804DBB">
      <w:pPr>
        <w:spacing w:after="0" w:line="240" w:lineRule="auto"/>
        <w:jc w:val="both"/>
        <w:rPr>
          <w:rFonts w:ascii="Bookman Old Style" w:eastAsiaTheme="minorEastAsia" w:hAnsi="Bookman Old Style"/>
        </w:rPr>
      </w:pPr>
    </w:p>
    <w:p w14:paraId="31DC7476" w14:textId="7FE1F089"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If you picked a year at random from the 55-year history and you had to guess what the return was that year, the best guess would be 10.45%</w:t>
      </w:r>
    </w:p>
    <w:p w14:paraId="2D0DA78F" w14:textId="77777777" w:rsidR="00AE06E8" w:rsidRDefault="00AE06E8" w:rsidP="00804DBB">
      <w:pPr>
        <w:spacing w:after="0" w:line="240" w:lineRule="auto"/>
        <w:jc w:val="both"/>
        <w:rPr>
          <w:rFonts w:ascii="Bookman Old Style" w:eastAsiaTheme="minorEastAsia" w:hAnsi="Bookman Old Style"/>
        </w:rPr>
      </w:pPr>
    </w:p>
    <w:p w14:paraId="19D5C4F0" w14:textId="77777777" w:rsidR="00AE06E8" w:rsidRDefault="00AE06E8" w:rsidP="00804DBB">
      <w:pPr>
        <w:spacing w:after="0" w:line="240" w:lineRule="auto"/>
        <w:jc w:val="both"/>
        <w:rPr>
          <w:rFonts w:ascii="Bookman Old Style" w:eastAsiaTheme="minorEastAsia" w:hAnsi="Bookman Old Style"/>
        </w:rPr>
      </w:pPr>
    </w:p>
    <w:p w14:paraId="38F0E6C2" w14:textId="0CD16377"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AVERAGE RETURNS: THE HISTORICAL RECORD</w:t>
      </w:r>
    </w:p>
    <w:p w14:paraId="57E18E8A" w14:textId="18E6A708"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The table below shows the average returns computed from our common stocks, T-bills bonds and CPI investment.</w:t>
      </w:r>
    </w:p>
    <w:p w14:paraId="0348BF7C" w14:textId="77777777" w:rsidR="00AE06E8" w:rsidRDefault="00AE06E8" w:rsidP="00804DBB">
      <w:pPr>
        <w:spacing w:after="0" w:line="240" w:lineRule="auto"/>
        <w:jc w:val="both"/>
        <w:rPr>
          <w:rFonts w:ascii="Bookman Old Style" w:eastAsiaTheme="minorEastAsia" w:hAnsi="Bookman Old Style"/>
        </w:rPr>
      </w:pPr>
    </w:p>
    <w:p w14:paraId="63A28D1D" w14:textId="688287DE"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As shown, in a typical year, the small stocks increased in value by 13.71% - notice also how much larger the stock returns are than the bond returns.</w:t>
      </w:r>
    </w:p>
    <w:p w14:paraId="3827C377" w14:textId="77777777" w:rsidR="00AE06E8" w:rsidRDefault="00AE06E8" w:rsidP="00804DBB">
      <w:pPr>
        <w:spacing w:after="0" w:line="240" w:lineRule="auto"/>
        <w:jc w:val="both"/>
        <w:rPr>
          <w:rFonts w:ascii="Bookman Old Style" w:eastAsiaTheme="minorEastAsia" w:hAnsi="Bookman Old Style"/>
        </w:rPr>
      </w:pPr>
    </w:p>
    <w:tbl>
      <w:tblPr>
        <w:tblStyle w:val="TableGrid"/>
        <w:tblW w:w="0" w:type="auto"/>
        <w:jc w:val="center"/>
        <w:tblBorders>
          <w:insideV w:val="none" w:sz="0" w:space="0" w:color="auto"/>
        </w:tblBorders>
        <w:tblLook w:val="04A0" w:firstRow="1" w:lastRow="0" w:firstColumn="1" w:lastColumn="0" w:noHBand="0" w:noVBand="1"/>
      </w:tblPr>
      <w:tblGrid>
        <w:gridCol w:w="3078"/>
        <w:gridCol w:w="3780"/>
      </w:tblGrid>
      <w:tr w:rsidR="00AE06E8" w14:paraId="53155BCE" w14:textId="77777777" w:rsidTr="00AE06E8">
        <w:trPr>
          <w:jc w:val="center"/>
        </w:trPr>
        <w:tc>
          <w:tcPr>
            <w:tcW w:w="3078" w:type="dxa"/>
            <w:tcBorders>
              <w:bottom w:val="single" w:sz="4" w:space="0" w:color="auto"/>
            </w:tcBorders>
          </w:tcPr>
          <w:p w14:paraId="5665A56F" w14:textId="441BDDBD" w:rsidR="00AE06E8" w:rsidRPr="00AE06E8" w:rsidRDefault="00AE06E8" w:rsidP="00804DBB">
            <w:pPr>
              <w:jc w:val="center"/>
              <w:rPr>
                <w:rFonts w:ascii="Bookman Old Style" w:eastAsiaTheme="minorEastAsia" w:hAnsi="Bookman Old Style"/>
                <w:b/>
              </w:rPr>
            </w:pPr>
            <w:r w:rsidRPr="00AE06E8">
              <w:rPr>
                <w:rFonts w:ascii="Bookman Old Style" w:eastAsiaTheme="minorEastAsia" w:hAnsi="Bookman Old Style"/>
                <w:b/>
              </w:rPr>
              <w:t>Investment</w:t>
            </w:r>
          </w:p>
        </w:tc>
        <w:tc>
          <w:tcPr>
            <w:tcW w:w="3780" w:type="dxa"/>
            <w:tcBorders>
              <w:bottom w:val="single" w:sz="4" w:space="0" w:color="auto"/>
            </w:tcBorders>
          </w:tcPr>
          <w:p w14:paraId="14887C4D" w14:textId="7C167007" w:rsidR="00AE06E8" w:rsidRPr="00AE06E8" w:rsidRDefault="00AE06E8" w:rsidP="00804DBB">
            <w:pPr>
              <w:jc w:val="center"/>
              <w:rPr>
                <w:rFonts w:ascii="Bookman Old Style" w:eastAsiaTheme="minorEastAsia" w:hAnsi="Bookman Old Style"/>
                <w:b/>
              </w:rPr>
            </w:pPr>
            <w:r w:rsidRPr="00AE06E8">
              <w:rPr>
                <w:rFonts w:ascii="Bookman Old Style" w:eastAsiaTheme="minorEastAsia" w:hAnsi="Bookman Old Style"/>
                <w:b/>
              </w:rPr>
              <w:t>Arithmetic Average Return (%)</w:t>
            </w:r>
          </w:p>
        </w:tc>
      </w:tr>
      <w:tr w:rsidR="00AE06E8" w14:paraId="2CCB44AD" w14:textId="77777777" w:rsidTr="00AE06E8">
        <w:trPr>
          <w:jc w:val="center"/>
        </w:trPr>
        <w:tc>
          <w:tcPr>
            <w:tcW w:w="3078" w:type="dxa"/>
            <w:tcBorders>
              <w:bottom w:val="nil"/>
            </w:tcBorders>
          </w:tcPr>
          <w:p w14:paraId="756FD2C3" w14:textId="03D4AA9E" w:rsidR="00AE06E8" w:rsidRDefault="00AE06E8" w:rsidP="00804DBB">
            <w:pPr>
              <w:jc w:val="both"/>
              <w:rPr>
                <w:rFonts w:ascii="Bookman Old Style" w:eastAsiaTheme="minorEastAsia" w:hAnsi="Bookman Old Style"/>
              </w:rPr>
            </w:pPr>
            <w:r>
              <w:rPr>
                <w:rFonts w:ascii="Bookman Old Style" w:eastAsiaTheme="minorEastAsia" w:hAnsi="Bookman Old Style"/>
              </w:rPr>
              <w:t>Canadian common stocks</w:t>
            </w:r>
          </w:p>
        </w:tc>
        <w:tc>
          <w:tcPr>
            <w:tcW w:w="3780" w:type="dxa"/>
            <w:tcBorders>
              <w:bottom w:val="nil"/>
            </w:tcBorders>
          </w:tcPr>
          <w:p w14:paraId="5DF57661" w14:textId="10A21C6F" w:rsidR="00AE06E8" w:rsidRDefault="00AE06E8" w:rsidP="00804DBB">
            <w:pPr>
              <w:jc w:val="center"/>
              <w:rPr>
                <w:rFonts w:ascii="Bookman Old Style" w:eastAsiaTheme="minorEastAsia" w:hAnsi="Bookman Old Style"/>
              </w:rPr>
            </w:pPr>
            <w:r>
              <w:rPr>
                <w:rFonts w:ascii="Bookman Old Style" w:eastAsiaTheme="minorEastAsia" w:hAnsi="Bookman Old Style"/>
              </w:rPr>
              <w:t>10.45</w:t>
            </w:r>
          </w:p>
        </w:tc>
      </w:tr>
      <w:tr w:rsidR="00AE06E8" w14:paraId="32C82ABA" w14:textId="77777777" w:rsidTr="00AE06E8">
        <w:trPr>
          <w:jc w:val="center"/>
        </w:trPr>
        <w:tc>
          <w:tcPr>
            <w:tcW w:w="3078" w:type="dxa"/>
            <w:tcBorders>
              <w:top w:val="nil"/>
              <w:bottom w:val="nil"/>
            </w:tcBorders>
          </w:tcPr>
          <w:p w14:paraId="0D1667BC" w14:textId="7793F889" w:rsidR="00AE06E8" w:rsidRDefault="00AE06E8" w:rsidP="00804DBB">
            <w:pPr>
              <w:jc w:val="both"/>
              <w:rPr>
                <w:rFonts w:ascii="Bookman Old Style" w:eastAsiaTheme="minorEastAsia" w:hAnsi="Bookman Old Style"/>
              </w:rPr>
            </w:pPr>
            <w:r>
              <w:rPr>
                <w:rFonts w:ascii="Bookman Old Style" w:eastAsiaTheme="minorEastAsia" w:hAnsi="Bookman Old Style"/>
              </w:rPr>
              <w:t>US common stocks</w:t>
            </w:r>
          </w:p>
        </w:tc>
        <w:tc>
          <w:tcPr>
            <w:tcW w:w="3780" w:type="dxa"/>
            <w:tcBorders>
              <w:top w:val="nil"/>
              <w:bottom w:val="nil"/>
            </w:tcBorders>
          </w:tcPr>
          <w:p w14:paraId="2F964455" w14:textId="02B28DFE" w:rsidR="00AE06E8" w:rsidRDefault="00AE06E8" w:rsidP="00804DBB">
            <w:pPr>
              <w:jc w:val="center"/>
              <w:rPr>
                <w:rFonts w:ascii="Bookman Old Style" w:eastAsiaTheme="minorEastAsia" w:hAnsi="Bookman Old Style"/>
              </w:rPr>
            </w:pPr>
            <w:r>
              <w:rPr>
                <w:rFonts w:ascii="Bookman Old Style" w:eastAsiaTheme="minorEastAsia" w:hAnsi="Bookman Old Style"/>
              </w:rPr>
              <w:t>11.07</w:t>
            </w:r>
          </w:p>
        </w:tc>
      </w:tr>
      <w:tr w:rsidR="00AE06E8" w14:paraId="63A604C7" w14:textId="77777777" w:rsidTr="00AE06E8">
        <w:trPr>
          <w:jc w:val="center"/>
        </w:trPr>
        <w:tc>
          <w:tcPr>
            <w:tcW w:w="3078" w:type="dxa"/>
            <w:tcBorders>
              <w:top w:val="nil"/>
              <w:bottom w:val="nil"/>
            </w:tcBorders>
          </w:tcPr>
          <w:p w14:paraId="4D9B33B1" w14:textId="731243A5" w:rsidR="00AE06E8" w:rsidRDefault="00AE06E8" w:rsidP="00804DBB">
            <w:pPr>
              <w:jc w:val="both"/>
              <w:rPr>
                <w:rFonts w:ascii="Bookman Old Style" w:eastAsiaTheme="minorEastAsia" w:hAnsi="Bookman Old Style"/>
              </w:rPr>
            </w:pPr>
            <w:r>
              <w:rPr>
                <w:rFonts w:ascii="Bookman Old Style" w:eastAsiaTheme="minorEastAsia" w:hAnsi="Bookman Old Style"/>
              </w:rPr>
              <w:t>Long bonds</w:t>
            </w:r>
          </w:p>
        </w:tc>
        <w:tc>
          <w:tcPr>
            <w:tcW w:w="3780" w:type="dxa"/>
            <w:tcBorders>
              <w:top w:val="nil"/>
              <w:bottom w:val="nil"/>
            </w:tcBorders>
          </w:tcPr>
          <w:p w14:paraId="561AF7EC" w14:textId="1EBA0CBA" w:rsidR="00AE06E8" w:rsidRDefault="00AE06E8" w:rsidP="00804DBB">
            <w:pPr>
              <w:jc w:val="center"/>
              <w:rPr>
                <w:rFonts w:ascii="Bookman Old Style" w:eastAsiaTheme="minorEastAsia" w:hAnsi="Bookman Old Style"/>
              </w:rPr>
            </w:pPr>
            <w:r>
              <w:rPr>
                <w:rFonts w:ascii="Bookman Old Style" w:eastAsiaTheme="minorEastAsia" w:hAnsi="Bookman Old Style"/>
              </w:rPr>
              <w:t>8.74</w:t>
            </w:r>
          </w:p>
        </w:tc>
      </w:tr>
      <w:tr w:rsidR="00AE06E8" w14:paraId="50CC74A6" w14:textId="77777777" w:rsidTr="00AE06E8">
        <w:trPr>
          <w:jc w:val="center"/>
        </w:trPr>
        <w:tc>
          <w:tcPr>
            <w:tcW w:w="3078" w:type="dxa"/>
            <w:tcBorders>
              <w:top w:val="nil"/>
              <w:bottom w:val="nil"/>
            </w:tcBorders>
          </w:tcPr>
          <w:p w14:paraId="681CFD5C" w14:textId="4EA3E5A3" w:rsidR="00AE06E8" w:rsidRDefault="00AE06E8" w:rsidP="00804DBB">
            <w:pPr>
              <w:jc w:val="both"/>
              <w:rPr>
                <w:rFonts w:ascii="Bookman Old Style" w:eastAsiaTheme="minorEastAsia" w:hAnsi="Bookman Old Style"/>
              </w:rPr>
            </w:pPr>
            <w:r>
              <w:rPr>
                <w:rFonts w:ascii="Bookman Old Style" w:eastAsiaTheme="minorEastAsia" w:hAnsi="Bookman Old Style"/>
              </w:rPr>
              <w:t>Small stocks</w:t>
            </w:r>
          </w:p>
        </w:tc>
        <w:tc>
          <w:tcPr>
            <w:tcW w:w="3780" w:type="dxa"/>
            <w:tcBorders>
              <w:top w:val="nil"/>
              <w:bottom w:val="nil"/>
            </w:tcBorders>
          </w:tcPr>
          <w:p w14:paraId="3B308E36" w14:textId="00AD762F" w:rsidR="00AE06E8" w:rsidRDefault="00AE06E8" w:rsidP="00804DBB">
            <w:pPr>
              <w:jc w:val="center"/>
              <w:rPr>
                <w:rFonts w:ascii="Bookman Old Style" w:eastAsiaTheme="minorEastAsia" w:hAnsi="Bookman Old Style"/>
              </w:rPr>
            </w:pPr>
            <w:r>
              <w:rPr>
                <w:rFonts w:ascii="Bookman Old Style" w:eastAsiaTheme="minorEastAsia" w:hAnsi="Bookman Old Style"/>
              </w:rPr>
              <w:t>13.71</w:t>
            </w:r>
          </w:p>
        </w:tc>
      </w:tr>
      <w:tr w:rsidR="00AE06E8" w14:paraId="16DE6E87" w14:textId="77777777" w:rsidTr="00AE06E8">
        <w:trPr>
          <w:jc w:val="center"/>
        </w:trPr>
        <w:tc>
          <w:tcPr>
            <w:tcW w:w="3078" w:type="dxa"/>
            <w:tcBorders>
              <w:top w:val="nil"/>
              <w:bottom w:val="nil"/>
            </w:tcBorders>
          </w:tcPr>
          <w:p w14:paraId="2871BA4F" w14:textId="240FF0B6" w:rsidR="00AE06E8" w:rsidRDefault="00AE06E8" w:rsidP="00804DBB">
            <w:pPr>
              <w:jc w:val="both"/>
              <w:rPr>
                <w:rFonts w:ascii="Bookman Old Style" w:eastAsiaTheme="minorEastAsia" w:hAnsi="Bookman Old Style"/>
              </w:rPr>
            </w:pPr>
            <w:r>
              <w:rPr>
                <w:rFonts w:ascii="Bookman Old Style" w:eastAsiaTheme="minorEastAsia" w:hAnsi="Bookman Old Style"/>
              </w:rPr>
              <w:t>TSX Venture stocks</w:t>
            </w:r>
          </w:p>
        </w:tc>
        <w:tc>
          <w:tcPr>
            <w:tcW w:w="3780" w:type="dxa"/>
            <w:tcBorders>
              <w:top w:val="nil"/>
              <w:bottom w:val="nil"/>
            </w:tcBorders>
          </w:tcPr>
          <w:p w14:paraId="2E05280E" w14:textId="1292398E" w:rsidR="00AE06E8" w:rsidRDefault="00AE06E8" w:rsidP="00804DBB">
            <w:pPr>
              <w:jc w:val="center"/>
              <w:rPr>
                <w:rFonts w:ascii="Bookman Old Style" w:eastAsiaTheme="minorEastAsia" w:hAnsi="Bookman Old Style"/>
              </w:rPr>
            </w:pPr>
            <w:r>
              <w:rPr>
                <w:rFonts w:ascii="Bookman Old Style" w:eastAsiaTheme="minorEastAsia" w:hAnsi="Bookman Old Style"/>
              </w:rPr>
              <w:t>15.68</w:t>
            </w:r>
          </w:p>
        </w:tc>
      </w:tr>
      <w:tr w:rsidR="00AE06E8" w14:paraId="7F9DC1CB" w14:textId="77777777" w:rsidTr="00AE06E8">
        <w:trPr>
          <w:jc w:val="center"/>
        </w:trPr>
        <w:tc>
          <w:tcPr>
            <w:tcW w:w="3078" w:type="dxa"/>
            <w:tcBorders>
              <w:top w:val="nil"/>
              <w:bottom w:val="nil"/>
            </w:tcBorders>
          </w:tcPr>
          <w:p w14:paraId="0A4D86C3" w14:textId="622078FD" w:rsidR="00AE06E8" w:rsidRDefault="00AE06E8" w:rsidP="00804DBB">
            <w:pPr>
              <w:jc w:val="both"/>
              <w:rPr>
                <w:rFonts w:ascii="Bookman Old Style" w:eastAsiaTheme="minorEastAsia" w:hAnsi="Bookman Old Style"/>
              </w:rPr>
            </w:pPr>
            <w:r>
              <w:rPr>
                <w:rFonts w:ascii="Bookman Old Style" w:eastAsiaTheme="minorEastAsia" w:hAnsi="Bookman Old Style"/>
              </w:rPr>
              <w:t>Inflation</w:t>
            </w:r>
          </w:p>
        </w:tc>
        <w:tc>
          <w:tcPr>
            <w:tcW w:w="3780" w:type="dxa"/>
            <w:tcBorders>
              <w:top w:val="nil"/>
              <w:bottom w:val="nil"/>
            </w:tcBorders>
          </w:tcPr>
          <w:p w14:paraId="5B379D63" w14:textId="12CE5FA6" w:rsidR="00AE06E8" w:rsidRDefault="00AE06E8" w:rsidP="00804DBB">
            <w:pPr>
              <w:jc w:val="center"/>
              <w:rPr>
                <w:rFonts w:ascii="Bookman Old Style" w:eastAsiaTheme="minorEastAsia" w:hAnsi="Bookman Old Style"/>
              </w:rPr>
            </w:pPr>
            <w:r>
              <w:rPr>
                <w:rFonts w:ascii="Bookman Old Style" w:eastAsiaTheme="minorEastAsia" w:hAnsi="Bookman Old Style"/>
              </w:rPr>
              <w:t>3.95</w:t>
            </w:r>
          </w:p>
        </w:tc>
      </w:tr>
      <w:tr w:rsidR="00AE06E8" w14:paraId="230D7CE4" w14:textId="77777777" w:rsidTr="00AE06E8">
        <w:trPr>
          <w:jc w:val="center"/>
        </w:trPr>
        <w:tc>
          <w:tcPr>
            <w:tcW w:w="3078" w:type="dxa"/>
            <w:tcBorders>
              <w:top w:val="nil"/>
            </w:tcBorders>
          </w:tcPr>
          <w:p w14:paraId="36A350E5" w14:textId="577D0607" w:rsidR="00AE06E8" w:rsidRDefault="00AE06E8" w:rsidP="00804DBB">
            <w:pPr>
              <w:jc w:val="both"/>
              <w:rPr>
                <w:rFonts w:ascii="Bookman Old Style" w:eastAsiaTheme="minorEastAsia" w:hAnsi="Bookman Old Style"/>
              </w:rPr>
            </w:pPr>
            <w:r>
              <w:rPr>
                <w:rFonts w:ascii="Bookman Old Style" w:eastAsiaTheme="minorEastAsia" w:hAnsi="Bookman Old Style"/>
              </w:rPr>
              <w:t>Treasury bills</w:t>
            </w:r>
          </w:p>
        </w:tc>
        <w:tc>
          <w:tcPr>
            <w:tcW w:w="3780" w:type="dxa"/>
            <w:tcBorders>
              <w:top w:val="nil"/>
            </w:tcBorders>
          </w:tcPr>
          <w:p w14:paraId="326335A3" w14:textId="725D1428" w:rsidR="00AE06E8" w:rsidRDefault="00AE06E8" w:rsidP="00804DBB">
            <w:pPr>
              <w:jc w:val="center"/>
              <w:rPr>
                <w:rFonts w:ascii="Bookman Old Style" w:eastAsiaTheme="minorEastAsia" w:hAnsi="Bookman Old Style"/>
              </w:rPr>
            </w:pPr>
            <w:r>
              <w:rPr>
                <w:rFonts w:ascii="Bookman Old Style" w:eastAsiaTheme="minorEastAsia" w:hAnsi="Bookman Old Style"/>
              </w:rPr>
              <w:t>6.15</w:t>
            </w:r>
          </w:p>
        </w:tc>
      </w:tr>
    </w:tbl>
    <w:p w14:paraId="72A32F1B" w14:textId="77777777" w:rsidR="00AE06E8" w:rsidRDefault="00AE06E8" w:rsidP="00804DBB">
      <w:pPr>
        <w:spacing w:after="0" w:line="240" w:lineRule="auto"/>
        <w:jc w:val="both"/>
        <w:rPr>
          <w:rFonts w:ascii="Bookman Old Style" w:eastAsiaTheme="minorEastAsia" w:hAnsi="Bookman Old Style"/>
        </w:rPr>
      </w:pPr>
    </w:p>
    <w:p w14:paraId="77DB25A9" w14:textId="3F128CED"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These are nominal averages seeing we haven’t worried about inflation.</w:t>
      </w:r>
    </w:p>
    <w:p w14:paraId="6D7BBD1A" w14:textId="77777777" w:rsidR="00AE06E8" w:rsidRDefault="00AE06E8" w:rsidP="00804DBB">
      <w:pPr>
        <w:spacing w:after="0" w:line="240" w:lineRule="auto"/>
        <w:jc w:val="both"/>
        <w:rPr>
          <w:rFonts w:ascii="Bookman Old Style" w:eastAsiaTheme="minorEastAsia" w:hAnsi="Bookman Old Style"/>
        </w:rPr>
      </w:pPr>
    </w:p>
    <w:p w14:paraId="45B52AF3" w14:textId="3DEA92E8"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The average inflation rate was 3.95% per year over this 55-year span.</w:t>
      </w:r>
    </w:p>
    <w:p w14:paraId="7BEFE9D5" w14:textId="77777777" w:rsidR="00AE06E8" w:rsidRDefault="00AE06E8" w:rsidP="00804DBB">
      <w:pPr>
        <w:spacing w:after="0" w:line="240" w:lineRule="auto"/>
        <w:jc w:val="both"/>
        <w:rPr>
          <w:rFonts w:ascii="Bookman Old Style" w:eastAsiaTheme="minorEastAsia" w:hAnsi="Bookman Old Style"/>
        </w:rPr>
      </w:pPr>
    </w:p>
    <w:p w14:paraId="6B1291F0" w14:textId="31861D86"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The nominal return on Canada Treasury bills was 6.15% per year; the average real return on Treasury bills was thus approximately 2.20% per year – so the real return on T-bills has been quite low historically.</w:t>
      </w:r>
    </w:p>
    <w:p w14:paraId="129D244B" w14:textId="77777777" w:rsidR="00AE06E8" w:rsidRDefault="00AE06E8" w:rsidP="00804DBB">
      <w:pPr>
        <w:spacing w:after="0" w:line="240" w:lineRule="auto"/>
        <w:jc w:val="both"/>
        <w:rPr>
          <w:rFonts w:ascii="Bookman Old Style" w:eastAsiaTheme="minorEastAsia" w:hAnsi="Bookman Old Style"/>
        </w:rPr>
      </w:pPr>
    </w:p>
    <w:p w14:paraId="01277413" w14:textId="6E947E84"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At the other extreme – Canadian common stocks had an average real return of about 10.45% - 3.95% = 6.5%, which is large. </w:t>
      </w:r>
    </w:p>
    <w:p w14:paraId="51C68AB5" w14:textId="77777777" w:rsidR="00AE06E8" w:rsidRDefault="00AE06E8" w:rsidP="00804DBB">
      <w:pPr>
        <w:spacing w:after="0" w:line="240" w:lineRule="auto"/>
        <w:jc w:val="both"/>
        <w:rPr>
          <w:rFonts w:ascii="Bookman Old Style" w:eastAsiaTheme="minorEastAsia" w:hAnsi="Bookman Old Style"/>
        </w:rPr>
      </w:pPr>
    </w:p>
    <w:p w14:paraId="48C42C3A" w14:textId="565154DF"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The TSX Venture stocks show an average return of 15.68%, which is higher than the return on T-bills. But venture stocks fluctuate a lot, so averages taken over short periods are considered to be unreliable.</w:t>
      </w:r>
    </w:p>
    <w:p w14:paraId="2E03C1DC" w14:textId="77777777" w:rsidR="00AE06E8" w:rsidRDefault="00AE06E8" w:rsidP="00804DBB">
      <w:pPr>
        <w:spacing w:after="0" w:line="240" w:lineRule="auto"/>
        <w:jc w:val="both"/>
        <w:rPr>
          <w:rFonts w:ascii="Bookman Old Style" w:eastAsiaTheme="minorEastAsia" w:hAnsi="Bookman Old Style"/>
        </w:rPr>
      </w:pPr>
    </w:p>
    <w:p w14:paraId="2BE8B029" w14:textId="77777777" w:rsidR="00AE06E8" w:rsidRDefault="00AE06E8" w:rsidP="00804DBB">
      <w:pPr>
        <w:spacing w:after="0" w:line="240" w:lineRule="auto"/>
        <w:jc w:val="both"/>
        <w:rPr>
          <w:rFonts w:ascii="Bookman Old Style" w:eastAsiaTheme="minorEastAsia" w:hAnsi="Bookman Old Style"/>
        </w:rPr>
      </w:pPr>
    </w:p>
    <w:p w14:paraId="0931E541" w14:textId="5A3493DA"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RISK PREMIUMS</w:t>
      </w:r>
    </w:p>
    <w:p w14:paraId="2E18F69A" w14:textId="3D0A9CCD"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Now that we’ve calculated some average returns, it seems logical to compare with each other. One such comparison involves government-issued securities. These are free from a lot of the variability that we see in the stock market.</w:t>
      </w:r>
    </w:p>
    <w:p w14:paraId="4362B6C6" w14:textId="77777777" w:rsidR="00AE06E8" w:rsidRDefault="00AE06E8" w:rsidP="00804DBB">
      <w:pPr>
        <w:spacing w:after="0" w:line="240" w:lineRule="auto"/>
        <w:jc w:val="both"/>
        <w:rPr>
          <w:rFonts w:ascii="Bookman Old Style" w:eastAsiaTheme="minorEastAsia" w:hAnsi="Bookman Old Style"/>
        </w:rPr>
      </w:pPr>
    </w:p>
    <w:p w14:paraId="5B2E3A44" w14:textId="47FD8A39"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The Canadian government borrows money by issuing different debt securities – we focus on Treasury bills - these have the shortest maturity. The government can always raise taxes to pay its bills, so this debt if virtually free of any default risk over its short life – so we call the rate on such debt the </w:t>
      </w:r>
      <w:r w:rsidRPr="00AE06E8">
        <w:rPr>
          <w:rFonts w:ascii="Bookman Old Style" w:eastAsiaTheme="minorEastAsia" w:hAnsi="Bookman Old Style"/>
          <w:b/>
          <w:i/>
        </w:rPr>
        <w:t>risk</w:t>
      </w:r>
      <w:r>
        <w:rPr>
          <w:rFonts w:ascii="Bookman Old Style" w:eastAsiaTheme="minorEastAsia" w:hAnsi="Bookman Old Style"/>
          <w:b/>
          <w:i/>
        </w:rPr>
        <w:t>-free return</w:t>
      </w:r>
      <w:r>
        <w:rPr>
          <w:rFonts w:ascii="Bookman Old Style" w:eastAsiaTheme="minorEastAsia" w:hAnsi="Bookman Old Style"/>
        </w:rPr>
        <w:t>, and we use it as a benchmark of sorts.</w:t>
      </w:r>
    </w:p>
    <w:p w14:paraId="6DE36744" w14:textId="77777777" w:rsidR="00AE06E8" w:rsidRDefault="00AE06E8" w:rsidP="00804DBB">
      <w:pPr>
        <w:spacing w:after="0" w:line="240" w:lineRule="auto"/>
        <w:jc w:val="both"/>
        <w:rPr>
          <w:rFonts w:ascii="Bookman Old Style" w:eastAsiaTheme="minorEastAsia" w:hAnsi="Bookman Old Style"/>
        </w:rPr>
      </w:pPr>
    </w:p>
    <w:p w14:paraId="64AC838C" w14:textId="3C3C7A6E" w:rsidR="00AE06E8" w:rsidRDefault="00AE06E8" w:rsidP="00804DBB">
      <w:pPr>
        <w:spacing w:after="0" w:line="240" w:lineRule="auto"/>
        <w:jc w:val="both"/>
        <w:rPr>
          <w:rFonts w:ascii="Bookman Old Style" w:eastAsiaTheme="minorEastAsia" w:hAnsi="Bookman Old Style"/>
        </w:rPr>
      </w:pPr>
      <w:r>
        <w:rPr>
          <w:rFonts w:ascii="Bookman Old Style" w:eastAsiaTheme="minorEastAsia" w:hAnsi="Bookman Old Style"/>
        </w:rPr>
        <w:t>An interesting comparison is the virtually risk-free return on T-bills and the very risky return on common stocks.</w:t>
      </w:r>
      <w:r w:rsidR="00AE730F">
        <w:rPr>
          <w:rFonts w:ascii="Bookman Old Style" w:eastAsiaTheme="minorEastAsia" w:hAnsi="Bookman Old Style"/>
        </w:rPr>
        <w:t xml:space="preserve"> The difference between these 2 can be interpreted as a measure of the excess return on the average risky asset.</w:t>
      </w:r>
    </w:p>
    <w:p w14:paraId="5129660A" w14:textId="77777777" w:rsidR="00AE730F" w:rsidRDefault="00AE730F" w:rsidP="00804DBB">
      <w:pPr>
        <w:spacing w:after="0" w:line="240" w:lineRule="auto"/>
        <w:jc w:val="both"/>
        <w:rPr>
          <w:rFonts w:ascii="Bookman Old Style" w:eastAsiaTheme="minorEastAsia" w:hAnsi="Bookman Old Style"/>
        </w:rPr>
      </w:pPr>
    </w:p>
    <w:p w14:paraId="77319DE8" w14:textId="300376FA" w:rsidR="00AE730F" w:rsidRDefault="00AE730F" w:rsidP="00804DBB">
      <w:pPr>
        <w:spacing w:after="0" w:line="240" w:lineRule="auto"/>
        <w:jc w:val="both"/>
        <w:rPr>
          <w:rFonts w:ascii="Bookman Old Style" w:eastAsiaTheme="minorEastAsia" w:hAnsi="Bookman Old Style"/>
          <w:b/>
        </w:rPr>
      </w:pPr>
      <w:r>
        <w:rPr>
          <w:rFonts w:ascii="Bookman Old Style" w:eastAsiaTheme="minorEastAsia" w:hAnsi="Bookman Old Style"/>
        </w:rPr>
        <w:t xml:space="preserve">We call this excess return because it’s the additional return we earn by moving from a relatively risk-free investment to a risky one. Because it can be interpreted as a reward for bearing risk, we call it a </w:t>
      </w:r>
      <w:r>
        <w:rPr>
          <w:rFonts w:ascii="Bookman Old Style" w:eastAsiaTheme="minorEastAsia" w:hAnsi="Bookman Old Style"/>
          <w:b/>
        </w:rPr>
        <w:t>risk premium.</w:t>
      </w:r>
    </w:p>
    <w:p w14:paraId="7593F1DD" w14:textId="77777777" w:rsidR="00AE730F" w:rsidRDefault="00AE730F" w:rsidP="00804DBB">
      <w:pPr>
        <w:spacing w:after="0" w:line="240" w:lineRule="auto"/>
        <w:jc w:val="both"/>
        <w:rPr>
          <w:rFonts w:ascii="Bookman Old Style" w:eastAsiaTheme="minorEastAsia" w:hAnsi="Bookman Old Style"/>
          <w:b/>
        </w:rPr>
      </w:pPr>
    </w:p>
    <w:p w14:paraId="47B29802" w14:textId="77777777" w:rsidR="00AE730F" w:rsidRDefault="00AE730F" w:rsidP="00804DBB">
      <w:pPr>
        <w:spacing w:after="0" w:line="240" w:lineRule="auto"/>
        <w:jc w:val="both"/>
        <w:rPr>
          <w:rFonts w:ascii="Bookman Old Style" w:eastAsiaTheme="minorEastAsia" w:hAnsi="Bookman Old Style"/>
        </w:rPr>
      </w:pPr>
    </w:p>
    <w:p w14:paraId="0FF81AF5" w14:textId="77777777" w:rsidR="00AE730F" w:rsidRDefault="00AE730F" w:rsidP="00804DBB">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AE730F" w14:paraId="23F0B0C1" w14:textId="77777777" w:rsidTr="00AE730F">
        <w:tc>
          <w:tcPr>
            <w:tcW w:w="9576" w:type="dxa"/>
          </w:tcPr>
          <w:p w14:paraId="63B9A790" w14:textId="6871ECBD" w:rsidR="00AE730F" w:rsidRDefault="00AE730F" w:rsidP="00804DBB">
            <w:pPr>
              <w:jc w:val="both"/>
              <w:rPr>
                <w:rFonts w:ascii="Bookman Old Style" w:eastAsiaTheme="minorEastAsia" w:hAnsi="Bookman Old Style"/>
              </w:rPr>
            </w:pPr>
          </w:p>
          <w:p w14:paraId="2587DE8F" w14:textId="77777777" w:rsidR="00AE730F" w:rsidRDefault="00AE730F" w:rsidP="00804DBB">
            <w:pPr>
              <w:jc w:val="both"/>
              <w:rPr>
                <w:rFonts w:ascii="Bookman Old Style" w:eastAsiaTheme="minorEastAsia" w:hAnsi="Bookman Old Style"/>
              </w:rPr>
            </w:pPr>
            <w:r>
              <w:rPr>
                <w:rFonts w:ascii="Bookman Old Style" w:eastAsiaTheme="minorEastAsia" w:hAnsi="Bookman Old Style"/>
                <w:b/>
              </w:rPr>
              <w:t xml:space="preserve">Risk Premium – </w:t>
            </w:r>
            <w:r>
              <w:rPr>
                <w:rFonts w:ascii="Bookman Old Style" w:eastAsiaTheme="minorEastAsia" w:hAnsi="Bookman Old Style"/>
              </w:rPr>
              <w:t>The excess return required from an investment in a risky asset over a risk-free investment.</w:t>
            </w:r>
          </w:p>
          <w:p w14:paraId="0DA59278" w14:textId="1516C4C8" w:rsidR="00AE730F" w:rsidRPr="00AE730F" w:rsidRDefault="00AE730F" w:rsidP="00804DBB">
            <w:pPr>
              <w:jc w:val="both"/>
              <w:rPr>
                <w:rFonts w:ascii="Bookman Old Style" w:eastAsiaTheme="minorEastAsia" w:hAnsi="Bookman Old Style"/>
              </w:rPr>
            </w:pPr>
          </w:p>
        </w:tc>
      </w:tr>
    </w:tbl>
    <w:p w14:paraId="3C2EDD14" w14:textId="77777777" w:rsidR="00AE730F" w:rsidRPr="00AE730F" w:rsidRDefault="00AE730F" w:rsidP="00804DBB">
      <w:pPr>
        <w:spacing w:after="0" w:line="240" w:lineRule="auto"/>
        <w:jc w:val="both"/>
        <w:rPr>
          <w:rFonts w:ascii="Bookman Old Style" w:eastAsiaTheme="minorEastAsia" w:hAnsi="Bookman Old Style"/>
        </w:rPr>
      </w:pPr>
    </w:p>
    <w:p w14:paraId="18BAEE36" w14:textId="7EEA795C" w:rsidR="00AE06E8" w:rsidRDefault="00AE730F" w:rsidP="00804DBB">
      <w:pPr>
        <w:spacing w:after="0" w:line="240" w:lineRule="auto"/>
        <w:jc w:val="both"/>
        <w:rPr>
          <w:rFonts w:ascii="Bookman Old Style" w:eastAsiaTheme="minorEastAsia" w:hAnsi="Bookman Old Style"/>
        </w:rPr>
      </w:pPr>
      <w:r>
        <w:rPr>
          <w:rFonts w:ascii="Bookman Old Style" w:eastAsiaTheme="minorEastAsia" w:hAnsi="Bookman Old Style"/>
        </w:rPr>
        <w:t>From the table above we can calculate the risk premium for the different investments. We only report the nominal risk premium below because there’s only a slight difference between the historical nominal and real risk premiums.</w:t>
      </w:r>
    </w:p>
    <w:p w14:paraId="5729F009" w14:textId="77777777" w:rsidR="00AE730F" w:rsidRDefault="00AE730F" w:rsidP="00804DBB">
      <w:pPr>
        <w:spacing w:after="0" w:line="240" w:lineRule="auto"/>
        <w:jc w:val="both"/>
        <w:rPr>
          <w:rFonts w:ascii="Bookman Old Style" w:eastAsiaTheme="minorEastAsia" w:hAnsi="Bookman Old Style"/>
        </w:rPr>
      </w:pPr>
    </w:p>
    <w:p w14:paraId="043EB470" w14:textId="28F25F85" w:rsidR="00AE730F" w:rsidRDefault="00AE730F" w:rsidP="00804DBB">
      <w:pPr>
        <w:spacing w:after="0" w:line="240" w:lineRule="auto"/>
        <w:jc w:val="both"/>
        <w:rPr>
          <w:rFonts w:ascii="Bookman Old Style" w:eastAsiaTheme="minorEastAsia" w:hAnsi="Bookman Old Style"/>
        </w:rPr>
      </w:pPr>
      <w:r>
        <w:rPr>
          <w:rFonts w:ascii="Bookman Old Style" w:eastAsiaTheme="minorEastAsia" w:hAnsi="Bookman Old Style"/>
        </w:rPr>
        <w:t>The risk premium on T-bills is shown as zero in the table because we’ve assumed that they’re riskless.</w:t>
      </w:r>
    </w:p>
    <w:p w14:paraId="3E24E858" w14:textId="77777777" w:rsidR="00AE730F" w:rsidRDefault="00AE730F" w:rsidP="00804DBB">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2898"/>
        <w:gridCol w:w="3486"/>
        <w:gridCol w:w="3192"/>
      </w:tblGrid>
      <w:tr w:rsidR="00AE730F" w14:paraId="20E12BDA" w14:textId="77777777" w:rsidTr="00AE730F">
        <w:tc>
          <w:tcPr>
            <w:tcW w:w="9576" w:type="dxa"/>
            <w:gridSpan w:val="3"/>
            <w:tcBorders>
              <w:bottom w:val="single" w:sz="4" w:space="0" w:color="auto"/>
            </w:tcBorders>
          </w:tcPr>
          <w:p w14:paraId="3F14EB5E" w14:textId="77777777" w:rsidR="00AE730F" w:rsidRPr="00AE730F" w:rsidRDefault="00AE730F" w:rsidP="00804DBB">
            <w:pPr>
              <w:jc w:val="center"/>
              <w:rPr>
                <w:rFonts w:ascii="Bookman Old Style" w:eastAsiaTheme="minorEastAsia" w:hAnsi="Bookman Old Style"/>
                <w:b/>
                <w:sz w:val="20"/>
              </w:rPr>
            </w:pPr>
            <w:r w:rsidRPr="00AE730F">
              <w:rPr>
                <w:rFonts w:ascii="Bookman Old Style" w:eastAsiaTheme="minorEastAsia" w:hAnsi="Bookman Old Style"/>
                <w:b/>
                <w:sz w:val="20"/>
              </w:rPr>
              <w:t>12.3</w:t>
            </w:r>
          </w:p>
          <w:p w14:paraId="726B7E82" w14:textId="20963909"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b/>
                <w:sz w:val="20"/>
              </w:rPr>
              <w:t>Average Annual Returns &amp; Risk Premiums (1957-2011)</w:t>
            </w:r>
          </w:p>
        </w:tc>
      </w:tr>
      <w:tr w:rsidR="00AE730F" w:rsidRPr="00AE730F" w14:paraId="5CADC12D" w14:textId="77777777" w:rsidTr="00AE730F">
        <w:tc>
          <w:tcPr>
            <w:tcW w:w="2898" w:type="dxa"/>
            <w:tcBorders>
              <w:bottom w:val="single" w:sz="4" w:space="0" w:color="auto"/>
              <w:right w:val="nil"/>
            </w:tcBorders>
          </w:tcPr>
          <w:p w14:paraId="795C0FF3" w14:textId="3E16D77A" w:rsidR="00AE730F" w:rsidRPr="00AE730F" w:rsidRDefault="00AE730F" w:rsidP="00804DBB">
            <w:pPr>
              <w:jc w:val="center"/>
              <w:rPr>
                <w:rFonts w:ascii="Bookman Old Style" w:eastAsiaTheme="minorEastAsia" w:hAnsi="Bookman Old Style"/>
                <w:b/>
                <w:sz w:val="20"/>
              </w:rPr>
            </w:pPr>
            <w:r w:rsidRPr="00AE730F">
              <w:rPr>
                <w:rFonts w:ascii="Bookman Old Style" w:eastAsiaTheme="minorEastAsia" w:hAnsi="Bookman Old Style"/>
                <w:b/>
                <w:sz w:val="20"/>
              </w:rPr>
              <w:t>Investment</w:t>
            </w:r>
          </w:p>
        </w:tc>
        <w:tc>
          <w:tcPr>
            <w:tcW w:w="3486" w:type="dxa"/>
            <w:tcBorders>
              <w:left w:val="nil"/>
              <w:bottom w:val="single" w:sz="4" w:space="0" w:color="auto"/>
              <w:right w:val="nil"/>
            </w:tcBorders>
          </w:tcPr>
          <w:p w14:paraId="5BDCE199" w14:textId="0D55288F" w:rsidR="00AE730F" w:rsidRPr="00AE730F" w:rsidRDefault="00AE730F" w:rsidP="00804DBB">
            <w:pPr>
              <w:jc w:val="center"/>
              <w:rPr>
                <w:rFonts w:ascii="Bookman Old Style" w:eastAsiaTheme="minorEastAsia" w:hAnsi="Bookman Old Style"/>
                <w:b/>
                <w:sz w:val="20"/>
              </w:rPr>
            </w:pPr>
            <w:r w:rsidRPr="00AE730F">
              <w:rPr>
                <w:rFonts w:ascii="Bookman Old Style" w:eastAsiaTheme="minorEastAsia" w:hAnsi="Bookman Old Style"/>
                <w:b/>
                <w:sz w:val="20"/>
              </w:rPr>
              <w:t>Arithmetic Average Return (%)</w:t>
            </w:r>
          </w:p>
        </w:tc>
        <w:tc>
          <w:tcPr>
            <w:tcW w:w="3192" w:type="dxa"/>
            <w:tcBorders>
              <w:left w:val="nil"/>
              <w:bottom w:val="single" w:sz="4" w:space="0" w:color="auto"/>
            </w:tcBorders>
          </w:tcPr>
          <w:p w14:paraId="43C7A264" w14:textId="1701A322" w:rsidR="00AE730F" w:rsidRPr="00AE730F" w:rsidRDefault="00AE730F" w:rsidP="00804DBB">
            <w:pPr>
              <w:jc w:val="center"/>
              <w:rPr>
                <w:rFonts w:ascii="Bookman Old Style" w:eastAsiaTheme="minorEastAsia" w:hAnsi="Bookman Old Style"/>
                <w:b/>
                <w:sz w:val="20"/>
              </w:rPr>
            </w:pPr>
            <w:r w:rsidRPr="00AE730F">
              <w:rPr>
                <w:rFonts w:ascii="Bookman Old Style" w:eastAsiaTheme="minorEastAsia" w:hAnsi="Bookman Old Style"/>
                <w:b/>
                <w:sz w:val="20"/>
              </w:rPr>
              <w:t>Risk Premium (%)</w:t>
            </w:r>
          </w:p>
        </w:tc>
      </w:tr>
      <w:tr w:rsidR="00AE730F" w14:paraId="2F816791" w14:textId="77777777" w:rsidTr="00AE730F">
        <w:tc>
          <w:tcPr>
            <w:tcW w:w="2898" w:type="dxa"/>
            <w:tcBorders>
              <w:bottom w:val="nil"/>
              <w:right w:val="nil"/>
            </w:tcBorders>
          </w:tcPr>
          <w:p w14:paraId="10D8B5F0" w14:textId="34DC1722" w:rsidR="00AE730F" w:rsidRPr="00AE730F" w:rsidRDefault="00AE730F" w:rsidP="00804DBB">
            <w:pPr>
              <w:jc w:val="both"/>
              <w:rPr>
                <w:rFonts w:ascii="Bookman Old Style" w:eastAsiaTheme="minorEastAsia" w:hAnsi="Bookman Old Style"/>
                <w:sz w:val="20"/>
              </w:rPr>
            </w:pPr>
            <w:r w:rsidRPr="00AE730F">
              <w:rPr>
                <w:rFonts w:ascii="Bookman Old Style" w:eastAsiaTheme="minorEastAsia" w:hAnsi="Bookman Old Style"/>
                <w:sz w:val="20"/>
              </w:rPr>
              <w:t>Canadian common stocks</w:t>
            </w:r>
          </w:p>
        </w:tc>
        <w:tc>
          <w:tcPr>
            <w:tcW w:w="3486" w:type="dxa"/>
            <w:tcBorders>
              <w:left w:val="nil"/>
              <w:bottom w:val="nil"/>
              <w:right w:val="nil"/>
            </w:tcBorders>
          </w:tcPr>
          <w:p w14:paraId="64C882D0" w14:textId="7A704DA3"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10.45</w:t>
            </w:r>
          </w:p>
        </w:tc>
        <w:tc>
          <w:tcPr>
            <w:tcW w:w="3192" w:type="dxa"/>
            <w:tcBorders>
              <w:left w:val="nil"/>
              <w:bottom w:val="nil"/>
            </w:tcBorders>
          </w:tcPr>
          <w:p w14:paraId="7B4F6277" w14:textId="415F61B2"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4.30</w:t>
            </w:r>
          </w:p>
        </w:tc>
      </w:tr>
      <w:tr w:rsidR="00AE730F" w14:paraId="58D63BFB" w14:textId="77777777" w:rsidTr="00AE730F">
        <w:tc>
          <w:tcPr>
            <w:tcW w:w="2898" w:type="dxa"/>
            <w:tcBorders>
              <w:top w:val="nil"/>
              <w:bottom w:val="nil"/>
              <w:right w:val="nil"/>
            </w:tcBorders>
          </w:tcPr>
          <w:p w14:paraId="126EF4BA" w14:textId="7B873959" w:rsidR="00AE730F" w:rsidRPr="00AE730F" w:rsidRDefault="00AE730F" w:rsidP="00804DBB">
            <w:pPr>
              <w:jc w:val="both"/>
              <w:rPr>
                <w:rFonts w:ascii="Bookman Old Style" w:eastAsiaTheme="minorEastAsia" w:hAnsi="Bookman Old Style"/>
                <w:sz w:val="20"/>
              </w:rPr>
            </w:pPr>
            <w:r w:rsidRPr="00AE730F">
              <w:rPr>
                <w:rFonts w:ascii="Bookman Old Style" w:eastAsiaTheme="minorEastAsia" w:hAnsi="Bookman Old Style"/>
                <w:sz w:val="20"/>
              </w:rPr>
              <w:t>US common stocks (CAD$)</w:t>
            </w:r>
          </w:p>
        </w:tc>
        <w:tc>
          <w:tcPr>
            <w:tcW w:w="3486" w:type="dxa"/>
            <w:tcBorders>
              <w:top w:val="nil"/>
              <w:left w:val="nil"/>
              <w:bottom w:val="nil"/>
              <w:right w:val="nil"/>
            </w:tcBorders>
          </w:tcPr>
          <w:p w14:paraId="45AF4F3F" w14:textId="0DB00EAF"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11.07</w:t>
            </w:r>
          </w:p>
        </w:tc>
        <w:tc>
          <w:tcPr>
            <w:tcW w:w="3192" w:type="dxa"/>
            <w:tcBorders>
              <w:top w:val="nil"/>
              <w:left w:val="nil"/>
              <w:bottom w:val="nil"/>
            </w:tcBorders>
          </w:tcPr>
          <w:p w14:paraId="71800F42" w14:textId="36301316"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4.92</w:t>
            </w:r>
          </w:p>
        </w:tc>
      </w:tr>
      <w:tr w:rsidR="00AE730F" w14:paraId="7E0CD562" w14:textId="77777777" w:rsidTr="00AE730F">
        <w:tc>
          <w:tcPr>
            <w:tcW w:w="2898" w:type="dxa"/>
            <w:tcBorders>
              <w:top w:val="nil"/>
              <w:bottom w:val="nil"/>
              <w:right w:val="nil"/>
            </w:tcBorders>
          </w:tcPr>
          <w:p w14:paraId="5957F025" w14:textId="4D63033E" w:rsidR="00AE730F" w:rsidRPr="00AE730F" w:rsidRDefault="00AE730F" w:rsidP="00804DBB">
            <w:pPr>
              <w:jc w:val="both"/>
              <w:rPr>
                <w:rFonts w:ascii="Bookman Old Style" w:eastAsiaTheme="minorEastAsia" w:hAnsi="Bookman Old Style"/>
                <w:sz w:val="20"/>
              </w:rPr>
            </w:pPr>
            <w:r w:rsidRPr="00AE730F">
              <w:rPr>
                <w:rFonts w:ascii="Bookman Old Style" w:eastAsiaTheme="minorEastAsia" w:hAnsi="Bookman Old Style"/>
                <w:sz w:val="20"/>
              </w:rPr>
              <w:t>Long bonds</w:t>
            </w:r>
          </w:p>
        </w:tc>
        <w:tc>
          <w:tcPr>
            <w:tcW w:w="3486" w:type="dxa"/>
            <w:tcBorders>
              <w:top w:val="nil"/>
              <w:left w:val="nil"/>
              <w:bottom w:val="nil"/>
              <w:right w:val="nil"/>
            </w:tcBorders>
          </w:tcPr>
          <w:p w14:paraId="1DA4ABE9" w14:textId="6A803810"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8.74</w:t>
            </w:r>
          </w:p>
        </w:tc>
        <w:tc>
          <w:tcPr>
            <w:tcW w:w="3192" w:type="dxa"/>
            <w:tcBorders>
              <w:top w:val="nil"/>
              <w:left w:val="nil"/>
              <w:bottom w:val="nil"/>
            </w:tcBorders>
          </w:tcPr>
          <w:p w14:paraId="5163D5C5" w14:textId="53F3B625"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2.58</w:t>
            </w:r>
          </w:p>
        </w:tc>
      </w:tr>
      <w:tr w:rsidR="00AE730F" w14:paraId="512412CF" w14:textId="77777777" w:rsidTr="00AE730F">
        <w:tc>
          <w:tcPr>
            <w:tcW w:w="2898" w:type="dxa"/>
            <w:tcBorders>
              <w:top w:val="nil"/>
              <w:bottom w:val="nil"/>
              <w:right w:val="nil"/>
            </w:tcBorders>
          </w:tcPr>
          <w:p w14:paraId="264DB639" w14:textId="434A84E8" w:rsidR="00AE730F" w:rsidRPr="00AE730F" w:rsidRDefault="00AE730F" w:rsidP="00804DBB">
            <w:pPr>
              <w:jc w:val="both"/>
              <w:rPr>
                <w:rFonts w:ascii="Bookman Old Style" w:eastAsiaTheme="minorEastAsia" w:hAnsi="Bookman Old Style"/>
                <w:sz w:val="20"/>
              </w:rPr>
            </w:pPr>
            <w:r w:rsidRPr="00AE730F">
              <w:rPr>
                <w:rFonts w:ascii="Bookman Old Style" w:eastAsiaTheme="minorEastAsia" w:hAnsi="Bookman Old Style"/>
                <w:sz w:val="20"/>
              </w:rPr>
              <w:t>Small stocks</w:t>
            </w:r>
          </w:p>
        </w:tc>
        <w:tc>
          <w:tcPr>
            <w:tcW w:w="3486" w:type="dxa"/>
            <w:tcBorders>
              <w:top w:val="nil"/>
              <w:left w:val="nil"/>
              <w:bottom w:val="nil"/>
              <w:right w:val="nil"/>
            </w:tcBorders>
          </w:tcPr>
          <w:p w14:paraId="0E545D89" w14:textId="1CD99B7D"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13.71</w:t>
            </w:r>
          </w:p>
        </w:tc>
        <w:tc>
          <w:tcPr>
            <w:tcW w:w="3192" w:type="dxa"/>
            <w:tcBorders>
              <w:top w:val="nil"/>
              <w:left w:val="nil"/>
              <w:bottom w:val="nil"/>
            </w:tcBorders>
          </w:tcPr>
          <w:p w14:paraId="5595066B" w14:textId="632ED0C4"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7.56</w:t>
            </w:r>
          </w:p>
        </w:tc>
      </w:tr>
      <w:tr w:rsidR="00AE730F" w14:paraId="194D06BA" w14:textId="77777777" w:rsidTr="00AE730F">
        <w:tc>
          <w:tcPr>
            <w:tcW w:w="2898" w:type="dxa"/>
            <w:tcBorders>
              <w:top w:val="nil"/>
              <w:bottom w:val="nil"/>
              <w:right w:val="nil"/>
            </w:tcBorders>
          </w:tcPr>
          <w:p w14:paraId="6417AB02" w14:textId="3B07CD1C" w:rsidR="00AE730F" w:rsidRPr="00AE730F" w:rsidRDefault="00AE730F" w:rsidP="00804DBB">
            <w:pPr>
              <w:jc w:val="both"/>
              <w:rPr>
                <w:rFonts w:ascii="Bookman Old Style" w:eastAsiaTheme="minorEastAsia" w:hAnsi="Bookman Old Style"/>
                <w:sz w:val="20"/>
              </w:rPr>
            </w:pPr>
            <w:r w:rsidRPr="00AE730F">
              <w:rPr>
                <w:rFonts w:ascii="Bookman Old Style" w:eastAsiaTheme="minorEastAsia" w:hAnsi="Bookman Old Style"/>
                <w:sz w:val="20"/>
              </w:rPr>
              <w:t>TSX Venture stocks</w:t>
            </w:r>
          </w:p>
        </w:tc>
        <w:tc>
          <w:tcPr>
            <w:tcW w:w="3486" w:type="dxa"/>
            <w:tcBorders>
              <w:top w:val="nil"/>
              <w:left w:val="nil"/>
              <w:bottom w:val="nil"/>
              <w:right w:val="nil"/>
            </w:tcBorders>
          </w:tcPr>
          <w:p w14:paraId="7B085094" w14:textId="35548636"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15.68</w:t>
            </w:r>
          </w:p>
        </w:tc>
        <w:tc>
          <w:tcPr>
            <w:tcW w:w="3192" w:type="dxa"/>
            <w:tcBorders>
              <w:top w:val="nil"/>
              <w:left w:val="nil"/>
              <w:bottom w:val="nil"/>
            </w:tcBorders>
          </w:tcPr>
          <w:p w14:paraId="09082A57" w14:textId="06AD93B2"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9.53</w:t>
            </w:r>
          </w:p>
        </w:tc>
      </w:tr>
      <w:tr w:rsidR="00AE730F" w14:paraId="45D603BA" w14:textId="77777777" w:rsidTr="00AE730F">
        <w:tc>
          <w:tcPr>
            <w:tcW w:w="2898" w:type="dxa"/>
            <w:tcBorders>
              <w:top w:val="nil"/>
              <w:bottom w:val="nil"/>
              <w:right w:val="nil"/>
            </w:tcBorders>
          </w:tcPr>
          <w:p w14:paraId="7FB77B48" w14:textId="3E59E132" w:rsidR="00AE730F" w:rsidRPr="00AE730F" w:rsidRDefault="00AE730F" w:rsidP="00804DBB">
            <w:pPr>
              <w:jc w:val="both"/>
              <w:rPr>
                <w:rFonts w:ascii="Bookman Old Style" w:eastAsiaTheme="minorEastAsia" w:hAnsi="Bookman Old Style"/>
                <w:sz w:val="20"/>
              </w:rPr>
            </w:pPr>
            <w:r w:rsidRPr="00AE730F">
              <w:rPr>
                <w:rFonts w:ascii="Bookman Old Style" w:eastAsiaTheme="minorEastAsia" w:hAnsi="Bookman Old Style"/>
                <w:sz w:val="20"/>
              </w:rPr>
              <w:t>Inflation</w:t>
            </w:r>
          </w:p>
        </w:tc>
        <w:tc>
          <w:tcPr>
            <w:tcW w:w="3486" w:type="dxa"/>
            <w:tcBorders>
              <w:top w:val="nil"/>
              <w:left w:val="nil"/>
              <w:bottom w:val="nil"/>
              <w:right w:val="nil"/>
            </w:tcBorders>
          </w:tcPr>
          <w:p w14:paraId="3D017829" w14:textId="192100DA"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3.95</w:t>
            </w:r>
          </w:p>
        </w:tc>
        <w:tc>
          <w:tcPr>
            <w:tcW w:w="3192" w:type="dxa"/>
            <w:tcBorders>
              <w:top w:val="nil"/>
              <w:left w:val="nil"/>
              <w:bottom w:val="nil"/>
            </w:tcBorders>
          </w:tcPr>
          <w:p w14:paraId="7C6B923C" w14:textId="222A5BD3"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-2.21</w:t>
            </w:r>
          </w:p>
        </w:tc>
      </w:tr>
      <w:tr w:rsidR="00AE730F" w14:paraId="784D5A6F" w14:textId="77777777" w:rsidTr="00AE730F">
        <w:tc>
          <w:tcPr>
            <w:tcW w:w="2898" w:type="dxa"/>
            <w:tcBorders>
              <w:top w:val="nil"/>
              <w:right w:val="nil"/>
            </w:tcBorders>
          </w:tcPr>
          <w:p w14:paraId="60A2D519" w14:textId="4A935247" w:rsidR="00AE730F" w:rsidRPr="00AE730F" w:rsidRDefault="00AE730F" w:rsidP="00804DBB">
            <w:pPr>
              <w:jc w:val="both"/>
              <w:rPr>
                <w:rFonts w:ascii="Bookman Old Style" w:eastAsiaTheme="minorEastAsia" w:hAnsi="Bookman Old Style"/>
                <w:sz w:val="20"/>
              </w:rPr>
            </w:pPr>
            <w:r w:rsidRPr="00AE730F">
              <w:rPr>
                <w:rFonts w:ascii="Bookman Old Style" w:eastAsiaTheme="minorEastAsia" w:hAnsi="Bookman Old Style"/>
                <w:sz w:val="20"/>
              </w:rPr>
              <w:t>Treasury bills</w:t>
            </w:r>
          </w:p>
        </w:tc>
        <w:tc>
          <w:tcPr>
            <w:tcW w:w="3486" w:type="dxa"/>
            <w:tcBorders>
              <w:top w:val="nil"/>
              <w:left w:val="nil"/>
              <w:right w:val="nil"/>
            </w:tcBorders>
          </w:tcPr>
          <w:p w14:paraId="61D5FBCB" w14:textId="10C854AC"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6.15</w:t>
            </w:r>
          </w:p>
        </w:tc>
        <w:tc>
          <w:tcPr>
            <w:tcW w:w="3192" w:type="dxa"/>
            <w:tcBorders>
              <w:top w:val="nil"/>
              <w:left w:val="nil"/>
            </w:tcBorders>
          </w:tcPr>
          <w:p w14:paraId="6929812C" w14:textId="70650D05" w:rsidR="00AE730F" w:rsidRPr="00AE730F" w:rsidRDefault="00AE730F" w:rsidP="00804DBB">
            <w:pPr>
              <w:jc w:val="center"/>
              <w:rPr>
                <w:rFonts w:ascii="Bookman Old Style" w:eastAsiaTheme="minorEastAsia" w:hAnsi="Bookman Old Style"/>
                <w:sz w:val="20"/>
              </w:rPr>
            </w:pPr>
            <w:r w:rsidRPr="00AE730F">
              <w:rPr>
                <w:rFonts w:ascii="Bookman Old Style" w:eastAsiaTheme="minorEastAsia" w:hAnsi="Bookman Old Style"/>
                <w:sz w:val="20"/>
              </w:rPr>
              <w:t>0.00</w:t>
            </w:r>
          </w:p>
        </w:tc>
      </w:tr>
    </w:tbl>
    <w:p w14:paraId="75474C34" w14:textId="77777777" w:rsidR="00AE730F" w:rsidRDefault="00AE730F" w:rsidP="00804DBB">
      <w:pPr>
        <w:spacing w:after="0" w:line="240" w:lineRule="auto"/>
        <w:jc w:val="both"/>
        <w:rPr>
          <w:rFonts w:ascii="Bookman Old Style" w:eastAsiaTheme="minorEastAsia" w:hAnsi="Bookman Old Style"/>
        </w:rPr>
      </w:pPr>
    </w:p>
    <w:p w14:paraId="6FB15E0B" w14:textId="77DBF82B" w:rsidR="00AE730F" w:rsidRDefault="00AE730F" w:rsidP="00804DBB">
      <w:pPr>
        <w:spacing w:after="0" w:line="240" w:lineRule="auto"/>
        <w:jc w:val="both"/>
        <w:rPr>
          <w:rFonts w:ascii="Bookman Old Style" w:eastAsiaTheme="minorEastAsia" w:hAnsi="Bookman Old Style"/>
        </w:rPr>
      </w:pPr>
      <w:r>
        <w:rPr>
          <w:rFonts w:ascii="Bookman Old Style" w:eastAsiaTheme="minorEastAsia" w:hAnsi="Bookman Old Style"/>
        </w:rPr>
        <w:t>Looking at the table, we see that the average risk premium earned by a typical Canadian common stock is 4.3%: 10.45 – 6.15 = 4.30</w:t>
      </w:r>
    </w:p>
    <w:p w14:paraId="7D2B0E99" w14:textId="77777777" w:rsidR="00AE730F" w:rsidRDefault="00AE730F" w:rsidP="00804DBB">
      <w:pPr>
        <w:spacing w:after="0" w:line="240" w:lineRule="auto"/>
        <w:jc w:val="both"/>
        <w:rPr>
          <w:rFonts w:ascii="Bookman Old Style" w:eastAsiaTheme="minorEastAsia" w:hAnsi="Bookman Old Style"/>
        </w:rPr>
      </w:pPr>
    </w:p>
    <w:p w14:paraId="5BB3CDB6" w14:textId="50DBD2E8" w:rsidR="00AE730F" w:rsidRDefault="00AE730F"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This is a significant reward – the fact that it exists historically is important and it’s the basis for our first lesson </w:t>
      </w:r>
      <w:r w:rsidRPr="00AE730F">
        <w:rPr>
          <w:rFonts w:ascii="Bookman Old Style" w:eastAsiaTheme="minorEastAsia" w:hAnsi="Bookman Old Style"/>
        </w:rPr>
        <w:sym w:font="Wingdings" w:char="F0E0"/>
      </w:r>
      <w:r>
        <w:rPr>
          <w:rFonts w:ascii="Bookman Old Style" w:eastAsiaTheme="minorEastAsia" w:hAnsi="Bookman Old Style"/>
        </w:rPr>
        <w:t xml:space="preserve"> RISKY ASSETS, ON AVERAGE, EARN A RISK PREMIUM. Put another way, there’s reward in bearing risk.</w:t>
      </w:r>
    </w:p>
    <w:p w14:paraId="3210FD8D" w14:textId="77777777" w:rsidR="00AE730F" w:rsidRDefault="00AE730F" w:rsidP="00804DBB">
      <w:pPr>
        <w:spacing w:after="0" w:line="240" w:lineRule="auto"/>
        <w:jc w:val="both"/>
        <w:rPr>
          <w:rFonts w:ascii="Bookman Old Style" w:eastAsiaTheme="minorEastAsia" w:hAnsi="Bookman Old Style"/>
        </w:rPr>
      </w:pPr>
    </w:p>
    <w:p w14:paraId="1C36E01B" w14:textId="77777777" w:rsidR="00AE730F" w:rsidRDefault="00AE730F" w:rsidP="00804DBB">
      <w:pPr>
        <w:spacing w:after="0" w:line="240" w:lineRule="auto"/>
        <w:jc w:val="both"/>
        <w:rPr>
          <w:rFonts w:ascii="Bookman Old Style" w:eastAsiaTheme="minorEastAsia" w:hAnsi="Bookman Old Style"/>
        </w:rPr>
      </w:pPr>
    </w:p>
    <w:p w14:paraId="3C4488FB" w14:textId="3473DD00" w:rsidR="00231906" w:rsidRDefault="00231906" w:rsidP="00804DBB">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THE VARIABILITY OF RETURNS</w:t>
      </w:r>
    </w:p>
    <w:p w14:paraId="0BEA3EB2" w14:textId="5BF21487" w:rsidR="00231906" w:rsidRPr="00231906" w:rsidRDefault="00231906" w:rsidP="00804DBB">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LESSON 2</w:t>
      </w:r>
    </w:p>
    <w:p w14:paraId="4CCC7BBD" w14:textId="77777777" w:rsidR="00AE730F" w:rsidRDefault="00AE730F" w:rsidP="00804DBB">
      <w:pPr>
        <w:spacing w:after="0" w:line="240" w:lineRule="auto"/>
        <w:jc w:val="both"/>
        <w:rPr>
          <w:rFonts w:ascii="Bookman Old Style" w:eastAsiaTheme="minorEastAsia" w:hAnsi="Bookman Old Style"/>
        </w:rPr>
      </w:pPr>
    </w:p>
    <w:p w14:paraId="710A5C7A" w14:textId="0CB20829"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rPr>
        <w:t>We’ve seen that year-to-year returns on common stocks tend to be more volatile than the returns on long term bonds. Now we look at measuring this variability so we can start examining the subject risk.</w:t>
      </w:r>
    </w:p>
    <w:p w14:paraId="17F42812" w14:textId="77777777" w:rsidR="00231906" w:rsidRDefault="00231906" w:rsidP="00804DBB">
      <w:pPr>
        <w:spacing w:after="0" w:line="240" w:lineRule="auto"/>
        <w:jc w:val="both"/>
        <w:rPr>
          <w:rFonts w:ascii="Bookman Old Style" w:eastAsiaTheme="minorEastAsia" w:hAnsi="Bookman Old Style"/>
        </w:rPr>
      </w:pPr>
    </w:p>
    <w:p w14:paraId="24EFB805" w14:textId="77777777" w:rsidR="00231906" w:rsidRDefault="00231906" w:rsidP="00804DBB">
      <w:pPr>
        <w:spacing w:after="0" w:line="240" w:lineRule="auto"/>
        <w:jc w:val="both"/>
        <w:rPr>
          <w:rFonts w:ascii="Bookman Old Style" w:eastAsiaTheme="minorEastAsia" w:hAnsi="Bookman Old Style"/>
        </w:rPr>
      </w:pPr>
    </w:p>
    <w:p w14:paraId="1B734C9B" w14:textId="314E9BA8"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FREQUENCY DISTRIBUTIONS &amp; VARIABILITY</w:t>
      </w:r>
    </w:p>
    <w:p w14:paraId="2FB646D9" w14:textId="779EACE2"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rPr>
        <w:t>To start, we can draw a frequency distribution for the common Canadian stock returns similar to the one below.</w:t>
      </w:r>
    </w:p>
    <w:p w14:paraId="7EC8C79C" w14:textId="77777777" w:rsidR="00231906" w:rsidRDefault="00231906" w:rsidP="00804DBB">
      <w:pPr>
        <w:spacing w:after="0" w:line="240" w:lineRule="auto"/>
        <w:jc w:val="both"/>
        <w:rPr>
          <w:rFonts w:ascii="Bookman Old Style" w:eastAsiaTheme="minorEastAsia" w:hAnsi="Bookman Old Style"/>
        </w:rPr>
      </w:pPr>
    </w:p>
    <w:p w14:paraId="6AC0A8B3" w14:textId="3F7AD55E"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rPr>
        <w:t>What we’ve done here is to count the number of times the annual return on the common stock portfolio falls within each 5% range. For example, the height of 1 in the range -30% to -25% means that 1 of the 55 annual returns was in that range.</w:t>
      </w:r>
    </w:p>
    <w:p w14:paraId="66585435" w14:textId="77777777" w:rsidR="00231906" w:rsidRDefault="00231906" w:rsidP="00804DBB">
      <w:pPr>
        <w:spacing w:after="0" w:line="240" w:lineRule="auto"/>
        <w:jc w:val="both"/>
        <w:rPr>
          <w:rFonts w:ascii="Bookman Old Style" w:eastAsiaTheme="minorEastAsia" w:hAnsi="Bookman Old Style"/>
        </w:rPr>
      </w:pPr>
    </w:p>
    <w:p w14:paraId="65A36605" w14:textId="77777777" w:rsidR="00231906" w:rsidRDefault="00231906" w:rsidP="00804DBB">
      <w:pPr>
        <w:spacing w:after="0" w:line="240" w:lineRule="auto"/>
        <w:jc w:val="both"/>
        <w:rPr>
          <w:rFonts w:ascii="Bookman Old Style" w:eastAsiaTheme="minorEastAsia" w:hAnsi="Bookman Old Style"/>
        </w:rPr>
      </w:pPr>
    </w:p>
    <w:p w14:paraId="488DB5D1" w14:textId="77777777" w:rsidR="00231906" w:rsidRDefault="00231906" w:rsidP="00804DBB">
      <w:pPr>
        <w:spacing w:after="0" w:line="240" w:lineRule="auto"/>
        <w:jc w:val="both"/>
        <w:rPr>
          <w:rFonts w:ascii="Bookman Old Style" w:eastAsiaTheme="minorEastAsia" w:hAnsi="Bookman Old Style"/>
        </w:rPr>
      </w:pPr>
    </w:p>
    <w:p w14:paraId="7F84F142" w14:textId="77777777" w:rsidR="00231906" w:rsidRDefault="00231906" w:rsidP="00804DBB">
      <w:pPr>
        <w:spacing w:after="0" w:line="240" w:lineRule="auto"/>
        <w:jc w:val="both"/>
        <w:rPr>
          <w:rFonts w:ascii="Bookman Old Style" w:eastAsiaTheme="minorEastAsia" w:hAnsi="Bookman Old Style"/>
        </w:rPr>
      </w:pPr>
    </w:p>
    <w:p w14:paraId="2A28651E" w14:textId="436122AF"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Horizontal axis (x) = Return (%)</w:t>
      </w:r>
    </w:p>
    <w:p w14:paraId="7BDBC4A2" w14:textId="3FA996C0"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rPr>
        <w:t>Vertical axis (y) = Number of Years</w:t>
      </w:r>
    </w:p>
    <w:p w14:paraId="007C67DF" w14:textId="77777777" w:rsidR="00231906" w:rsidRDefault="00231906" w:rsidP="00804DBB">
      <w:pPr>
        <w:spacing w:after="0" w:line="240" w:lineRule="auto"/>
        <w:jc w:val="both"/>
        <w:rPr>
          <w:rFonts w:ascii="Bookman Old Style" w:eastAsiaTheme="minorEastAsia" w:hAnsi="Bookman Old Style"/>
        </w:rPr>
      </w:pPr>
    </w:p>
    <w:p w14:paraId="0A121270" w14:textId="77777777" w:rsidR="00231906" w:rsidRDefault="00231906" w:rsidP="00804DBB">
      <w:pPr>
        <w:keepNext/>
        <w:spacing w:after="0" w:line="240" w:lineRule="auto"/>
        <w:jc w:val="center"/>
      </w:pPr>
      <w:r>
        <w:rPr>
          <w:rFonts w:ascii="Bookman Old Style" w:eastAsiaTheme="minorEastAsia" w:hAnsi="Bookman Old Style"/>
          <w:noProof/>
        </w:rPr>
        <w:drawing>
          <wp:inline distT="0" distB="0" distL="0" distR="0" wp14:anchorId="18B9FE40" wp14:editId="1E3B79E9">
            <wp:extent cx="4196687" cy="2306472"/>
            <wp:effectExtent l="0" t="0" r="1397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D5B506A" w14:textId="11EB05C0" w:rsidR="00231906" w:rsidRDefault="00231906" w:rsidP="00804DBB">
      <w:pPr>
        <w:pStyle w:val="Caption"/>
        <w:spacing w:after="0"/>
        <w:jc w:val="both"/>
        <w:rPr>
          <w:rFonts w:ascii="Bookman Old Style" w:eastAsiaTheme="minorEastAsia" w:hAnsi="Bookman Old Style"/>
        </w:rPr>
      </w:pPr>
    </w:p>
    <w:p w14:paraId="058E3B45" w14:textId="63436B7F"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rPr>
        <w:t>We need to measure the spread in returns. For example, we know that the return on Canadian common stocks in a typical year was 10.45%. Now we want to know how far the actual return deviates from this average in a typical year. In other words, we need a measure of how volatile the return is.</w:t>
      </w:r>
    </w:p>
    <w:p w14:paraId="4F8FEA61" w14:textId="77777777" w:rsidR="00231906" w:rsidRDefault="00231906" w:rsidP="00804DBB">
      <w:pPr>
        <w:spacing w:after="0" w:line="240" w:lineRule="auto"/>
        <w:jc w:val="both"/>
        <w:rPr>
          <w:rFonts w:ascii="Bookman Old Style" w:eastAsiaTheme="minorEastAsia" w:hAnsi="Bookman Old Style"/>
        </w:rPr>
      </w:pPr>
    </w:p>
    <w:p w14:paraId="5F1F6094" w14:textId="128B1DEF" w:rsidR="00231906" w:rsidRDefault="00231906"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variance</w:t>
      </w:r>
      <w:r>
        <w:rPr>
          <w:rFonts w:ascii="Bookman Old Style" w:eastAsiaTheme="minorEastAsia" w:hAnsi="Bookman Old Style"/>
        </w:rPr>
        <w:t xml:space="preserve"> and its square root, the </w:t>
      </w:r>
      <w:r>
        <w:rPr>
          <w:rFonts w:ascii="Bookman Old Style" w:eastAsiaTheme="minorEastAsia" w:hAnsi="Bookman Old Style"/>
          <w:b/>
        </w:rPr>
        <w:t>standard deviation</w:t>
      </w:r>
      <w:r>
        <w:rPr>
          <w:rFonts w:ascii="Bookman Old Style" w:eastAsiaTheme="minorEastAsia" w:hAnsi="Bookman Old Style"/>
        </w:rPr>
        <w:t>, are the more commonly used measures of volatility.</w:t>
      </w:r>
    </w:p>
    <w:p w14:paraId="4B478A22" w14:textId="77777777" w:rsidR="00231906" w:rsidRDefault="00231906" w:rsidP="00804DBB">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231906" w14:paraId="12C06446" w14:textId="77777777" w:rsidTr="00527F68">
        <w:tc>
          <w:tcPr>
            <w:tcW w:w="9576" w:type="dxa"/>
          </w:tcPr>
          <w:p w14:paraId="79D38D4B" w14:textId="5356CAF3" w:rsidR="00231906" w:rsidRDefault="00231906" w:rsidP="00804DBB">
            <w:pPr>
              <w:jc w:val="both"/>
            </w:pPr>
          </w:p>
          <w:p w14:paraId="11C1B39B" w14:textId="77777777" w:rsidR="00231906" w:rsidRDefault="00231906" w:rsidP="00804DBB">
            <w:pPr>
              <w:jc w:val="both"/>
              <w:rPr>
                <w:rFonts w:ascii="Bookman Old Style" w:eastAsiaTheme="minorEastAsia" w:hAnsi="Bookman Old Style"/>
              </w:rPr>
            </w:pPr>
            <w:r>
              <w:rPr>
                <w:rFonts w:ascii="Bookman Old Style" w:eastAsiaTheme="minorEastAsia" w:hAnsi="Bookman Old Style"/>
                <w:b/>
              </w:rPr>
              <w:t>Variance</w:t>
            </w:r>
            <w:r>
              <w:rPr>
                <w:rFonts w:ascii="Bookman Old Style" w:eastAsiaTheme="minorEastAsia" w:hAnsi="Bookman Old Style"/>
              </w:rPr>
              <w:t xml:space="preserve"> – The average squared deviation between the actual return and the average return</w:t>
            </w:r>
            <w:r w:rsidR="00527F68">
              <w:rPr>
                <w:rFonts w:ascii="Bookman Old Style" w:eastAsiaTheme="minorEastAsia" w:hAnsi="Bookman Old Style"/>
              </w:rPr>
              <w:t>.</w:t>
            </w:r>
          </w:p>
          <w:p w14:paraId="4F3A6B4E" w14:textId="77777777" w:rsidR="00527F68" w:rsidRDefault="00527F68" w:rsidP="00804DBB">
            <w:pPr>
              <w:jc w:val="both"/>
              <w:rPr>
                <w:rFonts w:ascii="Bookman Old Style" w:eastAsiaTheme="minorEastAsia" w:hAnsi="Bookman Old Style"/>
              </w:rPr>
            </w:pPr>
          </w:p>
          <w:p w14:paraId="65218E23" w14:textId="77777777" w:rsidR="00527F68" w:rsidRDefault="00527F68" w:rsidP="00804DBB">
            <w:pPr>
              <w:jc w:val="both"/>
              <w:rPr>
                <w:rFonts w:ascii="Bookman Old Style" w:eastAsiaTheme="minorEastAsia" w:hAnsi="Bookman Old Style"/>
              </w:rPr>
            </w:pPr>
            <w:r>
              <w:rPr>
                <w:rFonts w:ascii="Bookman Old Style" w:eastAsiaTheme="minorEastAsia" w:hAnsi="Bookman Old Style"/>
                <w:b/>
              </w:rPr>
              <w:t>Standard Deviation</w:t>
            </w:r>
            <w:r>
              <w:rPr>
                <w:rFonts w:ascii="Bookman Old Style" w:eastAsiaTheme="minorEastAsia" w:hAnsi="Bookman Old Style"/>
              </w:rPr>
              <w:t xml:space="preserve"> – The positive square root of the variance.</w:t>
            </w:r>
          </w:p>
          <w:p w14:paraId="3D376F94" w14:textId="68357049" w:rsidR="00527F68" w:rsidRPr="00527F68" w:rsidRDefault="00527F68" w:rsidP="00804DBB">
            <w:pPr>
              <w:jc w:val="both"/>
            </w:pPr>
          </w:p>
        </w:tc>
      </w:tr>
    </w:tbl>
    <w:p w14:paraId="7E081CA8" w14:textId="77777777" w:rsidR="00231906" w:rsidRPr="00231906" w:rsidRDefault="00231906" w:rsidP="00804DBB">
      <w:pPr>
        <w:spacing w:after="0" w:line="240" w:lineRule="auto"/>
        <w:jc w:val="both"/>
      </w:pPr>
    </w:p>
    <w:p w14:paraId="68091B31" w14:textId="7F68D324" w:rsidR="00231906" w:rsidRDefault="00231906" w:rsidP="00804DBB">
      <w:pPr>
        <w:spacing w:after="0" w:line="240" w:lineRule="auto"/>
        <w:jc w:val="both"/>
      </w:pPr>
    </w:p>
    <w:p w14:paraId="1D6DC28F" w14:textId="0EB4E403" w:rsidR="00231906"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THE HISTORICAL VARIANCE &amp; STANDARD DEVIATION</w:t>
      </w:r>
    </w:p>
    <w:p w14:paraId="76D20696" w14:textId="77777777"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The variance essentially measures the average squared difference between the actual returns and the average returns. </w:t>
      </w:r>
    </w:p>
    <w:p w14:paraId="0F199F60" w14:textId="77777777" w:rsidR="00527F68" w:rsidRDefault="00527F68" w:rsidP="00804DBB">
      <w:pPr>
        <w:spacing w:after="0" w:line="240" w:lineRule="auto"/>
        <w:jc w:val="both"/>
        <w:rPr>
          <w:rFonts w:ascii="Bookman Old Style" w:eastAsiaTheme="minorEastAsia" w:hAnsi="Bookman Old Style"/>
        </w:rPr>
      </w:pPr>
    </w:p>
    <w:p w14:paraId="4C9BEEA7" w14:textId="202DF59D"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rPr>
        <w:t>The BIGGER the number is, the more the actual returns tend to differ from the average return. Also, the larger the variance or standard deviation is, the more spread out the returns are.</w:t>
      </w:r>
    </w:p>
    <w:p w14:paraId="624585E1" w14:textId="77777777" w:rsidR="00527F68" w:rsidRDefault="00527F68" w:rsidP="00804DBB">
      <w:pPr>
        <w:spacing w:after="0" w:line="240" w:lineRule="auto"/>
        <w:jc w:val="both"/>
        <w:rPr>
          <w:rFonts w:ascii="Bookman Old Style" w:eastAsiaTheme="minorEastAsia" w:hAnsi="Bookman Old Style"/>
        </w:rPr>
      </w:pPr>
    </w:p>
    <w:p w14:paraId="1E343897" w14:textId="3EBE14DA"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How we calculate the variance and the standard deviation depends on the situation. We’re looking at historical returns; so the procedure we describe is the right one for calculating the </w:t>
      </w:r>
      <w:r w:rsidRPr="00527F68">
        <w:rPr>
          <w:rFonts w:ascii="Bookman Old Style" w:eastAsiaTheme="minorEastAsia" w:hAnsi="Bookman Old Style"/>
          <w:i/>
        </w:rPr>
        <w:t>historical</w:t>
      </w:r>
      <w:r>
        <w:rPr>
          <w:rFonts w:ascii="Bookman Old Style" w:eastAsiaTheme="minorEastAsia" w:hAnsi="Bookman Old Style"/>
        </w:rPr>
        <w:t xml:space="preserve"> variance and standard deviation.</w:t>
      </w:r>
    </w:p>
    <w:p w14:paraId="1D32D1BA" w14:textId="77777777" w:rsidR="00527F68" w:rsidRDefault="00527F68" w:rsidP="00804DBB">
      <w:pPr>
        <w:spacing w:after="0" w:line="240" w:lineRule="auto"/>
        <w:jc w:val="both"/>
        <w:rPr>
          <w:rFonts w:ascii="Bookman Old Style" w:eastAsiaTheme="minorEastAsia" w:hAnsi="Bookman Old Style"/>
        </w:rPr>
      </w:pPr>
    </w:p>
    <w:p w14:paraId="41A4A0F1" w14:textId="63BECD4C"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rPr>
        <w:t>If we’re looking at projected future returns, the procedure would be different. We describe this next.</w:t>
      </w:r>
    </w:p>
    <w:p w14:paraId="2C340C0B" w14:textId="77777777" w:rsidR="00527F68" w:rsidRDefault="00527F68" w:rsidP="00804DBB">
      <w:pPr>
        <w:spacing w:after="0" w:line="240" w:lineRule="auto"/>
        <w:jc w:val="both"/>
        <w:rPr>
          <w:rFonts w:ascii="Bookman Old Style" w:eastAsiaTheme="minorEastAsia" w:hAnsi="Bookman Old Style"/>
        </w:rPr>
      </w:pPr>
    </w:p>
    <w:p w14:paraId="29D6CB81" w14:textId="3049E71C"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i/>
          <w:u w:val="single"/>
        </w:rPr>
        <w:lastRenderedPageBreak/>
        <w:t>Ex.:</w:t>
      </w:r>
    </w:p>
    <w:p w14:paraId="1E33EF72" w14:textId="71D1A282"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rPr>
        <w:t>Suppose an investment has returns of 10%, 12%, 3% and -9% over the last 4 years. The average return is:</w:t>
      </w:r>
    </w:p>
    <w:p w14:paraId="57DDC4BE" w14:textId="77777777" w:rsidR="00527F68" w:rsidRDefault="00527F68" w:rsidP="00804DBB">
      <w:pPr>
        <w:spacing w:after="0" w:line="240" w:lineRule="auto"/>
        <w:jc w:val="both"/>
        <w:rPr>
          <w:rFonts w:ascii="Bookman Old Style" w:eastAsiaTheme="minorEastAsia" w:hAnsi="Bookman Old Style"/>
        </w:rPr>
      </w:pPr>
    </w:p>
    <w:p w14:paraId="263CF411" w14:textId="72A60EBB" w:rsidR="00527F68" w:rsidRPr="00527F68" w:rsidRDefault="003262D8" w:rsidP="00804DBB">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0.10+0.12+0.03-0.09</m:t>
              </m:r>
            </m:num>
            <m:den>
              <m:r>
                <w:rPr>
                  <w:rFonts w:ascii="Cambria Math" w:eastAsiaTheme="minorEastAsia" w:hAnsi="Cambria Math"/>
                </w:rPr>
                <m:t>4</m:t>
              </m:r>
            </m:den>
          </m:f>
          <m:r>
            <w:rPr>
              <w:rFonts w:ascii="Cambria Math" w:eastAsiaTheme="minorEastAsia" w:hAnsi="Cambria Math"/>
            </w:rPr>
            <m:t>=4%</m:t>
          </m:r>
        </m:oMath>
      </m:oMathPara>
    </w:p>
    <w:p w14:paraId="14A85826" w14:textId="77777777" w:rsidR="00527F68" w:rsidRDefault="00527F68" w:rsidP="00804DBB">
      <w:pPr>
        <w:spacing w:after="0" w:line="240" w:lineRule="auto"/>
        <w:jc w:val="both"/>
        <w:rPr>
          <w:rFonts w:ascii="Bookman Old Style" w:eastAsiaTheme="minorEastAsia" w:hAnsi="Bookman Old Style"/>
        </w:rPr>
      </w:pPr>
    </w:p>
    <w:p w14:paraId="194A764F" w14:textId="71F67A72"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rPr>
        <w:t>Notice that the return is never actually equal to 4% - instead, the first return deviates from the average by 0.12 – 0.04 – 0.08 and so on.</w:t>
      </w:r>
    </w:p>
    <w:p w14:paraId="40395173" w14:textId="77777777" w:rsidR="00527F68" w:rsidRDefault="00527F68" w:rsidP="00804DBB">
      <w:pPr>
        <w:spacing w:after="0" w:line="240" w:lineRule="auto"/>
        <w:jc w:val="both"/>
        <w:rPr>
          <w:rFonts w:ascii="Bookman Old Style" w:eastAsiaTheme="minorEastAsia" w:hAnsi="Bookman Old Style"/>
        </w:rPr>
      </w:pPr>
    </w:p>
    <w:p w14:paraId="17C4672B" w14:textId="719D91DC" w:rsidR="00527F68" w:rsidRDefault="00527F68"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To compute the </w:t>
      </w:r>
      <w:r w:rsidRPr="00527F68">
        <w:rPr>
          <w:rFonts w:ascii="Bookman Old Style" w:eastAsiaTheme="minorEastAsia" w:hAnsi="Bookman Old Style"/>
          <w:b/>
          <w:i/>
        </w:rPr>
        <w:t>variance</w:t>
      </w:r>
      <w:r>
        <w:rPr>
          <w:rFonts w:ascii="Bookman Old Style" w:eastAsiaTheme="minorEastAsia" w:hAnsi="Bookman Old Style"/>
        </w:rPr>
        <w:t>, we square each of these deviations, add them up and divide the result by the number of returns less one, or three in this case. We summarize the information below:</w:t>
      </w:r>
    </w:p>
    <w:p w14:paraId="6716D2B0" w14:textId="77777777" w:rsidR="00527F68" w:rsidRDefault="00527F68" w:rsidP="00804DBB">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918"/>
        <w:gridCol w:w="1800"/>
        <w:gridCol w:w="1710"/>
        <w:gridCol w:w="1620"/>
        <w:gridCol w:w="1980"/>
      </w:tblGrid>
      <w:tr w:rsidR="00527F68" w14:paraId="73E0B0B9" w14:textId="77777777" w:rsidTr="00527F68">
        <w:trPr>
          <w:jc w:val="center"/>
        </w:trPr>
        <w:tc>
          <w:tcPr>
            <w:tcW w:w="918" w:type="dxa"/>
            <w:tcBorders>
              <w:bottom w:val="single" w:sz="4" w:space="0" w:color="auto"/>
              <w:right w:val="nil"/>
            </w:tcBorders>
          </w:tcPr>
          <w:p w14:paraId="195FEC8A" w14:textId="77777777" w:rsidR="00527F68" w:rsidRPr="00527F68" w:rsidRDefault="00527F68" w:rsidP="00804DBB">
            <w:pPr>
              <w:jc w:val="both"/>
              <w:rPr>
                <w:rFonts w:ascii="Bookman Old Style" w:eastAsiaTheme="minorEastAsia" w:hAnsi="Bookman Old Style"/>
                <w:sz w:val="20"/>
              </w:rPr>
            </w:pPr>
          </w:p>
        </w:tc>
        <w:tc>
          <w:tcPr>
            <w:tcW w:w="1800" w:type="dxa"/>
            <w:tcBorders>
              <w:left w:val="nil"/>
              <w:bottom w:val="single" w:sz="4" w:space="0" w:color="auto"/>
              <w:right w:val="nil"/>
            </w:tcBorders>
          </w:tcPr>
          <w:p w14:paraId="4E095CE7" w14:textId="77777777"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(1)</w:t>
            </w:r>
          </w:p>
          <w:p w14:paraId="10021B84" w14:textId="5AAA8BE3"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Actual Returns</w:t>
            </w:r>
          </w:p>
        </w:tc>
        <w:tc>
          <w:tcPr>
            <w:tcW w:w="1710" w:type="dxa"/>
            <w:tcBorders>
              <w:left w:val="nil"/>
              <w:bottom w:val="single" w:sz="4" w:space="0" w:color="auto"/>
              <w:right w:val="nil"/>
            </w:tcBorders>
          </w:tcPr>
          <w:p w14:paraId="5BC5694B" w14:textId="77777777"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(2)</w:t>
            </w:r>
          </w:p>
          <w:p w14:paraId="3BE63EF7" w14:textId="3A46786B"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Average Returns</w:t>
            </w:r>
          </w:p>
        </w:tc>
        <w:tc>
          <w:tcPr>
            <w:tcW w:w="1620" w:type="dxa"/>
            <w:tcBorders>
              <w:left w:val="nil"/>
              <w:bottom w:val="single" w:sz="4" w:space="0" w:color="auto"/>
              <w:right w:val="nil"/>
            </w:tcBorders>
          </w:tcPr>
          <w:p w14:paraId="3C866F52" w14:textId="77777777"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(3)</w:t>
            </w:r>
          </w:p>
          <w:p w14:paraId="45FE6464" w14:textId="77777777"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Deviation</w:t>
            </w:r>
          </w:p>
          <w:p w14:paraId="0B0A636C" w14:textId="66DA5F42"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(1) - (2)</w:t>
            </w:r>
          </w:p>
        </w:tc>
        <w:tc>
          <w:tcPr>
            <w:tcW w:w="1980" w:type="dxa"/>
            <w:tcBorders>
              <w:left w:val="nil"/>
              <w:bottom w:val="single" w:sz="4" w:space="0" w:color="auto"/>
            </w:tcBorders>
          </w:tcPr>
          <w:p w14:paraId="62856322" w14:textId="77777777"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(4)</w:t>
            </w:r>
          </w:p>
          <w:p w14:paraId="2894E9F9" w14:textId="4C372FE5"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Squared Deviation</w:t>
            </w:r>
          </w:p>
        </w:tc>
      </w:tr>
      <w:tr w:rsidR="00527F68" w14:paraId="4BE07663" w14:textId="77777777" w:rsidTr="00527F68">
        <w:trPr>
          <w:jc w:val="center"/>
        </w:trPr>
        <w:tc>
          <w:tcPr>
            <w:tcW w:w="918" w:type="dxa"/>
            <w:tcBorders>
              <w:bottom w:val="nil"/>
              <w:right w:val="nil"/>
            </w:tcBorders>
          </w:tcPr>
          <w:p w14:paraId="0DE89D0D" w14:textId="3238E85E" w:rsidR="00527F68" w:rsidRPr="00527F68" w:rsidRDefault="00527F68" w:rsidP="00804DBB">
            <w:pPr>
              <w:jc w:val="both"/>
              <w:rPr>
                <w:rFonts w:ascii="Bookman Old Style" w:eastAsiaTheme="minorEastAsia" w:hAnsi="Bookman Old Style"/>
                <w:sz w:val="20"/>
              </w:rPr>
            </w:pPr>
          </w:p>
        </w:tc>
        <w:tc>
          <w:tcPr>
            <w:tcW w:w="1800" w:type="dxa"/>
            <w:tcBorders>
              <w:left w:val="nil"/>
              <w:bottom w:val="nil"/>
              <w:right w:val="nil"/>
            </w:tcBorders>
          </w:tcPr>
          <w:p w14:paraId="2FDDA84E" w14:textId="7C35448C"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0.10</w:t>
            </w:r>
          </w:p>
        </w:tc>
        <w:tc>
          <w:tcPr>
            <w:tcW w:w="1710" w:type="dxa"/>
            <w:tcBorders>
              <w:left w:val="nil"/>
              <w:bottom w:val="nil"/>
              <w:right w:val="nil"/>
            </w:tcBorders>
          </w:tcPr>
          <w:p w14:paraId="658E9518" w14:textId="22939F54"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0.04</w:t>
            </w:r>
          </w:p>
        </w:tc>
        <w:tc>
          <w:tcPr>
            <w:tcW w:w="1620" w:type="dxa"/>
            <w:tcBorders>
              <w:left w:val="nil"/>
              <w:bottom w:val="nil"/>
              <w:right w:val="nil"/>
            </w:tcBorders>
          </w:tcPr>
          <w:p w14:paraId="29FAB4FA" w14:textId="145425B8"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0.06</w:t>
            </w:r>
          </w:p>
        </w:tc>
        <w:tc>
          <w:tcPr>
            <w:tcW w:w="1980" w:type="dxa"/>
            <w:tcBorders>
              <w:left w:val="nil"/>
              <w:bottom w:val="nil"/>
            </w:tcBorders>
          </w:tcPr>
          <w:p w14:paraId="11FDACF2" w14:textId="7B37D344"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0.0036</w:t>
            </w:r>
          </w:p>
        </w:tc>
      </w:tr>
      <w:tr w:rsidR="00527F68" w14:paraId="53FDE364" w14:textId="77777777" w:rsidTr="00527F68">
        <w:trPr>
          <w:jc w:val="center"/>
        </w:trPr>
        <w:tc>
          <w:tcPr>
            <w:tcW w:w="918" w:type="dxa"/>
            <w:tcBorders>
              <w:top w:val="nil"/>
              <w:bottom w:val="nil"/>
              <w:right w:val="nil"/>
            </w:tcBorders>
          </w:tcPr>
          <w:p w14:paraId="7D2A8FD3" w14:textId="77777777" w:rsidR="00527F68" w:rsidRPr="00527F68" w:rsidRDefault="00527F68" w:rsidP="00804DBB">
            <w:pPr>
              <w:jc w:val="both"/>
              <w:rPr>
                <w:rFonts w:ascii="Bookman Old Style" w:eastAsiaTheme="minorEastAsia" w:hAnsi="Bookman Old Style"/>
                <w:sz w:val="20"/>
              </w:rPr>
            </w:pPr>
          </w:p>
        </w:tc>
        <w:tc>
          <w:tcPr>
            <w:tcW w:w="1800" w:type="dxa"/>
            <w:tcBorders>
              <w:top w:val="nil"/>
              <w:left w:val="nil"/>
              <w:bottom w:val="nil"/>
              <w:right w:val="nil"/>
            </w:tcBorders>
          </w:tcPr>
          <w:p w14:paraId="64DC8604" w14:textId="27B0C639"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0.12</w:t>
            </w:r>
          </w:p>
        </w:tc>
        <w:tc>
          <w:tcPr>
            <w:tcW w:w="1710" w:type="dxa"/>
            <w:tcBorders>
              <w:top w:val="nil"/>
              <w:left w:val="nil"/>
              <w:bottom w:val="nil"/>
              <w:right w:val="nil"/>
            </w:tcBorders>
          </w:tcPr>
          <w:p w14:paraId="7B0E24BC" w14:textId="43B14F8D"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0.04</w:t>
            </w:r>
          </w:p>
        </w:tc>
        <w:tc>
          <w:tcPr>
            <w:tcW w:w="1620" w:type="dxa"/>
            <w:tcBorders>
              <w:top w:val="nil"/>
              <w:left w:val="nil"/>
              <w:bottom w:val="nil"/>
              <w:right w:val="nil"/>
            </w:tcBorders>
          </w:tcPr>
          <w:p w14:paraId="68A445F7" w14:textId="04459BB5"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0.08</w:t>
            </w:r>
          </w:p>
        </w:tc>
        <w:tc>
          <w:tcPr>
            <w:tcW w:w="1980" w:type="dxa"/>
            <w:tcBorders>
              <w:top w:val="nil"/>
              <w:left w:val="nil"/>
              <w:bottom w:val="nil"/>
            </w:tcBorders>
          </w:tcPr>
          <w:p w14:paraId="011D16BC" w14:textId="7D732D2A"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0.0064</w:t>
            </w:r>
          </w:p>
        </w:tc>
      </w:tr>
      <w:tr w:rsidR="00527F68" w14:paraId="4680F79B" w14:textId="77777777" w:rsidTr="00527F68">
        <w:trPr>
          <w:jc w:val="center"/>
        </w:trPr>
        <w:tc>
          <w:tcPr>
            <w:tcW w:w="918" w:type="dxa"/>
            <w:tcBorders>
              <w:top w:val="nil"/>
              <w:bottom w:val="nil"/>
              <w:right w:val="nil"/>
            </w:tcBorders>
          </w:tcPr>
          <w:p w14:paraId="765DE68E" w14:textId="77777777" w:rsidR="00527F68" w:rsidRPr="00527F68" w:rsidRDefault="00527F68" w:rsidP="00804DBB">
            <w:pPr>
              <w:jc w:val="both"/>
              <w:rPr>
                <w:rFonts w:ascii="Bookman Old Style" w:eastAsiaTheme="minorEastAsia" w:hAnsi="Bookman Old Style"/>
                <w:sz w:val="20"/>
              </w:rPr>
            </w:pPr>
          </w:p>
        </w:tc>
        <w:tc>
          <w:tcPr>
            <w:tcW w:w="1800" w:type="dxa"/>
            <w:tcBorders>
              <w:top w:val="nil"/>
              <w:left w:val="nil"/>
              <w:bottom w:val="nil"/>
              <w:right w:val="nil"/>
            </w:tcBorders>
          </w:tcPr>
          <w:p w14:paraId="0B62D006" w14:textId="5CA7C7F4"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0.03</w:t>
            </w:r>
          </w:p>
        </w:tc>
        <w:tc>
          <w:tcPr>
            <w:tcW w:w="1710" w:type="dxa"/>
            <w:tcBorders>
              <w:top w:val="nil"/>
              <w:left w:val="nil"/>
              <w:bottom w:val="nil"/>
              <w:right w:val="nil"/>
            </w:tcBorders>
          </w:tcPr>
          <w:p w14:paraId="68D32229" w14:textId="2BAEC2E5"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0.04</w:t>
            </w:r>
          </w:p>
        </w:tc>
        <w:tc>
          <w:tcPr>
            <w:tcW w:w="1620" w:type="dxa"/>
            <w:tcBorders>
              <w:top w:val="nil"/>
              <w:left w:val="nil"/>
              <w:bottom w:val="nil"/>
              <w:right w:val="nil"/>
            </w:tcBorders>
          </w:tcPr>
          <w:p w14:paraId="06D270A4" w14:textId="6A778A34"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-0.01</w:t>
            </w:r>
          </w:p>
        </w:tc>
        <w:tc>
          <w:tcPr>
            <w:tcW w:w="1980" w:type="dxa"/>
            <w:tcBorders>
              <w:top w:val="nil"/>
              <w:left w:val="nil"/>
              <w:bottom w:val="nil"/>
            </w:tcBorders>
          </w:tcPr>
          <w:p w14:paraId="5237ECB7" w14:textId="06FDE3E1"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0.0001</w:t>
            </w:r>
          </w:p>
        </w:tc>
      </w:tr>
      <w:tr w:rsidR="00527F68" w14:paraId="48308DF2" w14:textId="77777777" w:rsidTr="00527F68">
        <w:trPr>
          <w:jc w:val="center"/>
        </w:trPr>
        <w:tc>
          <w:tcPr>
            <w:tcW w:w="918" w:type="dxa"/>
            <w:tcBorders>
              <w:top w:val="nil"/>
              <w:bottom w:val="nil"/>
              <w:right w:val="nil"/>
            </w:tcBorders>
          </w:tcPr>
          <w:p w14:paraId="55C25C97" w14:textId="77777777" w:rsidR="00527F68" w:rsidRPr="00527F68" w:rsidRDefault="00527F68" w:rsidP="00804DBB">
            <w:pPr>
              <w:jc w:val="both"/>
              <w:rPr>
                <w:rFonts w:ascii="Bookman Old Style" w:eastAsiaTheme="minorEastAsia" w:hAnsi="Bookman Old Style"/>
                <w:sz w:val="20"/>
              </w:rPr>
            </w:pPr>
          </w:p>
        </w:tc>
        <w:tc>
          <w:tcPr>
            <w:tcW w:w="1800" w:type="dxa"/>
            <w:tcBorders>
              <w:top w:val="nil"/>
              <w:left w:val="nil"/>
              <w:bottom w:val="nil"/>
              <w:right w:val="nil"/>
            </w:tcBorders>
          </w:tcPr>
          <w:p w14:paraId="1C66F2D6" w14:textId="09C25662"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-0.09</w:t>
            </w:r>
          </w:p>
        </w:tc>
        <w:tc>
          <w:tcPr>
            <w:tcW w:w="1710" w:type="dxa"/>
            <w:tcBorders>
              <w:top w:val="nil"/>
              <w:left w:val="nil"/>
              <w:bottom w:val="nil"/>
              <w:right w:val="nil"/>
            </w:tcBorders>
          </w:tcPr>
          <w:p w14:paraId="347EB763" w14:textId="7F789C6E"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0.04</w:t>
            </w:r>
          </w:p>
        </w:tc>
        <w:tc>
          <w:tcPr>
            <w:tcW w:w="1620" w:type="dxa"/>
            <w:tcBorders>
              <w:top w:val="nil"/>
              <w:left w:val="nil"/>
              <w:bottom w:val="nil"/>
              <w:right w:val="nil"/>
            </w:tcBorders>
          </w:tcPr>
          <w:p w14:paraId="7C4E1AEA" w14:textId="511615F4"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-0.13</w:t>
            </w:r>
          </w:p>
        </w:tc>
        <w:tc>
          <w:tcPr>
            <w:tcW w:w="1980" w:type="dxa"/>
            <w:tcBorders>
              <w:top w:val="nil"/>
              <w:left w:val="nil"/>
              <w:bottom w:val="nil"/>
            </w:tcBorders>
          </w:tcPr>
          <w:p w14:paraId="5B6B8DEC" w14:textId="7D279064"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0.0169</w:t>
            </w:r>
          </w:p>
        </w:tc>
      </w:tr>
      <w:tr w:rsidR="00527F68" w14:paraId="780DB258" w14:textId="77777777" w:rsidTr="00527F68">
        <w:trPr>
          <w:jc w:val="center"/>
        </w:trPr>
        <w:tc>
          <w:tcPr>
            <w:tcW w:w="918" w:type="dxa"/>
            <w:tcBorders>
              <w:top w:val="nil"/>
              <w:right w:val="nil"/>
            </w:tcBorders>
          </w:tcPr>
          <w:p w14:paraId="4E6D35ED" w14:textId="407FE543" w:rsidR="00527F68" w:rsidRPr="00527F68" w:rsidRDefault="00527F68" w:rsidP="00804DBB">
            <w:pPr>
              <w:jc w:val="both"/>
              <w:rPr>
                <w:rFonts w:ascii="Bookman Old Style" w:eastAsiaTheme="minorEastAsia" w:hAnsi="Bookman Old Style"/>
                <w:sz w:val="20"/>
              </w:rPr>
            </w:pPr>
            <w:r w:rsidRPr="00527F68">
              <w:rPr>
                <w:rFonts w:ascii="Bookman Old Style" w:eastAsiaTheme="minorEastAsia" w:hAnsi="Bookman Old Style"/>
                <w:sz w:val="20"/>
              </w:rPr>
              <w:t>Totals</w:t>
            </w:r>
          </w:p>
        </w:tc>
        <w:tc>
          <w:tcPr>
            <w:tcW w:w="1800" w:type="dxa"/>
            <w:tcBorders>
              <w:top w:val="nil"/>
              <w:left w:val="nil"/>
              <w:right w:val="nil"/>
            </w:tcBorders>
          </w:tcPr>
          <w:p w14:paraId="4EBAB39E" w14:textId="058B0898"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0.16</w:t>
            </w:r>
          </w:p>
        </w:tc>
        <w:tc>
          <w:tcPr>
            <w:tcW w:w="1710" w:type="dxa"/>
            <w:tcBorders>
              <w:top w:val="nil"/>
              <w:left w:val="nil"/>
              <w:right w:val="nil"/>
            </w:tcBorders>
          </w:tcPr>
          <w:p w14:paraId="6B898B2A" w14:textId="77777777" w:rsidR="00527F68" w:rsidRPr="00527F68" w:rsidRDefault="00527F68" w:rsidP="00804DBB">
            <w:pPr>
              <w:jc w:val="center"/>
              <w:rPr>
                <w:rFonts w:ascii="Bookman Old Style" w:eastAsiaTheme="minorEastAsia" w:hAnsi="Bookman Old Style"/>
                <w:sz w:val="20"/>
              </w:rPr>
            </w:pPr>
          </w:p>
        </w:tc>
        <w:tc>
          <w:tcPr>
            <w:tcW w:w="1620" w:type="dxa"/>
            <w:tcBorders>
              <w:top w:val="nil"/>
              <w:left w:val="nil"/>
              <w:right w:val="nil"/>
            </w:tcBorders>
          </w:tcPr>
          <w:p w14:paraId="16ACB123" w14:textId="41D56D1C"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0.00</w:t>
            </w:r>
          </w:p>
        </w:tc>
        <w:tc>
          <w:tcPr>
            <w:tcW w:w="1980" w:type="dxa"/>
            <w:tcBorders>
              <w:top w:val="nil"/>
              <w:left w:val="nil"/>
            </w:tcBorders>
          </w:tcPr>
          <w:p w14:paraId="7A144E53" w14:textId="33C7A65C" w:rsidR="00527F68" w:rsidRPr="00527F68" w:rsidRDefault="00527F68" w:rsidP="00804DBB">
            <w:pPr>
              <w:jc w:val="center"/>
              <w:rPr>
                <w:rFonts w:ascii="Bookman Old Style" w:eastAsiaTheme="minorEastAsia" w:hAnsi="Bookman Old Style"/>
                <w:sz w:val="20"/>
              </w:rPr>
            </w:pPr>
            <w:r w:rsidRPr="00527F68">
              <w:rPr>
                <w:rFonts w:ascii="Bookman Old Style" w:eastAsiaTheme="minorEastAsia" w:hAnsi="Bookman Old Style"/>
                <w:sz w:val="20"/>
              </w:rPr>
              <w:t>0.0270</w:t>
            </w:r>
          </w:p>
        </w:tc>
      </w:tr>
    </w:tbl>
    <w:p w14:paraId="44F1A2A7" w14:textId="77777777" w:rsidR="00527F68" w:rsidRDefault="00527F68" w:rsidP="00804DBB">
      <w:pPr>
        <w:spacing w:after="0" w:line="240" w:lineRule="auto"/>
        <w:jc w:val="both"/>
        <w:rPr>
          <w:rFonts w:ascii="Bookman Old Style" w:eastAsiaTheme="minorEastAsia" w:hAnsi="Bookman Old Style"/>
        </w:rPr>
      </w:pPr>
    </w:p>
    <w:p w14:paraId="32D4704F" w14:textId="44887E40" w:rsidR="00527F68" w:rsidRDefault="006978AE" w:rsidP="00804DBB">
      <w:pPr>
        <w:spacing w:after="0" w:line="240" w:lineRule="auto"/>
        <w:jc w:val="both"/>
        <w:rPr>
          <w:rFonts w:ascii="Bookman Old Style" w:eastAsiaTheme="minorEastAsia" w:hAnsi="Bookman Old Style"/>
        </w:rPr>
      </w:pPr>
      <w:r>
        <w:rPr>
          <w:rFonts w:ascii="Bookman Old Style" w:eastAsiaTheme="minorEastAsia" w:hAnsi="Bookman Old Style"/>
        </w:rPr>
        <w:t>Column 1 = The 4 actual returns.</w:t>
      </w:r>
    </w:p>
    <w:p w14:paraId="23ED891A" w14:textId="16BE974E" w:rsidR="006978AE" w:rsidRDefault="006978AE" w:rsidP="00804DBB">
      <w:pPr>
        <w:spacing w:after="0" w:line="240" w:lineRule="auto"/>
        <w:jc w:val="both"/>
        <w:rPr>
          <w:rFonts w:ascii="Bookman Old Style" w:eastAsiaTheme="minorEastAsia" w:hAnsi="Bookman Old Style"/>
        </w:rPr>
      </w:pPr>
      <w:r>
        <w:rPr>
          <w:rFonts w:ascii="Bookman Old Style" w:eastAsiaTheme="minorEastAsia" w:hAnsi="Bookman Old Style"/>
        </w:rPr>
        <w:t>Column 3 = We calculate the difference between actual returns &amp; average by subtracting out 4%</w:t>
      </w:r>
    </w:p>
    <w:p w14:paraId="622B0EBA" w14:textId="156DB4EE" w:rsidR="006978AE" w:rsidRDefault="006978AE" w:rsidP="00804DBB">
      <w:pPr>
        <w:spacing w:after="0" w:line="240" w:lineRule="auto"/>
        <w:jc w:val="both"/>
        <w:rPr>
          <w:rFonts w:ascii="Bookman Old Style" w:eastAsiaTheme="minorEastAsia" w:hAnsi="Bookman Old Style"/>
        </w:rPr>
      </w:pPr>
      <w:r>
        <w:rPr>
          <w:rFonts w:ascii="Bookman Old Style" w:eastAsiaTheme="minorEastAsia" w:hAnsi="Bookman Old Style"/>
        </w:rPr>
        <w:t>Column 4 = We square the numbers in column 3 to get the squared deviations from the average.</w:t>
      </w:r>
    </w:p>
    <w:p w14:paraId="468B6660" w14:textId="77777777" w:rsidR="006978AE" w:rsidRDefault="006978AE" w:rsidP="00804DBB">
      <w:pPr>
        <w:spacing w:after="0" w:line="240" w:lineRule="auto"/>
        <w:jc w:val="both"/>
        <w:rPr>
          <w:rFonts w:ascii="Bookman Old Style" w:eastAsiaTheme="minorEastAsia" w:hAnsi="Bookman Old Style"/>
        </w:rPr>
      </w:pPr>
    </w:p>
    <w:p w14:paraId="6CE35ABF" w14:textId="24660A77" w:rsidR="006978AE" w:rsidRDefault="00830328"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i/>
        </w:rPr>
        <w:t>variance</w:t>
      </w:r>
      <w:r>
        <w:rPr>
          <w:rFonts w:ascii="Bookman Old Style" w:eastAsiaTheme="minorEastAsia" w:hAnsi="Bookman Old Style"/>
        </w:rPr>
        <w:t xml:space="preserve"> can now be calculated by dividing 0.0270 (the sum of the squared deviations) by the number of returns, less one.</w:t>
      </w:r>
    </w:p>
    <w:p w14:paraId="5CF7AAF3" w14:textId="77777777" w:rsidR="00830328" w:rsidRDefault="00830328" w:rsidP="00804DBB">
      <w:pPr>
        <w:spacing w:after="0" w:line="240" w:lineRule="auto"/>
        <w:jc w:val="both"/>
        <w:rPr>
          <w:rFonts w:ascii="Bookman Old Style" w:eastAsiaTheme="minorEastAsia" w:hAnsi="Bookman Old Style"/>
        </w:rPr>
      </w:pPr>
    </w:p>
    <w:p w14:paraId="79AC3711" w14:textId="7E41AC45" w:rsidR="00830328" w:rsidRDefault="00830328" w:rsidP="00804DBB">
      <w:pPr>
        <w:spacing w:after="0" w:line="240" w:lineRule="auto"/>
        <w:jc w:val="both"/>
        <w:rPr>
          <w:rFonts w:ascii="Bookman Old Style" w:eastAsiaTheme="minorEastAsia" w:hAnsi="Bookman Old Style"/>
        </w:rPr>
      </w:pPr>
      <w:r>
        <w:rPr>
          <w:rFonts w:ascii="Bookman Old Style" w:eastAsiaTheme="minorEastAsia" w:hAnsi="Bookman Old Style"/>
        </w:rPr>
        <w:t>Var(</w:t>
      </w:r>
      <w:r>
        <w:rPr>
          <w:rFonts w:ascii="Bookman Old Style" w:eastAsiaTheme="minorEastAsia" w:hAnsi="Bookman Old Style"/>
          <w:i/>
        </w:rPr>
        <w:t>R</w:t>
      </w:r>
      <w:r>
        <w:rPr>
          <w:rFonts w:ascii="Bookman Old Style" w:eastAsiaTheme="minorEastAsia" w:hAnsi="Bookman Old Style"/>
        </w:rPr>
        <w:t>) or ² = Variance of the return</w:t>
      </w:r>
    </w:p>
    <w:p w14:paraId="387ADF09" w14:textId="3A3A6E0E" w:rsidR="00830328" w:rsidRDefault="00830328" w:rsidP="00804DBB">
      <w:pPr>
        <w:spacing w:after="0" w:line="240" w:lineRule="auto"/>
        <w:jc w:val="both"/>
        <w:rPr>
          <w:rFonts w:ascii="Bookman Old Style" w:eastAsiaTheme="minorEastAsia" w:hAnsi="Bookman Old Style"/>
        </w:rPr>
      </w:pPr>
    </w:p>
    <w:p w14:paraId="6E9CE51A" w14:textId="0338AE46" w:rsidR="00830328" w:rsidRPr="00830328" w:rsidRDefault="003262D8" w:rsidP="00804DBB">
      <w:pPr>
        <w:spacing w:after="0" w:line="240" w:lineRule="auto"/>
        <w:jc w:val="both"/>
        <w:rPr>
          <w:rFonts w:ascii="Bookman Old Style" w:eastAsiaTheme="minorEastAsia" w:hAnsi="Bookman Old Style"/>
        </w:rPr>
      </w:pPr>
      <m:oMathPara>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0.027</m:t>
              </m:r>
            </m:num>
            <m:den>
              <m:r>
                <w:rPr>
                  <w:rFonts w:ascii="Cambria Math" w:eastAsiaTheme="minorEastAsia" w:hAnsi="Cambria Math"/>
                </w:rPr>
                <m:t>4-1</m:t>
              </m:r>
            </m:den>
          </m:f>
          <m:r>
            <w:rPr>
              <w:rFonts w:ascii="Cambria Math" w:eastAsiaTheme="minorEastAsia" w:hAnsi="Cambria Math"/>
            </w:rPr>
            <m:t>=0.009</m:t>
          </m:r>
        </m:oMath>
      </m:oMathPara>
    </w:p>
    <w:p w14:paraId="0C769217" w14:textId="77777777" w:rsidR="00830328" w:rsidRDefault="00830328" w:rsidP="00804DBB">
      <w:pPr>
        <w:spacing w:after="0" w:line="240" w:lineRule="auto"/>
        <w:jc w:val="both"/>
        <w:rPr>
          <w:rFonts w:ascii="Bookman Old Style" w:eastAsiaTheme="minorEastAsia" w:hAnsi="Bookman Old Style"/>
        </w:rPr>
      </w:pPr>
    </w:p>
    <w:p w14:paraId="3BCF34A1" w14:textId="14A26336" w:rsidR="00830328" w:rsidRDefault="00830328"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i/>
        </w:rPr>
        <w:t>standard deviation</w:t>
      </w:r>
      <w:r>
        <w:rPr>
          <w:rFonts w:ascii="Bookman Old Style" w:eastAsiaTheme="minorEastAsia" w:hAnsi="Bookman Old Style"/>
        </w:rPr>
        <w:t xml:space="preserve"> is the square root of the variance. </w:t>
      </w:r>
    </w:p>
    <w:p w14:paraId="34C4CDEF" w14:textId="77777777" w:rsidR="00830328" w:rsidRDefault="00830328" w:rsidP="00804DBB">
      <w:pPr>
        <w:spacing w:after="0" w:line="240" w:lineRule="auto"/>
        <w:jc w:val="both"/>
        <w:rPr>
          <w:rFonts w:ascii="Bookman Old Style" w:eastAsiaTheme="minorEastAsia" w:hAnsi="Bookman Old Style"/>
        </w:rPr>
      </w:pPr>
    </w:p>
    <w:p w14:paraId="7D1D0FF4" w14:textId="54994FE7" w:rsidR="00830328" w:rsidRDefault="00830328" w:rsidP="00804DBB">
      <w:pPr>
        <w:spacing w:after="0" w:line="240" w:lineRule="auto"/>
        <w:jc w:val="both"/>
        <w:rPr>
          <w:rFonts w:ascii="Bookman Old Style" w:eastAsiaTheme="minorEastAsia" w:hAnsi="Bookman Old Style"/>
        </w:rPr>
      </w:pPr>
      <w:r>
        <w:rPr>
          <w:rFonts w:ascii="Bookman Old Style" w:eastAsiaTheme="minorEastAsia" w:hAnsi="Bookman Old Style"/>
        </w:rPr>
        <w:t>SD(</w:t>
      </w:r>
      <w:r>
        <w:rPr>
          <w:rFonts w:ascii="Bookman Old Style" w:eastAsiaTheme="minorEastAsia" w:hAnsi="Bookman Old Style"/>
          <w:i/>
        </w:rPr>
        <w:t>R</w:t>
      </w:r>
      <w:r>
        <w:rPr>
          <w:rFonts w:ascii="Bookman Old Style" w:eastAsiaTheme="minorEastAsia" w:hAnsi="Bookman Old Style"/>
        </w:rPr>
        <w:t>) or  = Standard deviation of return</w:t>
      </w:r>
    </w:p>
    <w:p w14:paraId="5CD78F17" w14:textId="77777777" w:rsidR="00830328" w:rsidRDefault="00830328" w:rsidP="00804DBB">
      <w:pPr>
        <w:spacing w:after="0" w:line="240" w:lineRule="auto"/>
        <w:jc w:val="both"/>
        <w:rPr>
          <w:rFonts w:ascii="Bookman Old Style" w:eastAsiaTheme="minorEastAsia" w:hAnsi="Bookman Old Style"/>
        </w:rPr>
      </w:pPr>
    </w:p>
    <w:p w14:paraId="189B3600" w14:textId="195A980C" w:rsidR="00830328" w:rsidRPr="00830328" w:rsidRDefault="00830328" w:rsidP="00804DBB">
      <w:pPr>
        <w:spacing w:after="0" w:line="240" w:lineRule="auto"/>
        <w:jc w:val="both"/>
        <w:rPr>
          <w:rFonts w:ascii="Bookman Old Style" w:eastAsiaTheme="minorEastAsia" w:hAnsi="Bookman Old Style"/>
        </w:rPr>
      </w:pPr>
      <m:oMathPara>
        <m:oMath>
          <m:r>
            <w:rPr>
              <w:rFonts w:ascii="Cambria Math" w:eastAsiaTheme="minorEastAsia" w:hAnsi="Cambria Math"/>
            </w:rPr>
            <m:t>σ=</m:t>
          </m:r>
          <m:rad>
            <m:radPr>
              <m:degHide m:val="1"/>
              <m:ctrlPr>
                <w:rPr>
                  <w:rFonts w:ascii="Cambria Math" w:eastAsiaTheme="minorEastAsia" w:hAnsi="Cambria Math"/>
                  <w:i/>
                </w:rPr>
              </m:ctrlPr>
            </m:radPr>
            <m:deg/>
            <m:e>
              <m:r>
                <w:rPr>
                  <w:rFonts w:ascii="Cambria Math" w:eastAsiaTheme="minorEastAsia" w:hAnsi="Cambria Math"/>
                </w:rPr>
                <m:t>0.009</m:t>
              </m:r>
            </m:e>
          </m:rad>
          <m:r>
            <w:rPr>
              <w:rFonts w:ascii="Cambria Math" w:eastAsiaTheme="minorEastAsia" w:hAnsi="Cambria Math"/>
            </w:rPr>
            <m:t>=0.9487</m:t>
          </m:r>
        </m:oMath>
      </m:oMathPara>
    </w:p>
    <w:p w14:paraId="5E0D7BAB" w14:textId="77777777" w:rsidR="00830328" w:rsidRDefault="00830328" w:rsidP="00804DBB">
      <w:pPr>
        <w:spacing w:after="0" w:line="240" w:lineRule="auto"/>
        <w:jc w:val="both"/>
        <w:rPr>
          <w:rFonts w:ascii="Bookman Old Style" w:eastAsiaTheme="minorEastAsia" w:hAnsi="Bookman Old Style"/>
        </w:rPr>
      </w:pPr>
    </w:p>
    <w:p w14:paraId="464E3A32" w14:textId="245264EF" w:rsidR="00830328" w:rsidRDefault="00830328" w:rsidP="00804DBB">
      <w:pPr>
        <w:spacing w:after="0" w:line="240" w:lineRule="auto"/>
        <w:jc w:val="both"/>
        <w:rPr>
          <w:rFonts w:ascii="Bookman Old Style" w:eastAsiaTheme="minorEastAsia" w:hAnsi="Bookman Old Style"/>
        </w:rPr>
      </w:pPr>
      <w:r>
        <w:rPr>
          <w:rFonts w:ascii="Bookman Old Style" w:eastAsiaTheme="minorEastAsia" w:hAnsi="Bookman Old Style"/>
        </w:rPr>
        <w:t>The square root of the variance is used because the variance is measured in squared percentages and is therefore hard to interpret. The standard deviation is an ordinary percentage, so the answer here could be written as 9.487%</w:t>
      </w:r>
    </w:p>
    <w:p w14:paraId="632BD9E0" w14:textId="77777777" w:rsidR="00830328" w:rsidRDefault="00830328" w:rsidP="00804DBB">
      <w:pPr>
        <w:spacing w:after="0" w:line="240" w:lineRule="auto"/>
        <w:jc w:val="both"/>
        <w:rPr>
          <w:rFonts w:ascii="Bookman Old Style" w:eastAsiaTheme="minorEastAsia" w:hAnsi="Bookman Old Style"/>
        </w:rPr>
      </w:pPr>
    </w:p>
    <w:p w14:paraId="07F6E74A" w14:textId="266280B0" w:rsidR="00830328" w:rsidRDefault="00A67530" w:rsidP="00804DBB">
      <w:pPr>
        <w:spacing w:after="0" w:line="240" w:lineRule="auto"/>
        <w:jc w:val="both"/>
        <w:rPr>
          <w:rFonts w:ascii="Bookman Old Style" w:eastAsiaTheme="minorEastAsia" w:hAnsi="Bookman Old Style"/>
        </w:rPr>
      </w:pPr>
      <w:r>
        <w:rPr>
          <w:rFonts w:ascii="Bookman Old Style" w:eastAsiaTheme="minorEastAsia" w:hAnsi="Bookman Old Style"/>
        </w:rPr>
        <w:t>In the table, notice the sum of the deviations is equal to zero – it will always equal zero and is a good way to check your work.</w:t>
      </w:r>
    </w:p>
    <w:p w14:paraId="4E630297" w14:textId="77777777" w:rsidR="00A67530" w:rsidRDefault="00A67530" w:rsidP="00804DBB">
      <w:pPr>
        <w:spacing w:after="0" w:line="240" w:lineRule="auto"/>
        <w:jc w:val="both"/>
        <w:rPr>
          <w:rFonts w:ascii="Bookman Old Style" w:eastAsiaTheme="minorEastAsia" w:hAnsi="Bookman Old Style"/>
        </w:rPr>
      </w:pPr>
    </w:p>
    <w:p w14:paraId="2BEF9EBB" w14:textId="370DDF3E" w:rsidR="00A67530" w:rsidRDefault="00A67530"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Generally, is we have </w:t>
      </w:r>
      <w:r>
        <w:rPr>
          <w:rFonts w:ascii="Bookman Old Style" w:eastAsiaTheme="minorEastAsia" w:hAnsi="Bookman Old Style"/>
          <w:i/>
        </w:rPr>
        <w:t>T</w:t>
      </w:r>
      <w:r>
        <w:rPr>
          <w:rFonts w:ascii="Bookman Old Style" w:eastAsiaTheme="minorEastAsia" w:hAnsi="Bookman Old Style"/>
        </w:rPr>
        <w:t xml:space="preserve"> historical returns, where </w:t>
      </w:r>
      <w:r>
        <w:rPr>
          <w:rFonts w:ascii="Bookman Old Style" w:eastAsiaTheme="minorEastAsia" w:hAnsi="Bookman Old Style"/>
          <w:i/>
        </w:rPr>
        <w:t>T</w:t>
      </w:r>
      <w:r>
        <w:rPr>
          <w:rFonts w:ascii="Bookman Old Style" w:eastAsiaTheme="minorEastAsia" w:hAnsi="Bookman Old Style"/>
        </w:rPr>
        <w:t xml:space="preserve"> is some number, we can write the historical variance as:</w:t>
      </w:r>
    </w:p>
    <w:p w14:paraId="20E1DB3A" w14:textId="77777777" w:rsidR="00A67530" w:rsidRDefault="00A67530" w:rsidP="00804DBB">
      <w:pPr>
        <w:spacing w:after="0" w:line="240" w:lineRule="auto"/>
        <w:jc w:val="both"/>
        <w:rPr>
          <w:rFonts w:ascii="Bookman Old Style" w:eastAsiaTheme="minorEastAsia" w:hAnsi="Bookman Old Style"/>
        </w:rPr>
      </w:pPr>
    </w:p>
    <w:tbl>
      <w:tblPr>
        <w:tblStyle w:val="MediumGrid1-Accent5"/>
        <w:tblW w:w="0" w:type="auto"/>
        <w:jc w:val="center"/>
        <w:tblInd w:w="4248" w:type="dxa"/>
        <w:tblLook w:val="04A0" w:firstRow="1" w:lastRow="0" w:firstColumn="1" w:lastColumn="0" w:noHBand="0" w:noVBand="1"/>
      </w:tblPr>
      <w:tblGrid>
        <w:gridCol w:w="5328"/>
      </w:tblGrid>
      <w:tr w:rsidR="00A67530" w14:paraId="5C5EBE71" w14:textId="77777777" w:rsidTr="00A675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28" w:type="dxa"/>
          </w:tcPr>
          <w:p w14:paraId="39BCCED1" w14:textId="71A6E7FF" w:rsidR="00A67530" w:rsidRDefault="00A67530" w:rsidP="00804DBB">
            <w:pPr>
              <w:jc w:val="both"/>
              <w:rPr>
                <w:rFonts w:ascii="Bookman Old Style" w:eastAsiaTheme="minorEastAsia" w:hAnsi="Bookman Old Style"/>
              </w:rPr>
            </w:pPr>
          </w:p>
          <w:p w14:paraId="1B56F2A2" w14:textId="33AB8B0C" w:rsidR="00A67530" w:rsidRDefault="00A67530" w:rsidP="00804DBB">
            <w:pPr>
              <w:jc w:val="center"/>
              <w:rPr>
                <w:rFonts w:ascii="Bookman Old Style" w:eastAsiaTheme="minorEastAsia" w:hAnsi="Bookman Old Style"/>
              </w:rPr>
            </w:pPr>
            <w:r>
              <w:rPr>
                <w:rFonts w:ascii="Bookman Old Style" w:eastAsiaTheme="minorEastAsia" w:hAnsi="Bookman Old Style"/>
              </w:rPr>
              <w:t>Historical Variance</w:t>
            </w:r>
          </w:p>
          <w:p w14:paraId="2B1F15DA" w14:textId="77777777" w:rsidR="00A67530" w:rsidRDefault="00A67530" w:rsidP="00804DBB">
            <w:pPr>
              <w:jc w:val="both"/>
              <w:rPr>
                <w:rFonts w:ascii="Bookman Old Style" w:eastAsiaTheme="minorEastAsia" w:hAnsi="Bookman Old Style"/>
              </w:rPr>
            </w:pPr>
          </w:p>
          <w:p w14:paraId="1BE67C43" w14:textId="1E3AF652" w:rsidR="00A67530" w:rsidRPr="00A67530" w:rsidRDefault="00A67530" w:rsidP="00804DBB">
            <w:pPr>
              <w:jc w:val="both"/>
              <w:rPr>
                <w:rFonts w:ascii="Bookman Old Style" w:eastAsiaTheme="minorEastAsia" w:hAnsi="Bookman Old Style"/>
              </w:rPr>
            </w:pPr>
            <m:oMathPara>
              <m:oMath>
                <m:r>
                  <m:rPr>
                    <m:sty m:val="bi"/>
                  </m:rPr>
                  <w:rPr>
                    <w:rFonts w:ascii="Cambria Math" w:eastAsiaTheme="minorEastAsia" w:hAnsi="Cambria Math"/>
                  </w:rPr>
                  <m:t>Var</m:t>
                </m:r>
                <m:d>
                  <m:dPr>
                    <m:ctrlPr>
                      <w:rPr>
                        <w:rFonts w:ascii="Cambria Math" w:eastAsiaTheme="minorEastAsia" w:hAnsi="Cambria Math"/>
                        <w:i/>
                      </w:rPr>
                    </m:ctrlPr>
                  </m:dPr>
                  <m:e>
                    <m:r>
                      <m:rPr>
                        <m:sty m:val="bi"/>
                      </m:rPr>
                      <w:rPr>
                        <w:rFonts w:ascii="Cambria Math" w:eastAsiaTheme="minorEastAsia" w:hAnsi="Cambria Math"/>
                      </w:rPr>
                      <m:t>R</m:t>
                    </m:r>
                  </m:e>
                </m:d>
                <m:r>
                  <m:rPr>
                    <m:sty m:val="bi"/>
                  </m:rP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m:rPr>
                            <m:sty m:val="bi"/>
                          </m:rPr>
                          <w:rPr>
                            <w:rFonts w:ascii="Cambria Math" w:eastAsiaTheme="minorEastAsia" w:hAnsi="Cambria Math"/>
                          </w:rPr>
                          <m:t>1</m:t>
                        </m:r>
                      </m:num>
                      <m:den>
                        <m:r>
                          <m:rPr>
                            <m:sty m:val="bi"/>
                          </m:rPr>
                          <w:rPr>
                            <w:rFonts w:ascii="Cambria Math" w:eastAsiaTheme="minorEastAsia" w:hAnsi="Cambria Math"/>
                          </w:rPr>
                          <m:t>T-1</m:t>
                        </m:r>
                      </m:den>
                    </m:f>
                  </m:e>
                </m:d>
                <m:d>
                  <m:dPr>
                    <m:begChr m:val="["/>
                    <m:endChr m:val="]"/>
                    <m:ctrlPr>
                      <w:rPr>
                        <w:rFonts w:ascii="Cambria Math" w:eastAsiaTheme="minorEastAsia" w:hAnsi="Cambria Math"/>
                        <w:i/>
                      </w:rPr>
                    </m:ctrlPr>
                  </m:dPr>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1</m:t>
                                </m:r>
                              </m:sub>
                            </m:sSub>
                            <m:r>
                              <m:rPr>
                                <m:sty m:val="bi"/>
                              </m:rPr>
                              <w:rPr>
                                <w:rFonts w:ascii="Cambria Math" w:eastAsiaTheme="minorEastAsia" w:hAnsi="Cambria Math"/>
                              </w:rPr>
                              <m:t>-</m:t>
                            </m:r>
                            <m:acc>
                              <m:accPr>
                                <m:chr m:val="̅"/>
                                <m:ctrlPr>
                                  <w:rPr>
                                    <w:rFonts w:ascii="Cambria Math" w:eastAsiaTheme="minorEastAsia" w:hAnsi="Cambria Math"/>
                                    <w:b w:val="0"/>
                                    <w:bCs w:val="0"/>
                                    <w:i/>
                                  </w:rPr>
                                </m:ctrlPr>
                              </m:accPr>
                              <m:e>
                                <m:r>
                                  <m:rPr>
                                    <m:sty m:val="bi"/>
                                  </m:rPr>
                                  <w:rPr>
                                    <w:rFonts w:ascii="Cambria Math" w:eastAsiaTheme="minorEastAsia" w:hAnsi="Cambria Math"/>
                                  </w:rPr>
                                  <m:t>R</m:t>
                                </m:r>
                              </m:e>
                            </m:acc>
                          </m:e>
                        </m:d>
                      </m:e>
                      <m:sup>
                        <m:r>
                          <m:rPr>
                            <m:sty m:val="bi"/>
                          </m:rPr>
                          <w:rPr>
                            <w:rFonts w:ascii="Cambria Math" w:eastAsiaTheme="minorEastAsia" w:hAnsi="Cambria Math"/>
                          </w:rPr>
                          <m:t>2</m:t>
                        </m:r>
                      </m:sup>
                    </m:sSup>
                    <m:r>
                      <m:rPr>
                        <m:sty m:val="bi"/>
                      </m:rP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T</m:t>
                                </m:r>
                              </m:sub>
                            </m:sSub>
                            <m:r>
                              <m:rPr>
                                <m:sty m:val="bi"/>
                              </m:rPr>
                              <w:rPr>
                                <w:rFonts w:ascii="Cambria Math" w:eastAsiaTheme="minorEastAsia" w:hAnsi="Cambria Math"/>
                              </w:rPr>
                              <m:t>-</m:t>
                            </m:r>
                            <m:acc>
                              <m:accPr>
                                <m:chr m:val="̅"/>
                                <m:ctrlPr>
                                  <w:rPr>
                                    <w:rFonts w:ascii="Cambria Math" w:eastAsiaTheme="minorEastAsia" w:hAnsi="Cambria Math"/>
                                    <w:b w:val="0"/>
                                    <w:bCs w:val="0"/>
                                    <w:i/>
                                  </w:rPr>
                                </m:ctrlPr>
                              </m:accPr>
                              <m:e>
                                <m:r>
                                  <m:rPr>
                                    <m:sty m:val="bi"/>
                                  </m:rPr>
                                  <w:rPr>
                                    <w:rFonts w:ascii="Cambria Math" w:eastAsiaTheme="minorEastAsia" w:hAnsi="Cambria Math"/>
                                  </w:rPr>
                                  <m:t>R</m:t>
                                </m:r>
                              </m:e>
                            </m:acc>
                          </m:e>
                        </m:d>
                      </m:e>
                      <m:sup>
                        <m:r>
                          <m:rPr>
                            <m:sty m:val="bi"/>
                          </m:rPr>
                          <w:rPr>
                            <w:rFonts w:ascii="Cambria Math" w:eastAsiaTheme="minorEastAsia" w:hAnsi="Cambria Math"/>
                          </w:rPr>
                          <m:t>2</m:t>
                        </m:r>
                      </m:sup>
                    </m:sSup>
                  </m:e>
                </m:d>
              </m:oMath>
            </m:oMathPara>
          </w:p>
          <w:p w14:paraId="64C45E33" w14:textId="77777777" w:rsidR="00A67530" w:rsidRDefault="00A67530" w:rsidP="00804DBB">
            <w:pPr>
              <w:jc w:val="both"/>
              <w:rPr>
                <w:rFonts w:ascii="Bookman Old Style" w:eastAsiaTheme="minorEastAsia" w:hAnsi="Bookman Old Style"/>
              </w:rPr>
            </w:pPr>
          </w:p>
        </w:tc>
      </w:tr>
    </w:tbl>
    <w:p w14:paraId="13A4072E" w14:textId="77777777" w:rsidR="00A67530" w:rsidRDefault="00A67530" w:rsidP="00804DBB">
      <w:pPr>
        <w:spacing w:after="0" w:line="240" w:lineRule="auto"/>
        <w:jc w:val="both"/>
        <w:rPr>
          <w:rFonts w:ascii="Bookman Old Style" w:eastAsiaTheme="minorEastAsia" w:hAnsi="Bookman Old Style"/>
        </w:rPr>
      </w:pPr>
    </w:p>
    <w:p w14:paraId="627F6073" w14:textId="05653920" w:rsidR="006978AE" w:rsidRDefault="00A67530" w:rsidP="00804DBB">
      <w:pPr>
        <w:spacing w:after="0" w:line="240" w:lineRule="auto"/>
        <w:jc w:val="both"/>
        <w:rPr>
          <w:rFonts w:ascii="Bookman Old Style" w:eastAsiaTheme="minorEastAsia" w:hAnsi="Bookman Old Style"/>
        </w:rPr>
      </w:pPr>
      <w:r>
        <w:rPr>
          <w:rFonts w:ascii="Bookman Old Style" w:eastAsiaTheme="minorEastAsia" w:hAnsi="Bookman Old Style"/>
        </w:rPr>
        <w:t>This formula tells us to:</w:t>
      </w:r>
    </w:p>
    <w:p w14:paraId="7881719B" w14:textId="77777777" w:rsidR="00A67530" w:rsidRDefault="00A67530" w:rsidP="00804DBB">
      <w:pPr>
        <w:spacing w:after="0" w:line="240" w:lineRule="auto"/>
        <w:jc w:val="both"/>
        <w:rPr>
          <w:rFonts w:ascii="Bookman Old Style" w:eastAsiaTheme="minorEastAsia" w:hAnsi="Bookman Old Style"/>
        </w:rPr>
      </w:pPr>
    </w:p>
    <w:p w14:paraId="3251C0FB" w14:textId="689F7CD7" w:rsidR="00A67530" w:rsidRDefault="00A67530" w:rsidP="00804DBB">
      <w:pPr>
        <w:pStyle w:val="ListParagraph"/>
        <w:numPr>
          <w:ilvl w:val="0"/>
          <w:numId w:val="14"/>
        </w:numPr>
        <w:spacing w:after="0" w:line="240" w:lineRule="auto"/>
        <w:jc w:val="both"/>
        <w:rPr>
          <w:rFonts w:ascii="Bookman Old Style" w:eastAsiaTheme="minorEastAsia" w:hAnsi="Bookman Old Style"/>
        </w:rPr>
      </w:pPr>
      <w:r>
        <w:rPr>
          <w:rFonts w:ascii="Bookman Old Style" w:eastAsiaTheme="minorEastAsia" w:hAnsi="Bookman Old Style"/>
        </w:rPr>
        <w:t xml:space="preserve">Take </w:t>
      </w:r>
      <w:r>
        <w:rPr>
          <w:rFonts w:ascii="Bookman Old Style" w:eastAsiaTheme="minorEastAsia" w:hAnsi="Bookman Old Style"/>
          <w:i/>
        </w:rPr>
        <w:t>T</w:t>
      </w:r>
      <w:r>
        <w:rPr>
          <w:rFonts w:ascii="Bookman Old Style" w:eastAsiaTheme="minorEastAsia" w:hAnsi="Bookman Old Style"/>
        </w:rPr>
        <w:t xml:space="preserve"> individual returns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oMath>
      <w:r>
        <w:rPr>
          <w:rFonts w:ascii="Bookman Old Style" w:eastAsiaTheme="minorEastAsia" w:hAnsi="Bookman Old Style"/>
        </w:rPr>
        <w:t xml:space="preserve"> and subtract the average return,</w:t>
      </w:r>
      <m:oMath>
        <m:r>
          <w:rPr>
            <w:rFonts w:ascii="Cambria Math" w:eastAsiaTheme="minorEastAsia" w:hAnsi="Cambria Math"/>
          </w:rPr>
          <m:t xml:space="preserve"> </m:t>
        </m:r>
        <m:acc>
          <m:accPr>
            <m:chr m:val="̅"/>
            <m:ctrlPr>
              <w:rPr>
                <w:rFonts w:ascii="Cambria Math" w:eastAsiaTheme="minorEastAsia" w:hAnsi="Cambria Math"/>
                <w:i/>
              </w:rPr>
            </m:ctrlPr>
          </m:accPr>
          <m:e>
            <m:r>
              <w:rPr>
                <w:rFonts w:ascii="Cambria Math" w:eastAsiaTheme="minorEastAsia" w:hAnsi="Cambria Math"/>
              </w:rPr>
              <m:t>R</m:t>
            </m:r>
          </m:e>
        </m:acc>
      </m:oMath>
      <w:r>
        <w:rPr>
          <w:rFonts w:ascii="Bookman Old Style" w:eastAsiaTheme="minorEastAsia" w:hAnsi="Bookman Old Style"/>
        </w:rPr>
        <w:t>; square the result and add them up – finally, divide this total by the number of returns less one (</w:t>
      </w:r>
      <w:r>
        <w:rPr>
          <w:rFonts w:ascii="Bookman Old Style" w:eastAsiaTheme="minorEastAsia" w:hAnsi="Bookman Old Style"/>
          <w:i/>
        </w:rPr>
        <w:t>T</w:t>
      </w:r>
      <w:r>
        <w:rPr>
          <w:rFonts w:ascii="Bookman Old Style" w:eastAsiaTheme="minorEastAsia" w:hAnsi="Bookman Old Style"/>
        </w:rPr>
        <w:t xml:space="preserve"> – 1) because our 55 years’ data represents only a sample, not the full population.</w:t>
      </w:r>
    </w:p>
    <w:p w14:paraId="01C4F14C" w14:textId="77777777" w:rsidR="00A67530" w:rsidRPr="00A67530" w:rsidRDefault="00A67530" w:rsidP="00804DBB">
      <w:pPr>
        <w:pStyle w:val="ListParagraph"/>
        <w:spacing w:after="0" w:line="240" w:lineRule="auto"/>
        <w:jc w:val="both"/>
        <w:rPr>
          <w:rFonts w:ascii="Bookman Old Style" w:eastAsiaTheme="minorEastAsia" w:hAnsi="Bookman Old Style"/>
        </w:rPr>
      </w:pPr>
    </w:p>
    <w:p w14:paraId="2CC2C1A3" w14:textId="7D5C432D" w:rsidR="006978AE" w:rsidRDefault="00A67530"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sidRPr="00A67530">
        <w:rPr>
          <w:rFonts w:ascii="Bookman Old Style" w:eastAsiaTheme="minorEastAsia" w:hAnsi="Bookman Old Style"/>
          <w:b/>
          <w:i/>
        </w:rPr>
        <w:t>standard deviation</w:t>
      </w:r>
      <w:r>
        <w:rPr>
          <w:rFonts w:ascii="Bookman Old Style" w:eastAsiaTheme="minorEastAsia" w:hAnsi="Bookman Old Style"/>
        </w:rPr>
        <w:t xml:space="preserve"> is always the square root of Var(</w:t>
      </w:r>
      <w:r>
        <w:rPr>
          <w:rFonts w:ascii="Bookman Old Style" w:eastAsiaTheme="minorEastAsia" w:hAnsi="Bookman Old Style"/>
          <w:i/>
        </w:rPr>
        <w:t>R</w:t>
      </w:r>
      <w:r>
        <w:rPr>
          <w:rFonts w:ascii="Bookman Old Style" w:eastAsiaTheme="minorEastAsia" w:hAnsi="Bookman Old Style"/>
        </w:rPr>
        <w:t>)</w:t>
      </w:r>
    </w:p>
    <w:p w14:paraId="206A5235" w14:textId="77777777" w:rsidR="00A67530" w:rsidRDefault="00A67530" w:rsidP="00804DBB">
      <w:pPr>
        <w:spacing w:after="0" w:line="240" w:lineRule="auto"/>
        <w:jc w:val="both"/>
        <w:rPr>
          <w:rFonts w:ascii="Bookman Old Style" w:eastAsiaTheme="minorEastAsia" w:hAnsi="Bookman Old Style"/>
        </w:rPr>
      </w:pPr>
    </w:p>
    <w:p w14:paraId="29E08DFA" w14:textId="24A9C8EB" w:rsidR="00A67530" w:rsidRDefault="00A67530" w:rsidP="00804DBB">
      <w:pPr>
        <w:spacing w:after="0" w:line="240" w:lineRule="auto"/>
        <w:jc w:val="both"/>
        <w:rPr>
          <w:rFonts w:ascii="Bookman Old Style" w:eastAsiaTheme="minorEastAsia" w:hAnsi="Bookman Old Style"/>
        </w:rPr>
      </w:pPr>
      <w:r>
        <w:rPr>
          <w:rFonts w:ascii="Bookman Old Style" w:eastAsiaTheme="minorEastAsia" w:hAnsi="Bookman Old Style"/>
        </w:rPr>
        <w:t>On an excel spreadsheet, you can use the following functions:</w:t>
      </w:r>
    </w:p>
    <w:p w14:paraId="2020C81D" w14:textId="293034D0" w:rsidR="00A67530" w:rsidRDefault="00A67530" w:rsidP="00804DBB">
      <w:pPr>
        <w:pStyle w:val="ListParagraph"/>
        <w:numPr>
          <w:ilvl w:val="0"/>
          <w:numId w:val="16"/>
        </w:numPr>
        <w:spacing w:after="0" w:line="240" w:lineRule="auto"/>
        <w:jc w:val="both"/>
        <w:rPr>
          <w:rFonts w:ascii="Bookman Old Style" w:eastAsiaTheme="minorEastAsia" w:hAnsi="Bookman Old Style"/>
        </w:rPr>
      </w:pPr>
      <w:r>
        <w:rPr>
          <w:rFonts w:ascii="Bookman Old Style" w:eastAsiaTheme="minorEastAsia" w:hAnsi="Bookman Old Style"/>
        </w:rPr>
        <w:t>Average = AVERAGE( )</w:t>
      </w:r>
    </w:p>
    <w:p w14:paraId="052CF7EF" w14:textId="386330A4" w:rsidR="00A67530" w:rsidRDefault="00A67530" w:rsidP="00804DBB">
      <w:pPr>
        <w:pStyle w:val="ListParagraph"/>
        <w:numPr>
          <w:ilvl w:val="0"/>
          <w:numId w:val="16"/>
        </w:numPr>
        <w:spacing w:after="0" w:line="240" w:lineRule="auto"/>
        <w:jc w:val="both"/>
        <w:rPr>
          <w:rFonts w:ascii="Bookman Old Style" w:eastAsiaTheme="minorEastAsia" w:hAnsi="Bookman Old Style"/>
        </w:rPr>
      </w:pPr>
      <w:r>
        <w:rPr>
          <w:rFonts w:ascii="Bookman Old Style" w:eastAsiaTheme="minorEastAsia" w:hAnsi="Bookman Old Style"/>
        </w:rPr>
        <w:t>Variance = VAR( )</w:t>
      </w:r>
    </w:p>
    <w:p w14:paraId="3966D0C0" w14:textId="504DC3B7" w:rsidR="00A67530" w:rsidRDefault="00A67530" w:rsidP="00804DBB">
      <w:pPr>
        <w:pStyle w:val="ListParagraph"/>
        <w:numPr>
          <w:ilvl w:val="0"/>
          <w:numId w:val="16"/>
        </w:numPr>
        <w:spacing w:after="0" w:line="240" w:lineRule="auto"/>
        <w:jc w:val="both"/>
        <w:rPr>
          <w:rFonts w:ascii="Bookman Old Style" w:eastAsiaTheme="minorEastAsia" w:hAnsi="Bookman Old Style"/>
        </w:rPr>
      </w:pPr>
      <w:r>
        <w:rPr>
          <w:rFonts w:ascii="Bookman Old Style" w:eastAsiaTheme="minorEastAsia" w:hAnsi="Bookman Old Style"/>
        </w:rPr>
        <w:t>Standard Deviation = STDEV( )</w:t>
      </w:r>
    </w:p>
    <w:p w14:paraId="4733A344" w14:textId="77777777" w:rsidR="00AD0DAE" w:rsidRPr="00A67530" w:rsidRDefault="00AD0DAE" w:rsidP="00804DBB">
      <w:pPr>
        <w:pStyle w:val="ListParagraph"/>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AD0DAE" w14:paraId="7541FBDD" w14:textId="77777777" w:rsidTr="00AD0DAE">
        <w:tc>
          <w:tcPr>
            <w:tcW w:w="9576" w:type="dxa"/>
          </w:tcPr>
          <w:p w14:paraId="230B3DCA" w14:textId="77777777" w:rsidR="00AD0DAE" w:rsidRDefault="00AD0DAE" w:rsidP="00804DBB">
            <w:pPr>
              <w:jc w:val="both"/>
              <w:rPr>
                <w:rFonts w:ascii="Bookman Old Style" w:eastAsiaTheme="minorEastAsia" w:hAnsi="Bookman Old Style"/>
              </w:rPr>
            </w:pPr>
          </w:p>
          <w:p w14:paraId="014E2DA0" w14:textId="77777777" w:rsidR="00AD0DAE" w:rsidRDefault="00AD0DAE" w:rsidP="00804DBB">
            <w:pPr>
              <w:jc w:val="both"/>
              <w:rPr>
                <w:rFonts w:ascii="Bookman Old Style" w:eastAsiaTheme="minorEastAsia" w:hAnsi="Bookman Old Style"/>
              </w:rPr>
            </w:pPr>
            <w:r>
              <w:rPr>
                <w:rFonts w:ascii="Bookman Old Style" w:eastAsiaTheme="minorEastAsia" w:hAnsi="Bookman Old Style"/>
                <w:i/>
                <w:u w:val="single"/>
              </w:rPr>
              <w:t>Ex.:</w:t>
            </w:r>
          </w:p>
          <w:p w14:paraId="2F39124A" w14:textId="77777777" w:rsidR="00AD0DAE" w:rsidRDefault="00AD0DAE" w:rsidP="00804DBB">
            <w:pPr>
              <w:jc w:val="both"/>
              <w:rPr>
                <w:rFonts w:ascii="Bookman Old Style" w:eastAsiaTheme="minorEastAsia" w:hAnsi="Bookman Old Style"/>
              </w:rPr>
            </w:pPr>
            <w:r>
              <w:rPr>
                <w:rFonts w:ascii="Bookman Old Style" w:eastAsiaTheme="minorEastAsia" w:hAnsi="Bookman Old Style"/>
              </w:rPr>
              <w:t>Northern Radio Comm and the Canadian Empire Bank have experienced the following returns in the last 4 years:</w:t>
            </w:r>
          </w:p>
          <w:p w14:paraId="3B7F7F72" w14:textId="77777777" w:rsidR="00AD0DAE" w:rsidRDefault="00AD0DAE" w:rsidP="00804DBB">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1188"/>
              <w:gridCol w:w="2331"/>
              <w:gridCol w:w="2430"/>
            </w:tblGrid>
            <w:tr w:rsidR="00AD0DAE" w14:paraId="1C623B21" w14:textId="77777777" w:rsidTr="003262D8">
              <w:trPr>
                <w:jc w:val="center"/>
              </w:trPr>
              <w:tc>
                <w:tcPr>
                  <w:tcW w:w="1188" w:type="dxa"/>
                  <w:tcBorders>
                    <w:top w:val="nil"/>
                    <w:left w:val="nil"/>
                    <w:bottom w:val="single" w:sz="4" w:space="0" w:color="auto"/>
                    <w:right w:val="nil"/>
                  </w:tcBorders>
                </w:tcPr>
                <w:p w14:paraId="2549003C" w14:textId="77777777" w:rsidR="00AD0DAE" w:rsidRPr="00A67530" w:rsidRDefault="00AD0DAE" w:rsidP="00804DBB">
                  <w:pPr>
                    <w:jc w:val="center"/>
                    <w:rPr>
                      <w:rFonts w:ascii="Bookman Old Style" w:eastAsiaTheme="minorEastAsia" w:hAnsi="Bookman Old Style"/>
                      <w:b/>
                    </w:rPr>
                  </w:pPr>
                  <w:r w:rsidRPr="00A67530">
                    <w:rPr>
                      <w:rFonts w:ascii="Bookman Old Style" w:eastAsiaTheme="minorEastAsia" w:hAnsi="Bookman Old Style"/>
                      <w:b/>
                    </w:rPr>
                    <w:t>Year</w:t>
                  </w:r>
                </w:p>
              </w:tc>
              <w:tc>
                <w:tcPr>
                  <w:tcW w:w="2331" w:type="dxa"/>
                  <w:tcBorders>
                    <w:top w:val="nil"/>
                    <w:left w:val="nil"/>
                    <w:bottom w:val="single" w:sz="4" w:space="0" w:color="auto"/>
                    <w:right w:val="nil"/>
                  </w:tcBorders>
                </w:tcPr>
                <w:p w14:paraId="7C9AC86C" w14:textId="77777777" w:rsidR="00AD0DAE" w:rsidRPr="00A67530" w:rsidRDefault="00AD0DAE" w:rsidP="00804DBB">
                  <w:pPr>
                    <w:jc w:val="center"/>
                    <w:rPr>
                      <w:rFonts w:ascii="Bookman Old Style" w:eastAsiaTheme="minorEastAsia" w:hAnsi="Bookman Old Style"/>
                      <w:b/>
                    </w:rPr>
                  </w:pPr>
                  <w:r w:rsidRPr="00A67530">
                    <w:rPr>
                      <w:rFonts w:ascii="Bookman Old Style" w:eastAsiaTheme="minorEastAsia" w:hAnsi="Bookman Old Style"/>
                      <w:b/>
                    </w:rPr>
                    <w:t>Northern Radio Comm Returns</w:t>
                  </w:r>
                </w:p>
              </w:tc>
              <w:tc>
                <w:tcPr>
                  <w:tcW w:w="2430" w:type="dxa"/>
                  <w:tcBorders>
                    <w:top w:val="nil"/>
                    <w:left w:val="nil"/>
                    <w:bottom w:val="single" w:sz="4" w:space="0" w:color="auto"/>
                    <w:right w:val="nil"/>
                  </w:tcBorders>
                </w:tcPr>
                <w:p w14:paraId="5907D423" w14:textId="77777777" w:rsidR="00AD0DAE" w:rsidRPr="00A67530" w:rsidRDefault="00AD0DAE" w:rsidP="00804DBB">
                  <w:pPr>
                    <w:jc w:val="center"/>
                    <w:rPr>
                      <w:rFonts w:ascii="Bookman Old Style" w:eastAsiaTheme="minorEastAsia" w:hAnsi="Bookman Old Style"/>
                      <w:b/>
                    </w:rPr>
                  </w:pPr>
                  <w:r w:rsidRPr="00A67530">
                    <w:rPr>
                      <w:rFonts w:ascii="Bookman Old Style" w:eastAsiaTheme="minorEastAsia" w:hAnsi="Bookman Old Style"/>
                      <w:b/>
                    </w:rPr>
                    <w:t>Canadian Empire Bank Returns</w:t>
                  </w:r>
                </w:p>
              </w:tc>
            </w:tr>
            <w:tr w:rsidR="00AD0DAE" w14:paraId="7F04DF0B" w14:textId="77777777" w:rsidTr="003262D8">
              <w:trPr>
                <w:jc w:val="center"/>
              </w:trPr>
              <w:tc>
                <w:tcPr>
                  <w:tcW w:w="1188" w:type="dxa"/>
                  <w:tcBorders>
                    <w:left w:val="nil"/>
                    <w:bottom w:val="nil"/>
                    <w:right w:val="nil"/>
                  </w:tcBorders>
                </w:tcPr>
                <w:p w14:paraId="7F83107D"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2009</w:t>
                  </w:r>
                </w:p>
              </w:tc>
              <w:tc>
                <w:tcPr>
                  <w:tcW w:w="2331" w:type="dxa"/>
                  <w:tcBorders>
                    <w:left w:val="nil"/>
                    <w:bottom w:val="nil"/>
                    <w:right w:val="nil"/>
                  </w:tcBorders>
                </w:tcPr>
                <w:p w14:paraId="621C91C1"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-0.20</w:t>
                  </w:r>
                </w:p>
              </w:tc>
              <w:tc>
                <w:tcPr>
                  <w:tcW w:w="2430" w:type="dxa"/>
                  <w:tcBorders>
                    <w:left w:val="nil"/>
                    <w:bottom w:val="nil"/>
                    <w:right w:val="nil"/>
                  </w:tcBorders>
                </w:tcPr>
                <w:p w14:paraId="7D108D2C"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0.05</w:t>
                  </w:r>
                </w:p>
              </w:tc>
            </w:tr>
            <w:tr w:rsidR="00AD0DAE" w14:paraId="39F253E9" w14:textId="77777777" w:rsidTr="003262D8">
              <w:trPr>
                <w:jc w:val="center"/>
              </w:trPr>
              <w:tc>
                <w:tcPr>
                  <w:tcW w:w="1188" w:type="dxa"/>
                  <w:tcBorders>
                    <w:top w:val="nil"/>
                    <w:left w:val="nil"/>
                    <w:bottom w:val="nil"/>
                    <w:right w:val="nil"/>
                  </w:tcBorders>
                </w:tcPr>
                <w:p w14:paraId="78EDB82E"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2010</w:t>
                  </w:r>
                </w:p>
              </w:tc>
              <w:tc>
                <w:tcPr>
                  <w:tcW w:w="2331" w:type="dxa"/>
                  <w:tcBorders>
                    <w:top w:val="nil"/>
                    <w:left w:val="nil"/>
                    <w:bottom w:val="nil"/>
                    <w:right w:val="nil"/>
                  </w:tcBorders>
                </w:tcPr>
                <w:p w14:paraId="52BFC168"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0.50</w:t>
                  </w:r>
                </w:p>
              </w:tc>
              <w:tc>
                <w:tcPr>
                  <w:tcW w:w="2430" w:type="dxa"/>
                  <w:tcBorders>
                    <w:top w:val="nil"/>
                    <w:left w:val="nil"/>
                    <w:bottom w:val="nil"/>
                    <w:right w:val="nil"/>
                  </w:tcBorders>
                </w:tcPr>
                <w:p w14:paraId="216BA6FF"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0.09</w:t>
                  </w:r>
                </w:p>
              </w:tc>
            </w:tr>
            <w:tr w:rsidR="00AD0DAE" w14:paraId="48DFE745" w14:textId="77777777" w:rsidTr="003262D8">
              <w:trPr>
                <w:jc w:val="center"/>
              </w:trPr>
              <w:tc>
                <w:tcPr>
                  <w:tcW w:w="1188" w:type="dxa"/>
                  <w:tcBorders>
                    <w:top w:val="nil"/>
                    <w:left w:val="nil"/>
                    <w:bottom w:val="nil"/>
                    <w:right w:val="nil"/>
                  </w:tcBorders>
                </w:tcPr>
                <w:p w14:paraId="2089F23B"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2011</w:t>
                  </w:r>
                </w:p>
              </w:tc>
              <w:tc>
                <w:tcPr>
                  <w:tcW w:w="2331" w:type="dxa"/>
                  <w:tcBorders>
                    <w:top w:val="nil"/>
                    <w:left w:val="nil"/>
                    <w:bottom w:val="nil"/>
                    <w:right w:val="nil"/>
                  </w:tcBorders>
                </w:tcPr>
                <w:p w14:paraId="671E7A14"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0.30</w:t>
                  </w:r>
                </w:p>
              </w:tc>
              <w:tc>
                <w:tcPr>
                  <w:tcW w:w="2430" w:type="dxa"/>
                  <w:tcBorders>
                    <w:top w:val="nil"/>
                    <w:left w:val="nil"/>
                    <w:bottom w:val="nil"/>
                    <w:right w:val="nil"/>
                  </w:tcBorders>
                </w:tcPr>
                <w:p w14:paraId="173E3765"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-0.12</w:t>
                  </w:r>
                </w:p>
              </w:tc>
            </w:tr>
            <w:tr w:rsidR="00AD0DAE" w14:paraId="126E8DA9" w14:textId="77777777" w:rsidTr="003262D8">
              <w:trPr>
                <w:jc w:val="center"/>
              </w:trPr>
              <w:tc>
                <w:tcPr>
                  <w:tcW w:w="1188" w:type="dxa"/>
                  <w:tcBorders>
                    <w:top w:val="nil"/>
                    <w:left w:val="nil"/>
                    <w:right w:val="nil"/>
                  </w:tcBorders>
                </w:tcPr>
                <w:p w14:paraId="50B82A24"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2012</w:t>
                  </w:r>
                </w:p>
              </w:tc>
              <w:tc>
                <w:tcPr>
                  <w:tcW w:w="2331" w:type="dxa"/>
                  <w:tcBorders>
                    <w:top w:val="nil"/>
                    <w:left w:val="nil"/>
                    <w:right w:val="nil"/>
                  </w:tcBorders>
                </w:tcPr>
                <w:p w14:paraId="44358C62"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0.10</w:t>
                  </w:r>
                </w:p>
              </w:tc>
              <w:tc>
                <w:tcPr>
                  <w:tcW w:w="2430" w:type="dxa"/>
                  <w:tcBorders>
                    <w:top w:val="nil"/>
                    <w:left w:val="nil"/>
                    <w:right w:val="nil"/>
                  </w:tcBorders>
                </w:tcPr>
                <w:p w14:paraId="55575541"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0.20</w:t>
                  </w:r>
                </w:p>
              </w:tc>
            </w:tr>
          </w:tbl>
          <w:p w14:paraId="363D4737" w14:textId="77777777" w:rsidR="00AD0DAE" w:rsidRDefault="00AD0DAE" w:rsidP="00804DBB">
            <w:pPr>
              <w:jc w:val="both"/>
              <w:rPr>
                <w:rFonts w:ascii="Bookman Old Style" w:eastAsiaTheme="minorEastAsia" w:hAnsi="Bookman Old Style"/>
              </w:rPr>
            </w:pPr>
          </w:p>
          <w:p w14:paraId="67E1D302" w14:textId="77777777" w:rsidR="00AD0DAE" w:rsidRDefault="00AD0DAE" w:rsidP="00804DBB">
            <w:pPr>
              <w:jc w:val="both"/>
              <w:rPr>
                <w:rFonts w:ascii="Bookman Old Style" w:eastAsiaTheme="minorEastAsia" w:hAnsi="Bookman Old Style"/>
              </w:rPr>
            </w:pPr>
            <w:r>
              <w:rPr>
                <w:rFonts w:ascii="Bookman Old Style" w:eastAsiaTheme="minorEastAsia" w:hAnsi="Bookman Old Style"/>
              </w:rPr>
              <w:t>What are the average returns, the variances, the standard deviations? Which investment was more volatile?</w:t>
            </w:r>
          </w:p>
          <w:p w14:paraId="5D68DF3F" w14:textId="77777777" w:rsidR="00AD0DAE" w:rsidRDefault="00AD0DAE" w:rsidP="00804DBB">
            <w:pPr>
              <w:jc w:val="both"/>
              <w:rPr>
                <w:rFonts w:ascii="Bookman Old Style" w:eastAsiaTheme="minorEastAsia" w:hAnsi="Bookman Old Style"/>
              </w:rPr>
            </w:pPr>
          </w:p>
          <w:p w14:paraId="1B4966D4" w14:textId="77777777" w:rsidR="00AD0DAE" w:rsidRDefault="00AD0DAE" w:rsidP="00804DBB">
            <w:pPr>
              <w:jc w:val="both"/>
              <w:rPr>
                <w:rFonts w:ascii="Bookman Old Style" w:eastAsiaTheme="minorEastAsia" w:hAnsi="Bookman Old Style"/>
              </w:rPr>
            </w:pPr>
            <w:r>
              <w:rPr>
                <w:rFonts w:ascii="Bookman Old Style" w:eastAsiaTheme="minorEastAsia" w:hAnsi="Bookman Old Style"/>
              </w:rPr>
              <w:t xml:space="preserve">To calculate the </w:t>
            </w:r>
            <w:r>
              <w:rPr>
                <w:rFonts w:ascii="Bookman Old Style" w:eastAsiaTheme="minorEastAsia" w:hAnsi="Bookman Old Style"/>
                <w:b/>
                <w:i/>
              </w:rPr>
              <w:t>average returns</w:t>
            </w:r>
            <w:r w:rsidRPr="001935C9">
              <w:rPr>
                <w:rFonts w:ascii="Bookman Old Style" w:eastAsiaTheme="minorEastAsia" w:hAnsi="Bookman Old Style"/>
              </w:rPr>
              <w:t>, we add the retu</w:t>
            </w:r>
            <w:r>
              <w:rPr>
                <w:rFonts w:ascii="Bookman Old Style" w:eastAsiaTheme="minorEastAsia" w:hAnsi="Bookman Old Style"/>
              </w:rPr>
              <w:t>rns and divide by 4. The results are:</w:t>
            </w:r>
          </w:p>
          <w:p w14:paraId="69FA9EEA" w14:textId="77777777" w:rsidR="00AD0DAE" w:rsidRDefault="00AD0DAE" w:rsidP="00804DBB">
            <w:pPr>
              <w:jc w:val="both"/>
              <w:rPr>
                <w:rFonts w:ascii="Bookman Old Style" w:eastAsiaTheme="minorEastAsia" w:hAnsi="Bookman Old Style"/>
              </w:rPr>
            </w:pPr>
          </w:p>
          <w:p w14:paraId="47C30393" w14:textId="77777777" w:rsidR="00AD0DAE" w:rsidRDefault="00AD0DAE" w:rsidP="00804DBB">
            <w:pPr>
              <w:jc w:val="center"/>
              <w:rPr>
                <w:rFonts w:ascii="Bookman Old Style" w:eastAsiaTheme="minorEastAsia" w:hAnsi="Bookman Old Style"/>
              </w:rPr>
            </w:pPr>
          </w:p>
          <w:p w14:paraId="4EAF7749" w14:textId="77777777" w:rsidR="00AD0DAE" w:rsidRPr="001935C9" w:rsidRDefault="00AD0DAE" w:rsidP="00804DBB">
            <w:pPr>
              <w:jc w:val="center"/>
              <w:rPr>
                <w:rFonts w:ascii="Bookman Old Style" w:eastAsiaTheme="minorEastAsia" w:hAnsi="Bookman Old Style"/>
              </w:rPr>
            </w:pPr>
            <w:r w:rsidRPr="001935C9">
              <w:rPr>
                <w:rFonts w:ascii="Bookman Old Style" w:eastAsiaTheme="minorEastAsia" w:hAnsi="Bookman Old Style"/>
              </w:rPr>
              <w:t>Northern Radio Comm average return</w:t>
            </w:r>
          </w:p>
          <w:p w14:paraId="3C800429"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w:t>
            </w:r>
          </w:p>
          <w:p w14:paraId="162C6E2A" w14:textId="77777777" w:rsidR="00AD0DAE" w:rsidRPr="001935C9" w:rsidRDefault="003262D8" w:rsidP="00804DBB">
            <w:pPr>
              <w:jc w:val="both"/>
              <w:rPr>
                <w:rFonts w:ascii="Bookman Old Style" w:eastAsiaTheme="minorEastAsia" w:hAnsi="Bookman Old Style"/>
              </w:rPr>
            </w:pPr>
            <m:oMathPara>
              <m:oMath>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-0.20+0.50+0.30+0.10</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0.70</m:t>
                    </m:r>
                  </m:num>
                  <m:den>
                    <m:r>
                      <w:rPr>
                        <w:rFonts w:ascii="Cambria Math" w:eastAsiaTheme="minorEastAsia" w:hAnsi="Cambria Math"/>
                      </w:rPr>
                      <m:t>4</m:t>
                    </m:r>
                  </m:den>
                </m:f>
                <m:r>
                  <w:rPr>
                    <w:rFonts w:ascii="Cambria Math" w:eastAsiaTheme="minorEastAsia" w:hAnsi="Cambria Math"/>
                  </w:rPr>
                  <m:t>=0.175</m:t>
                </m:r>
              </m:oMath>
            </m:oMathPara>
          </w:p>
          <w:p w14:paraId="418B0FDC" w14:textId="77777777" w:rsidR="00AD0DAE" w:rsidRDefault="00AD0DAE" w:rsidP="00804DBB">
            <w:pPr>
              <w:jc w:val="both"/>
              <w:rPr>
                <w:rFonts w:ascii="Bookman Old Style" w:eastAsiaTheme="minorEastAsia" w:hAnsi="Bookman Old Style"/>
                <w:u w:val="single"/>
              </w:rPr>
            </w:pPr>
          </w:p>
          <w:p w14:paraId="2E741D64" w14:textId="77777777" w:rsidR="00AD0DAE" w:rsidRDefault="00AD0DAE" w:rsidP="00804DBB">
            <w:pPr>
              <w:jc w:val="center"/>
              <w:rPr>
                <w:rFonts w:ascii="Bookman Old Style" w:eastAsiaTheme="minorEastAsia" w:hAnsi="Bookman Old Style"/>
              </w:rPr>
            </w:pPr>
          </w:p>
          <w:p w14:paraId="3798405F" w14:textId="77777777" w:rsidR="00AD0DAE" w:rsidRDefault="00AD0DAE" w:rsidP="00804DBB">
            <w:pPr>
              <w:jc w:val="center"/>
              <w:rPr>
                <w:rFonts w:ascii="Bookman Old Style" w:eastAsiaTheme="minorEastAsia" w:hAnsi="Bookman Old Style"/>
              </w:rPr>
            </w:pPr>
          </w:p>
          <w:p w14:paraId="66EA5B72" w14:textId="77777777" w:rsidR="00AD0DAE" w:rsidRDefault="00AD0DAE" w:rsidP="00804DBB">
            <w:pPr>
              <w:jc w:val="center"/>
              <w:rPr>
                <w:rFonts w:ascii="Bookman Old Style" w:eastAsiaTheme="minorEastAsia" w:hAnsi="Bookman Old Style"/>
              </w:rPr>
            </w:pPr>
          </w:p>
          <w:p w14:paraId="0EEC3328" w14:textId="77777777" w:rsidR="00AD0DAE" w:rsidRDefault="00AD0DAE" w:rsidP="00804DBB">
            <w:pPr>
              <w:jc w:val="center"/>
              <w:rPr>
                <w:rFonts w:ascii="Bookman Old Style" w:eastAsiaTheme="minorEastAsia" w:hAnsi="Bookman Old Style"/>
              </w:rPr>
            </w:pPr>
            <w:r w:rsidRPr="001935C9">
              <w:rPr>
                <w:rFonts w:ascii="Bookman Old Style" w:eastAsiaTheme="minorEastAsia" w:hAnsi="Bookman Old Style"/>
              </w:rPr>
              <w:t>Canadian</w:t>
            </w:r>
            <w:r>
              <w:rPr>
                <w:rFonts w:ascii="Bookman Old Style" w:eastAsiaTheme="minorEastAsia" w:hAnsi="Bookman Old Style"/>
              </w:rPr>
              <w:t xml:space="preserve"> Empire Bank average return</w:t>
            </w:r>
          </w:p>
          <w:p w14:paraId="16733CE8" w14:textId="77777777" w:rsidR="00AD0DAE" w:rsidRDefault="00AD0DAE" w:rsidP="00804DBB">
            <w:pPr>
              <w:jc w:val="center"/>
              <w:rPr>
                <w:rFonts w:ascii="Bookman Old Style" w:eastAsiaTheme="minorEastAsia" w:hAnsi="Bookman Old Style"/>
              </w:rPr>
            </w:pPr>
            <w:r>
              <w:rPr>
                <w:rFonts w:ascii="Bookman Old Style" w:eastAsiaTheme="minorEastAsia" w:hAnsi="Bookman Old Style"/>
              </w:rPr>
              <w:t>=</w:t>
            </w:r>
          </w:p>
          <w:p w14:paraId="5DF44CAC" w14:textId="77777777" w:rsidR="00AD0DAE" w:rsidRPr="001935C9" w:rsidRDefault="003262D8" w:rsidP="00804DBB">
            <w:pPr>
              <w:jc w:val="both"/>
              <w:rPr>
                <w:rFonts w:ascii="Bookman Old Style" w:eastAsiaTheme="minorEastAsia" w:hAnsi="Bookman Old Style"/>
              </w:rPr>
            </w:pPr>
            <m:oMathPara>
              <m:oMath>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0.05+0.09-0.12+0.20</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0.22</m:t>
                    </m:r>
                  </m:num>
                  <m:den>
                    <m:r>
                      <w:rPr>
                        <w:rFonts w:ascii="Cambria Math" w:eastAsiaTheme="minorEastAsia" w:hAnsi="Cambria Math"/>
                      </w:rPr>
                      <m:t>4</m:t>
                    </m:r>
                  </m:den>
                </m:f>
                <m:r>
                  <w:rPr>
                    <w:rFonts w:ascii="Cambria Math" w:eastAsiaTheme="minorEastAsia" w:hAnsi="Cambria Math"/>
                  </w:rPr>
                  <m:t>=0.055</m:t>
                </m:r>
              </m:oMath>
            </m:oMathPara>
          </w:p>
          <w:p w14:paraId="002E4BC3" w14:textId="77777777" w:rsidR="00AD0DAE" w:rsidRDefault="00AD0DAE" w:rsidP="00804DBB">
            <w:pPr>
              <w:jc w:val="both"/>
              <w:rPr>
                <w:rFonts w:ascii="Bookman Old Style" w:eastAsiaTheme="minorEastAsia" w:hAnsi="Bookman Old Style"/>
              </w:rPr>
            </w:pPr>
          </w:p>
          <w:p w14:paraId="0B1D3330" w14:textId="77777777" w:rsidR="00AD0DAE" w:rsidRDefault="00AD0DAE" w:rsidP="00804DBB">
            <w:pPr>
              <w:jc w:val="both"/>
              <w:rPr>
                <w:rFonts w:ascii="Bookman Old Style" w:eastAsiaTheme="minorEastAsia" w:hAnsi="Bookman Old Style"/>
              </w:rPr>
            </w:pPr>
            <w:r>
              <w:rPr>
                <w:rFonts w:ascii="Bookman Old Style" w:eastAsiaTheme="minorEastAsia" w:hAnsi="Bookman Old Style"/>
              </w:rPr>
              <w:t>To calculate the variance for Northern Radio Comm, we can summarize the relevant calculations as follows:</w:t>
            </w:r>
          </w:p>
          <w:tbl>
            <w:tblPr>
              <w:tblStyle w:val="TableGrid"/>
              <w:tblW w:w="0" w:type="auto"/>
              <w:jc w:val="center"/>
              <w:tblLook w:val="04A0" w:firstRow="1" w:lastRow="0" w:firstColumn="1" w:lastColumn="0" w:noHBand="0" w:noVBand="1"/>
            </w:tblPr>
            <w:tblGrid>
              <w:gridCol w:w="1008"/>
              <w:gridCol w:w="1530"/>
              <w:gridCol w:w="1440"/>
              <w:gridCol w:w="1440"/>
              <w:gridCol w:w="1530"/>
            </w:tblGrid>
            <w:tr w:rsidR="00AD0DAE" w14:paraId="6DC1BD6A" w14:textId="77777777" w:rsidTr="003262D8">
              <w:trPr>
                <w:jc w:val="center"/>
              </w:trPr>
              <w:tc>
                <w:tcPr>
                  <w:tcW w:w="1008" w:type="dxa"/>
                  <w:tcBorders>
                    <w:top w:val="nil"/>
                    <w:left w:val="nil"/>
                    <w:bottom w:val="single" w:sz="4" w:space="0" w:color="auto"/>
                    <w:right w:val="nil"/>
                  </w:tcBorders>
                  <w:vAlign w:val="center"/>
                </w:tcPr>
                <w:p w14:paraId="7A416684"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Year</w:t>
                  </w:r>
                </w:p>
              </w:tc>
              <w:tc>
                <w:tcPr>
                  <w:tcW w:w="1530" w:type="dxa"/>
                  <w:tcBorders>
                    <w:top w:val="nil"/>
                    <w:left w:val="nil"/>
                    <w:bottom w:val="single" w:sz="4" w:space="0" w:color="auto"/>
                    <w:right w:val="nil"/>
                  </w:tcBorders>
                  <w:vAlign w:val="center"/>
                </w:tcPr>
                <w:p w14:paraId="3A06D95E"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(1)</w:t>
                  </w:r>
                </w:p>
                <w:p w14:paraId="33CDCCC8"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Actual Returns</w:t>
                  </w:r>
                </w:p>
              </w:tc>
              <w:tc>
                <w:tcPr>
                  <w:tcW w:w="1440" w:type="dxa"/>
                  <w:tcBorders>
                    <w:top w:val="nil"/>
                    <w:left w:val="nil"/>
                    <w:bottom w:val="single" w:sz="4" w:space="0" w:color="auto"/>
                    <w:right w:val="nil"/>
                  </w:tcBorders>
                  <w:vAlign w:val="center"/>
                </w:tcPr>
                <w:p w14:paraId="7935E221"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(2)</w:t>
                  </w:r>
                </w:p>
                <w:p w14:paraId="23310526"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Average Returns</w:t>
                  </w:r>
                </w:p>
              </w:tc>
              <w:tc>
                <w:tcPr>
                  <w:tcW w:w="1440" w:type="dxa"/>
                  <w:tcBorders>
                    <w:top w:val="nil"/>
                    <w:left w:val="nil"/>
                    <w:bottom w:val="single" w:sz="4" w:space="0" w:color="auto"/>
                    <w:right w:val="nil"/>
                  </w:tcBorders>
                  <w:vAlign w:val="center"/>
                </w:tcPr>
                <w:p w14:paraId="2A9F51B5"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(3)</w:t>
                  </w:r>
                </w:p>
                <w:p w14:paraId="3D0E4A7F"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Deviation</w:t>
                  </w:r>
                </w:p>
                <w:p w14:paraId="684CB763"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(1) – (2)</w:t>
                  </w:r>
                </w:p>
              </w:tc>
              <w:tc>
                <w:tcPr>
                  <w:tcW w:w="1530" w:type="dxa"/>
                  <w:tcBorders>
                    <w:top w:val="nil"/>
                    <w:left w:val="nil"/>
                    <w:bottom w:val="single" w:sz="4" w:space="0" w:color="auto"/>
                    <w:right w:val="nil"/>
                  </w:tcBorders>
                  <w:vAlign w:val="center"/>
                </w:tcPr>
                <w:p w14:paraId="62243538"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(4)</w:t>
                  </w:r>
                </w:p>
                <w:p w14:paraId="221A8089"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Squared Deviation</w:t>
                  </w:r>
                </w:p>
              </w:tc>
            </w:tr>
            <w:tr w:rsidR="00AD0DAE" w14:paraId="1C26D0E7" w14:textId="77777777" w:rsidTr="003262D8">
              <w:trPr>
                <w:jc w:val="center"/>
              </w:trPr>
              <w:tc>
                <w:tcPr>
                  <w:tcW w:w="1008" w:type="dxa"/>
                  <w:tcBorders>
                    <w:left w:val="nil"/>
                    <w:bottom w:val="nil"/>
                    <w:right w:val="nil"/>
                  </w:tcBorders>
                </w:tcPr>
                <w:p w14:paraId="3C8C8DCF"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2010</w:t>
                  </w:r>
                </w:p>
              </w:tc>
              <w:tc>
                <w:tcPr>
                  <w:tcW w:w="1530" w:type="dxa"/>
                  <w:tcBorders>
                    <w:left w:val="nil"/>
                    <w:bottom w:val="nil"/>
                    <w:right w:val="nil"/>
                  </w:tcBorders>
                </w:tcPr>
                <w:p w14:paraId="7729133D"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-0.20</w:t>
                  </w:r>
                </w:p>
              </w:tc>
              <w:tc>
                <w:tcPr>
                  <w:tcW w:w="1440" w:type="dxa"/>
                  <w:tcBorders>
                    <w:left w:val="nil"/>
                    <w:bottom w:val="nil"/>
                    <w:right w:val="nil"/>
                  </w:tcBorders>
                </w:tcPr>
                <w:p w14:paraId="7DD41194"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0.175</w:t>
                  </w:r>
                </w:p>
              </w:tc>
              <w:tc>
                <w:tcPr>
                  <w:tcW w:w="1440" w:type="dxa"/>
                  <w:tcBorders>
                    <w:left w:val="nil"/>
                    <w:bottom w:val="nil"/>
                    <w:right w:val="nil"/>
                  </w:tcBorders>
                </w:tcPr>
                <w:p w14:paraId="4BB355DF"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-0.375</w:t>
                  </w:r>
                </w:p>
              </w:tc>
              <w:tc>
                <w:tcPr>
                  <w:tcW w:w="1530" w:type="dxa"/>
                  <w:tcBorders>
                    <w:left w:val="nil"/>
                    <w:bottom w:val="nil"/>
                    <w:right w:val="nil"/>
                  </w:tcBorders>
                </w:tcPr>
                <w:p w14:paraId="39F236A3"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0.140625</w:t>
                  </w:r>
                </w:p>
              </w:tc>
            </w:tr>
            <w:tr w:rsidR="00AD0DAE" w14:paraId="477946F4" w14:textId="77777777" w:rsidTr="003262D8">
              <w:trPr>
                <w:jc w:val="center"/>
              </w:trPr>
              <w:tc>
                <w:tcPr>
                  <w:tcW w:w="1008" w:type="dxa"/>
                  <w:tcBorders>
                    <w:top w:val="nil"/>
                    <w:left w:val="nil"/>
                    <w:bottom w:val="nil"/>
                    <w:right w:val="nil"/>
                  </w:tcBorders>
                </w:tcPr>
                <w:p w14:paraId="1828DE8D"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2011</w:t>
                  </w:r>
                </w:p>
              </w:tc>
              <w:tc>
                <w:tcPr>
                  <w:tcW w:w="1530" w:type="dxa"/>
                  <w:tcBorders>
                    <w:top w:val="nil"/>
                    <w:left w:val="nil"/>
                    <w:bottom w:val="nil"/>
                    <w:right w:val="nil"/>
                  </w:tcBorders>
                </w:tcPr>
                <w:p w14:paraId="72EE7646"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0.50</w:t>
                  </w:r>
                </w:p>
              </w:tc>
              <w:tc>
                <w:tcPr>
                  <w:tcW w:w="1440" w:type="dxa"/>
                  <w:tcBorders>
                    <w:top w:val="nil"/>
                    <w:left w:val="nil"/>
                    <w:bottom w:val="nil"/>
                    <w:right w:val="nil"/>
                  </w:tcBorders>
                </w:tcPr>
                <w:p w14:paraId="413C5E54"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0.175</w:t>
                  </w:r>
                </w:p>
              </w:tc>
              <w:tc>
                <w:tcPr>
                  <w:tcW w:w="1440" w:type="dxa"/>
                  <w:tcBorders>
                    <w:top w:val="nil"/>
                    <w:left w:val="nil"/>
                    <w:bottom w:val="nil"/>
                    <w:right w:val="nil"/>
                  </w:tcBorders>
                </w:tcPr>
                <w:p w14:paraId="43FBA2F1"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0.325</w:t>
                  </w:r>
                </w:p>
              </w:tc>
              <w:tc>
                <w:tcPr>
                  <w:tcW w:w="1530" w:type="dxa"/>
                  <w:tcBorders>
                    <w:top w:val="nil"/>
                    <w:left w:val="nil"/>
                    <w:bottom w:val="nil"/>
                    <w:right w:val="nil"/>
                  </w:tcBorders>
                </w:tcPr>
                <w:p w14:paraId="27A6DD01"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0.105625</w:t>
                  </w:r>
                </w:p>
              </w:tc>
            </w:tr>
            <w:tr w:rsidR="00AD0DAE" w14:paraId="3DBAE9B1" w14:textId="77777777" w:rsidTr="003262D8">
              <w:trPr>
                <w:jc w:val="center"/>
              </w:trPr>
              <w:tc>
                <w:tcPr>
                  <w:tcW w:w="1008" w:type="dxa"/>
                  <w:tcBorders>
                    <w:top w:val="nil"/>
                    <w:left w:val="nil"/>
                    <w:bottom w:val="nil"/>
                    <w:right w:val="nil"/>
                  </w:tcBorders>
                </w:tcPr>
                <w:p w14:paraId="12A3E572"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2012</w:t>
                  </w:r>
                </w:p>
              </w:tc>
              <w:tc>
                <w:tcPr>
                  <w:tcW w:w="1530" w:type="dxa"/>
                  <w:tcBorders>
                    <w:top w:val="nil"/>
                    <w:left w:val="nil"/>
                    <w:bottom w:val="nil"/>
                    <w:right w:val="nil"/>
                  </w:tcBorders>
                </w:tcPr>
                <w:p w14:paraId="34A601FC"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0.30</w:t>
                  </w:r>
                </w:p>
              </w:tc>
              <w:tc>
                <w:tcPr>
                  <w:tcW w:w="1440" w:type="dxa"/>
                  <w:tcBorders>
                    <w:top w:val="nil"/>
                    <w:left w:val="nil"/>
                    <w:bottom w:val="nil"/>
                    <w:right w:val="nil"/>
                  </w:tcBorders>
                </w:tcPr>
                <w:p w14:paraId="5FA6E388"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0.175</w:t>
                  </w:r>
                </w:p>
              </w:tc>
              <w:tc>
                <w:tcPr>
                  <w:tcW w:w="1440" w:type="dxa"/>
                  <w:tcBorders>
                    <w:top w:val="nil"/>
                    <w:left w:val="nil"/>
                    <w:bottom w:val="nil"/>
                    <w:right w:val="nil"/>
                  </w:tcBorders>
                </w:tcPr>
                <w:p w14:paraId="2073C115"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0.125</w:t>
                  </w:r>
                </w:p>
              </w:tc>
              <w:tc>
                <w:tcPr>
                  <w:tcW w:w="1530" w:type="dxa"/>
                  <w:tcBorders>
                    <w:top w:val="nil"/>
                    <w:left w:val="nil"/>
                    <w:bottom w:val="nil"/>
                    <w:right w:val="nil"/>
                  </w:tcBorders>
                </w:tcPr>
                <w:p w14:paraId="13C312F4"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0.015625</w:t>
                  </w:r>
                </w:p>
              </w:tc>
            </w:tr>
            <w:tr w:rsidR="00AD0DAE" w14:paraId="65F3C203" w14:textId="77777777" w:rsidTr="003262D8">
              <w:trPr>
                <w:jc w:val="center"/>
              </w:trPr>
              <w:tc>
                <w:tcPr>
                  <w:tcW w:w="1008" w:type="dxa"/>
                  <w:tcBorders>
                    <w:top w:val="nil"/>
                    <w:left w:val="nil"/>
                    <w:bottom w:val="nil"/>
                    <w:right w:val="nil"/>
                  </w:tcBorders>
                </w:tcPr>
                <w:p w14:paraId="46A3F6FA"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2013</w:t>
                  </w:r>
                </w:p>
              </w:tc>
              <w:tc>
                <w:tcPr>
                  <w:tcW w:w="1530" w:type="dxa"/>
                  <w:tcBorders>
                    <w:top w:val="nil"/>
                    <w:left w:val="nil"/>
                    <w:bottom w:val="nil"/>
                    <w:right w:val="nil"/>
                  </w:tcBorders>
                </w:tcPr>
                <w:p w14:paraId="1B46C032"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0.10</w:t>
                  </w:r>
                </w:p>
              </w:tc>
              <w:tc>
                <w:tcPr>
                  <w:tcW w:w="1440" w:type="dxa"/>
                  <w:tcBorders>
                    <w:top w:val="nil"/>
                    <w:left w:val="nil"/>
                    <w:bottom w:val="nil"/>
                    <w:right w:val="nil"/>
                  </w:tcBorders>
                </w:tcPr>
                <w:p w14:paraId="0447FCCF"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0.175</w:t>
                  </w:r>
                </w:p>
              </w:tc>
              <w:tc>
                <w:tcPr>
                  <w:tcW w:w="1440" w:type="dxa"/>
                  <w:tcBorders>
                    <w:top w:val="nil"/>
                    <w:left w:val="nil"/>
                    <w:bottom w:val="nil"/>
                    <w:right w:val="nil"/>
                  </w:tcBorders>
                </w:tcPr>
                <w:p w14:paraId="58BA3EFB"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-0.075</w:t>
                  </w:r>
                </w:p>
              </w:tc>
              <w:tc>
                <w:tcPr>
                  <w:tcW w:w="1530" w:type="dxa"/>
                  <w:tcBorders>
                    <w:top w:val="nil"/>
                    <w:left w:val="nil"/>
                    <w:bottom w:val="nil"/>
                    <w:right w:val="nil"/>
                  </w:tcBorders>
                </w:tcPr>
                <w:p w14:paraId="7C0EFC58"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0.005625</w:t>
                  </w:r>
                </w:p>
              </w:tc>
            </w:tr>
            <w:tr w:rsidR="00AD0DAE" w14:paraId="4518F77F" w14:textId="77777777" w:rsidTr="003262D8">
              <w:trPr>
                <w:jc w:val="center"/>
              </w:trPr>
              <w:tc>
                <w:tcPr>
                  <w:tcW w:w="1008" w:type="dxa"/>
                  <w:tcBorders>
                    <w:top w:val="nil"/>
                    <w:left w:val="nil"/>
                    <w:right w:val="nil"/>
                  </w:tcBorders>
                </w:tcPr>
                <w:p w14:paraId="5366EBA5"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Totals</w:t>
                  </w:r>
                </w:p>
              </w:tc>
              <w:tc>
                <w:tcPr>
                  <w:tcW w:w="1530" w:type="dxa"/>
                  <w:tcBorders>
                    <w:top w:val="nil"/>
                    <w:left w:val="nil"/>
                    <w:right w:val="nil"/>
                  </w:tcBorders>
                </w:tcPr>
                <w:p w14:paraId="2E6AEAC4"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0.70</w:t>
                  </w:r>
                </w:p>
              </w:tc>
              <w:tc>
                <w:tcPr>
                  <w:tcW w:w="1440" w:type="dxa"/>
                  <w:tcBorders>
                    <w:top w:val="nil"/>
                    <w:left w:val="nil"/>
                    <w:right w:val="nil"/>
                  </w:tcBorders>
                </w:tcPr>
                <w:p w14:paraId="56BD222A" w14:textId="77777777" w:rsidR="00AD0DAE" w:rsidRPr="001935C9" w:rsidRDefault="00AD0DAE" w:rsidP="00804DBB">
                  <w:pPr>
                    <w:jc w:val="center"/>
                    <w:rPr>
                      <w:rFonts w:ascii="Bookman Old Style" w:eastAsiaTheme="minorEastAsia" w:hAnsi="Bookman Old Style"/>
                      <w:sz w:val="20"/>
                    </w:rPr>
                  </w:pPr>
                </w:p>
              </w:tc>
              <w:tc>
                <w:tcPr>
                  <w:tcW w:w="1440" w:type="dxa"/>
                  <w:tcBorders>
                    <w:top w:val="nil"/>
                    <w:left w:val="nil"/>
                    <w:right w:val="nil"/>
                  </w:tcBorders>
                </w:tcPr>
                <w:p w14:paraId="30D4919B"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0.000</w:t>
                  </w:r>
                </w:p>
              </w:tc>
              <w:tc>
                <w:tcPr>
                  <w:tcW w:w="1530" w:type="dxa"/>
                  <w:tcBorders>
                    <w:top w:val="nil"/>
                    <w:left w:val="nil"/>
                    <w:right w:val="nil"/>
                  </w:tcBorders>
                </w:tcPr>
                <w:p w14:paraId="65E2B3CF" w14:textId="77777777" w:rsidR="00AD0DAE" w:rsidRPr="001935C9" w:rsidRDefault="00AD0DAE" w:rsidP="00804DBB">
                  <w:pPr>
                    <w:jc w:val="center"/>
                    <w:rPr>
                      <w:rFonts w:ascii="Bookman Old Style" w:eastAsiaTheme="minorEastAsia" w:hAnsi="Bookman Old Style"/>
                      <w:sz w:val="20"/>
                    </w:rPr>
                  </w:pPr>
                  <w:r w:rsidRPr="001935C9">
                    <w:rPr>
                      <w:rFonts w:ascii="Bookman Old Style" w:eastAsiaTheme="minorEastAsia" w:hAnsi="Bookman Old Style"/>
                      <w:sz w:val="20"/>
                    </w:rPr>
                    <w:t>0.267500</w:t>
                  </w:r>
                </w:p>
              </w:tc>
            </w:tr>
          </w:tbl>
          <w:p w14:paraId="69DBA12B" w14:textId="77777777" w:rsidR="00AD0DAE" w:rsidRDefault="00AD0DAE" w:rsidP="00804DBB">
            <w:pPr>
              <w:jc w:val="both"/>
              <w:rPr>
                <w:rFonts w:ascii="Bookman Old Style" w:eastAsiaTheme="minorEastAsia" w:hAnsi="Bookman Old Style"/>
              </w:rPr>
            </w:pPr>
          </w:p>
          <w:p w14:paraId="29C2ED40" w14:textId="77777777" w:rsidR="00AD0DAE" w:rsidRDefault="00AD0DAE" w:rsidP="00804DBB">
            <w:pPr>
              <w:jc w:val="both"/>
              <w:rPr>
                <w:rFonts w:ascii="Bookman Old Style" w:eastAsiaTheme="minorEastAsia" w:hAnsi="Bookman Old Style"/>
              </w:rPr>
            </w:pPr>
            <w:r>
              <w:rPr>
                <w:rFonts w:ascii="Bookman Old Style" w:eastAsiaTheme="minorEastAsia" w:hAnsi="Bookman Old Style"/>
              </w:rPr>
              <w:t>Since there are 4 years of returns, we calculate the variances by dividing 0.2675 by (4 – 1) = 3</w:t>
            </w:r>
          </w:p>
          <w:p w14:paraId="3614890A" w14:textId="77777777" w:rsidR="00AD0DAE" w:rsidRDefault="00AD0DAE" w:rsidP="00804DBB">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2538"/>
              <w:gridCol w:w="2700"/>
              <w:gridCol w:w="2700"/>
            </w:tblGrid>
            <w:tr w:rsidR="00AD0DAE" w14:paraId="243C8550" w14:textId="77777777" w:rsidTr="003262D8">
              <w:trPr>
                <w:jc w:val="center"/>
              </w:trPr>
              <w:tc>
                <w:tcPr>
                  <w:tcW w:w="2538" w:type="dxa"/>
                  <w:tcBorders>
                    <w:top w:val="nil"/>
                    <w:left w:val="nil"/>
                    <w:bottom w:val="single" w:sz="4" w:space="0" w:color="auto"/>
                    <w:right w:val="nil"/>
                  </w:tcBorders>
                </w:tcPr>
                <w:p w14:paraId="4CDA27D6" w14:textId="77777777" w:rsidR="00AD0DAE" w:rsidRPr="001935C9" w:rsidRDefault="00AD0DAE" w:rsidP="00804DBB">
                  <w:pPr>
                    <w:jc w:val="center"/>
                    <w:rPr>
                      <w:rFonts w:ascii="Bookman Old Style" w:eastAsiaTheme="minorEastAsia" w:hAnsi="Bookman Old Style"/>
                      <w:b/>
                      <w:sz w:val="20"/>
                    </w:rPr>
                  </w:pPr>
                </w:p>
              </w:tc>
              <w:tc>
                <w:tcPr>
                  <w:tcW w:w="2700" w:type="dxa"/>
                  <w:tcBorders>
                    <w:top w:val="nil"/>
                    <w:left w:val="nil"/>
                    <w:bottom w:val="single" w:sz="4" w:space="0" w:color="auto"/>
                    <w:right w:val="nil"/>
                  </w:tcBorders>
                </w:tcPr>
                <w:p w14:paraId="68372976"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Northern Radio Comm</w:t>
                  </w:r>
                </w:p>
              </w:tc>
              <w:tc>
                <w:tcPr>
                  <w:tcW w:w="2700" w:type="dxa"/>
                  <w:tcBorders>
                    <w:top w:val="nil"/>
                    <w:left w:val="nil"/>
                    <w:bottom w:val="single" w:sz="4" w:space="0" w:color="auto"/>
                    <w:right w:val="nil"/>
                  </w:tcBorders>
                </w:tcPr>
                <w:p w14:paraId="273E8336" w14:textId="77777777" w:rsidR="00AD0DAE" w:rsidRPr="001935C9" w:rsidRDefault="00AD0DAE" w:rsidP="00804DBB">
                  <w:pPr>
                    <w:jc w:val="center"/>
                    <w:rPr>
                      <w:rFonts w:ascii="Bookman Old Style" w:eastAsiaTheme="minorEastAsia" w:hAnsi="Bookman Old Style"/>
                      <w:b/>
                      <w:sz w:val="20"/>
                    </w:rPr>
                  </w:pPr>
                  <w:r w:rsidRPr="001935C9">
                    <w:rPr>
                      <w:rFonts w:ascii="Bookman Old Style" w:eastAsiaTheme="minorEastAsia" w:hAnsi="Bookman Old Style"/>
                      <w:b/>
                      <w:sz w:val="20"/>
                    </w:rPr>
                    <w:t>Canadian Empire Bank</w:t>
                  </w:r>
                </w:p>
              </w:tc>
            </w:tr>
            <w:tr w:rsidR="00AD0DAE" w14:paraId="7160FAFD" w14:textId="77777777" w:rsidTr="003262D8">
              <w:trPr>
                <w:jc w:val="center"/>
              </w:trPr>
              <w:tc>
                <w:tcPr>
                  <w:tcW w:w="2538" w:type="dxa"/>
                  <w:tcBorders>
                    <w:left w:val="nil"/>
                    <w:bottom w:val="nil"/>
                    <w:right w:val="nil"/>
                  </w:tcBorders>
                </w:tcPr>
                <w:p w14:paraId="40D3079C" w14:textId="77777777" w:rsidR="00AD0DAE" w:rsidRPr="001935C9" w:rsidRDefault="00AD0DAE" w:rsidP="00804DBB">
                  <w:pPr>
                    <w:jc w:val="both"/>
                    <w:rPr>
                      <w:rFonts w:ascii="Bookman Old Style" w:eastAsiaTheme="minorEastAsia" w:hAnsi="Bookman Old Style"/>
                      <w:sz w:val="20"/>
                    </w:rPr>
                  </w:pPr>
                  <w:r w:rsidRPr="001935C9">
                    <w:rPr>
                      <w:rFonts w:ascii="Bookman Old Style" w:eastAsiaTheme="minorEastAsia" w:hAnsi="Bookman Old Style"/>
                      <w:sz w:val="20"/>
                    </w:rPr>
                    <w:t>Variance (²)</w:t>
                  </w:r>
                </w:p>
              </w:tc>
              <w:tc>
                <w:tcPr>
                  <w:tcW w:w="2700" w:type="dxa"/>
                  <w:tcBorders>
                    <w:left w:val="nil"/>
                    <w:bottom w:val="nil"/>
                    <w:right w:val="nil"/>
                  </w:tcBorders>
                </w:tcPr>
                <w:p w14:paraId="7AD7B253" w14:textId="77777777" w:rsidR="00AD0DAE" w:rsidRPr="001935C9" w:rsidRDefault="003262D8" w:rsidP="00804DBB">
                  <w:pPr>
                    <w:jc w:val="both"/>
                    <w:rPr>
                      <w:rFonts w:ascii="Bookman Old Style" w:eastAsiaTheme="minorEastAsia" w:hAnsi="Bookman Old Style"/>
                      <w:sz w:val="20"/>
                    </w:rPr>
                  </w:pPr>
                  <m:oMathPara>
                    <m:oMath>
                      <m:f>
                        <m:fPr>
                          <m:ctrlPr>
                            <w:rPr>
                              <w:rFonts w:ascii="Cambria Math" w:eastAsiaTheme="minorEastAsia" w:hAnsi="Cambria Math"/>
                              <w:i/>
                              <w:sz w:val="20"/>
                            </w:rPr>
                          </m:ctrlPr>
                        </m:fPr>
                        <m:num>
                          <m:r>
                            <w:rPr>
                              <w:rFonts w:ascii="Cambria Math" w:eastAsiaTheme="minorEastAsia" w:hAnsi="Cambria Math"/>
                              <w:sz w:val="20"/>
                            </w:rPr>
                            <m:t>0.2675</m:t>
                          </m:r>
                        </m:num>
                        <m:den>
                          <m:r>
                            <w:rPr>
                              <w:rFonts w:ascii="Cambria Math" w:eastAsiaTheme="minorEastAsia" w:hAnsi="Cambria Math"/>
                              <w:sz w:val="20"/>
                            </w:rPr>
                            <m:t>3</m:t>
                          </m:r>
                        </m:den>
                      </m:f>
                      <m:r>
                        <w:rPr>
                          <w:rFonts w:ascii="Cambria Math" w:eastAsiaTheme="minorEastAsia" w:hAnsi="Cambria Math"/>
                          <w:sz w:val="20"/>
                        </w:rPr>
                        <m:t>=0.0892</m:t>
                      </m:r>
                    </m:oMath>
                  </m:oMathPara>
                </w:p>
              </w:tc>
              <w:tc>
                <w:tcPr>
                  <w:tcW w:w="2700" w:type="dxa"/>
                  <w:tcBorders>
                    <w:left w:val="nil"/>
                    <w:bottom w:val="nil"/>
                    <w:right w:val="nil"/>
                  </w:tcBorders>
                </w:tcPr>
                <w:p w14:paraId="3FE1255F" w14:textId="77777777" w:rsidR="00AD0DAE" w:rsidRPr="00AD0DAE" w:rsidRDefault="003262D8" w:rsidP="00804DBB">
                  <w:pPr>
                    <w:jc w:val="both"/>
                    <w:rPr>
                      <w:rFonts w:ascii="Bookman Old Style" w:eastAsiaTheme="minorEastAsia" w:hAnsi="Bookman Old Style"/>
                      <w:sz w:val="20"/>
                    </w:rPr>
                  </w:pPr>
                  <m:oMathPara>
                    <m:oMath>
                      <m:f>
                        <m:fPr>
                          <m:ctrlPr>
                            <w:rPr>
                              <w:rFonts w:ascii="Cambria Math" w:eastAsiaTheme="minorEastAsia" w:hAnsi="Cambria Math"/>
                              <w:i/>
                              <w:sz w:val="20"/>
                            </w:rPr>
                          </m:ctrlPr>
                        </m:fPr>
                        <m:num>
                          <m:r>
                            <w:rPr>
                              <w:rFonts w:ascii="Cambria Math" w:eastAsiaTheme="minorEastAsia" w:hAnsi="Cambria Math"/>
                              <w:sz w:val="20"/>
                            </w:rPr>
                            <m:t>0.0529</m:t>
                          </m:r>
                        </m:num>
                        <m:den>
                          <m:r>
                            <w:rPr>
                              <w:rFonts w:ascii="Cambria Math" w:eastAsiaTheme="minorEastAsia" w:hAnsi="Cambria Math"/>
                              <w:sz w:val="20"/>
                            </w:rPr>
                            <m:t>3</m:t>
                          </m:r>
                        </m:den>
                      </m:f>
                      <m:r>
                        <w:rPr>
                          <w:rFonts w:ascii="Cambria Math" w:eastAsiaTheme="minorEastAsia" w:hAnsi="Cambria Math"/>
                          <w:sz w:val="20"/>
                        </w:rPr>
                        <m:t>=0.0176</m:t>
                      </m:r>
                    </m:oMath>
                  </m:oMathPara>
                </w:p>
                <w:p w14:paraId="3B6373DF" w14:textId="77777777" w:rsidR="00AD0DAE" w:rsidRPr="001935C9" w:rsidRDefault="00AD0DAE" w:rsidP="00804DBB">
                  <w:pPr>
                    <w:jc w:val="both"/>
                    <w:rPr>
                      <w:rFonts w:ascii="Bookman Old Style" w:eastAsiaTheme="minorEastAsia" w:hAnsi="Bookman Old Style"/>
                      <w:sz w:val="20"/>
                    </w:rPr>
                  </w:pPr>
                </w:p>
              </w:tc>
            </w:tr>
            <w:tr w:rsidR="00AD0DAE" w14:paraId="2F7CD18B" w14:textId="77777777" w:rsidTr="003262D8">
              <w:trPr>
                <w:jc w:val="center"/>
              </w:trPr>
              <w:tc>
                <w:tcPr>
                  <w:tcW w:w="2538" w:type="dxa"/>
                  <w:tcBorders>
                    <w:top w:val="nil"/>
                    <w:left w:val="nil"/>
                    <w:right w:val="nil"/>
                  </w:tcBorders>
                </w:tcPr>
                <w:p w14:paraId="3089B8F7" w14:textId="77777777" w:rsidR="00AD0DAE" w:rsidRPr="001935C9" w:rsidRDefault="00AD0DAE" w:rsidP="00804DBB">
                  <w:pPr>
                    <w:jc w:val="both"/>
                    <w:rPr>
                      <w:rFonts w:ascii="Bookman Old Style" w:eastAsiaTheme="minorEastAsia" w:hAnsi="Bookman Old Style"/>
                      <w:sz w:val="20"/>
                    </w:rPr>
                  </w:pPr>
                  <w:r w:rsidRPr="001935C9">
                    <w:rPr>
                      <w:rFonts w:ascii="Bookman Old Style" w:eastAsiaTheme="minorEastAsia" w:hAnsi="Bookman Old Style"/>
                      <w:sz w:val="20"/>
                    </w:rPr>
                    <w:t>Standard Deviation ()</w:t>
                  </w:r>
                </w:p>
              </w:tc>
              <w:tc>
                <w:tcPr>
                  <w:tcW w:w="2700" w:type="dxa"/>
                  <w:tcBorders>
                    <w:top w:val="nil"/>
                    <w:left w:val="nil"/>
                    <w:right w:val="nil"/>
                  </w:tcBorders>
                </w:tcPr>
                <w:p w14:paraId="2E89BBB7" w14:textId="77777777" w:rsidR="00AD0DAE" w:rsidRPr="001935C9" w:rsidRDefault="003262D8" w:rsidP="00804DBB">
                  <w:pPr>
                    <w:jc w:val="both"/>
                    <w:rPr>
                      <w:rFonts w:ascii="Bookman Old Style" w:eastAsiaTheme="minorEastAsia" w:hAnsi="Bookman Old Style"/>
                      <w:sz w:val="20"/>
                    </w:rPr>
                  </w:pPr>
                  <m:oMathPara>
                    <m:oMath>
                      <m:rad>
                        <m:radPr>
                          <m:degHide m:val="1"/>
                          <m:ctrlPr>
                            <w:rPr>
                              <w:rFonts w:ascii="Cambria Math" w:eastAsiaTheme="minorEastAsia" w:hAnsi="Cambria Math"/>
                              <w:i/>
                              <w:sz w:val="20"/>
                            </w:rPr>
                          </m:ctrlPr>
                        </m:radPr>
                        <m:deg/>
                        <m:e>
                          <m:r>
                            <w:rPr>
                              <w:rFonts w:ascii="Cambria Math" w:eastAsiaTheme="minorEastAsia" w:hAnsi="Cambria Math"/>
                              <w:sz w:val="20"/>
                            </w:rPr>
                            <m:t>0.0892</m:t>
                          </m:r>
                        </m:e>
                      </m:rad>
                      <m:r>
                        <w:rPr>
                          <w:rFonts w:ascii="Cambria Math" w:eastAsiaTheme="minorEastAsia" w:hAnsi="Cambria Math"/>
                          <w:sz w:val="20"/>
                        </w:rPr>
                        <m:t>=0.2987</m:t>
                      </m:r>
                    </m:oMath>
                  </m:oMathPara>
                </w:p>
              </w:tc>
              <w:tc>
                <w:tcPr>
                  <w:tcW w:w="2700" w:type="dxa"/>
                  <w:tcBorders>
                    <w:top w:val="nil"/>
                    <w:left w:val="nil"/>
                    <w:right w:val="nil"/>
                  </w:tcBorders>
                </w:tcPr>
                <w:p w14:paraId="74F3291A" w14:textId="77777777" w:rsidR="00AD0DAE" w:rsidRPr="001935C9" w:rsidRDefault="003262D8" w:rsidP="00804DBB">
                  <w:pPr>
                    <w:jc w:val="both"/>
                    <w:rPr>
                      <w:rFonts w:ascii="Bookman Old Style" w:eastAsiaTheme="minorEastAsia" w:hAnsi="Bookman Old Style"/>
                      <w:sz w:val="20"/>
                    </w:rPr>
                  </w:pPr>
                  <m:oMathPara>
                    <m:oMath>
                      <m:rad>
                        <m:radPr>
                          <m:degHide m:val="1"/>
                          <m:ctrlPr>
                            <w:rPr>
                              <w:rFonts w:ascii="Cambria Math" w:eastAsiaTheme="minorEastAsia" w:hAnsi="Cambria Math"/>
                              <w:i/>
                              <w:sz w:val="20"/>
                            </w:rPr>
                          </m:ctrlPr>
                        </m:radPr>
                        <m:deg/>
                        <m:e>
                          <m:r>
                            <w:rPr>
                              <w:rFonts w:ascii="Cambria Math" w:eastAsiaTheme="minorEastAsia" w:hAnsi="Cambria Math"/>
                              <w:sz w:val="20"/>
                            </w:rPr>
                            <m:t>0.0176</m:t>
                          </m:r>
                        </m:e>
                      </m:rad>
                      <m:r>
                        <w:rPr>
                          <w:rFonts w:ascii="Cambria Math" w:eastAsiaTheme="minorEastAsia" w:hAnsi="Cambria Math"/>
                          <w:sz w:val="20"/>
                        </w:rPr>
                        <m:t>=0.1327</m:t>
                      </m:r>
                    </m:oMath>
                  </m:oMathPara>
                </w:p>
              </w:tc>
            </w:tr>
          </w:tbl>
          <w:p w14:paraId="627F8827" w14:textId="77777777" w:rsidR="00AD0DAE" w:rsidRDefault="00AD0DAE" w:rsidP="00804DBB">
            <w:pPr>
              <w:jc w:val="both"/>
              <w:rPr>
                <w:rFonts w:ascii="Bookman Old Style" w:eastAsiaTheme="minorEastAsia" w:hAnsi="Bookman Old Style"/>
              </w:rPr>
            </w:pPr>
          </w:p>
          <w:p w14:paraId="51972505" w14:textId="77777777" w:rsidR="00AD0DAE" w:rsidRPr="00AD0DAE" w:rsidRDefault="00AD0DAE" w:rsidP="00804DBB">
            <w:pPr>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i/>
              </w:rPr>
              <w:t>standard deviation</w:t>
            </w:r>
            <w:r>
              <w:rPr>
                <w:rFonts w:ascii="Bookman Old Style" w:eastAsiaTheme="minorEastAsia" w:hAnsi="Bookman Old Style"/>
                <w:b/>
              </w:rPr>
              <w:t xml:space="preserve"> </w:t>
            </w:r>
            <w:r>
              <w:rPr>
                <w:rFonts w:ascii="Bookman Old Style" w:eastAsiaTheme="minorEastAsia" w:hAnsi="Bookman Old Style"/>
              </w:rPr>
              <w:t xml:space="preserve">for Northern Radio Comm, 29.87% is a little more than twice Canadian Empire’s 13.27% - Northern Radio Comm is therefore the more </w:t>
            </w:r>
            <w:r>
              <w:rPr>
                <w:rFonts w:ascii="Bookman Old Style" w:eastAsiaTheme="minorEastAsia" w:hAnsi="Bookman Old Style"/>
                <w:u w:val="single"/>
              </w:rPr>
              <w:t>volatile</w:t>
            </w:r>
            <w:r>
              <w:rPr>
                <w:rFonts w:ascii="Bookman Old Style" w:eastAsiaTheme="minorEastAsia" w:hAnsi="Bookman Old Style"/>
              </w:rPr>
              <w:t xml:space="preserve"> investment.</w:t>
            </w:r>
          </w:p>
          <w:p w14:paraId="365851AC" w14:textId="77777777" w:rsidR="00AD0DAE" w:rsidRDefault="00AD0DAE" w:rsidP="00804DBB">
            <w:pPr>
              <w:jc w:val="both"/>
              <w:rPr>
                <w:rFonts w:ascii="Bookman Old Style" w:eastAsiaTheme="minorEastAsia" w:hAnsi="Bookman Old Style"/>
              </w:rPr>
            </w:pPr>
          </w:p>
        </w:tc>
      </w:tr>
    </w:tbl>
    <w:p w14:paraId="6D43325C" w14:textId="77777777" w:rsidR="006978AE" w:rsidRDefault="006978AE" w:rsidP="00804DBB">
      <w:pPr>
        <w:spacing w:after="0" w:line="240" w:lineRule="auto"/>
        <w:jc w:val="both"/>
        <w:rPr>
          <w:rFonts w:ascii="Bookman Old Style" w:eastAsiaTheme="minorEastAsia" w:hAnsi="Bookman Old Style"/>
        </w:rPr>
      </w:pPr>
    </w:p>
    <w:p w14:paraId="1F6CEC1B" w14:textId="77777777" w:rsidR="00AD0DAE" w:rsidRDefault="00AD0DAE" w:rsidP="00804DBB">
      <w:pPr>
        <w:spacing w:after="0" w:line="240" w:lineRule="auto"/>
        <w:jc w:val="both"/>
        <w:rPr>
          <w:rFonts w:ascii="Bookman Old Style" w:eastAsiaTheme="minorEastAsia" w:hAnsi="Bookman Old Style"/>
        </w:rPr>
      </w:pPr>
    </w:p>
    <w:p w14:paraId="30AA8926" w14:textId="195C3945" w:rsidR="00AD0DAE" w:rsidRDefault="00AD0DAE"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THE HISTORICAL RECORD</w:t>
      </w:r>
    </w:p>
    <w:p w14:paraId="020DC3F8" w14:textId="443E2448" w:rsidR="00AD0DAE" w:rsidRDefault="00AD0DAE" w:rsidP="00804DBB">
      <w:pPr>
        <w:spacing w:after="0" w:line="240" w:lineRule="auto"/>
        <w:jc w:val="both"/>
        <w:rPr>
          <w:rFonts w:ascii="Bookman Old Style" w:eastAsiaTheme="minorEastAsia" w:hAnsi="Bookman Old Style"/>
        </w:rPr>
      </w:pPr>
      <w:r>
        <w:rPr>
          <w:rFonts w:ascii="Bookman Old Style" w:eastAsiaTheme="minorEastAsia" w:hAnsi="Bookman Old Style"/>
        </w:rPr>
        <w:t>The following table summarizes most of the discussion of capital market history so far. It shows us the average returns and standard deviations of annual returns.</w:t>
      </w:r>
    </w:p>
    <w:p w14:paraId="22F8F790" w14:textId="77777777" w:rsidR="00AD0DAE" w:rsidRDefault="00AD0DAE" w:rsidP="00804DBB">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3192"/>
        <w:gridCol w:w="3486"/>
        <w:gridCol w:w="2898"/>
      </w:tblGrid>
      <w:tr w:rsidR="00AD0DAE" w14:paraId="40C8DF05" w14:textId="77777777" w:rsidTr="00AD0DAE">
        <w:tc>
          <w:tcPr>
            <w:tcW w:w="9576" w:type="dxa"/>
            <w:gridSpan w:val="3"/>
            <w:tcBorders>
              <w:top w:val="nil"/>
              <w:left w:val="nil"/>
              <w:bottom w:val="nil"/>
              <w:right w:val="nil"/>
            </w:tcBorders>
          </w:tcPr>
          <w:p w14:paraId="04EE308A" w14:textId="1B3FA609" w:rsidR="00AD0DAE" w:rsidRPr="00AD0DAE" w:rsidRDefault="00AD0DAE" w:rsidP="00804DBB">
            <w:pPr>
              <w:jc w:val="center"/>
              <w:rPr>
                <w:rFonts w:ascii="Bookman Old Style" w:eastAsiaTheme="minorEastAsia" w:hAnsi="Bookman Old Style"/>
                <w:b/>
                <w:sz w:val="20"/>
                <w:u w:val="single"/>
              </w:rPr>
            </w:pPr>
            <w:r w:rsidRPr="00AD0DAE">
              <w:rPr>
                <w:rFonts w:ascii="Bookman Old Style" w:eastAsiaTheme="minorEastAsia" w:hAnsi="Bookman Old Style"/>
                <w:b/>
                <w:sz w:val="20"/>
                <w:u w:val="single"/>
              </w:rPr>
              <w:t>Historical Returns &amp; Standard Deviations, 1957-2011</w:t>
            </w:r>
          </w:p>
        </w:tc>
      </w:tr>
      <w:tr w:rsidR="00AD0DAE" w14:paraId="1493CA1D" w14:textId="77777777" w:rsidTr="00AD0DAE">
        <w:tc>
          <w:tcPr>
            <w:tcW w:w="3192" w:type="dxa"/>
            <w:tcBorders>
              <w:top w:val="nil"/>
              <w:left w:val="nil"/>
              <w:bottom w:val="single" w:sz="4" w:space="0" w:color="auto"/>
              <w:right w:val="nil"/>
            </w:tcBorders>
          </w:tcPr>
          <w:p w14:paraId="7520A831" w14:textId="73D16CF3" w:rsidR="00AD0DAE" w:rsidRPr="00AD0DAE" w:rsidRDefault="00AD0DAE" w:rsidP="00804DBB">
            <w:pPr>
              <w:jc w:val="center"/>
              <w:rPr>
                <w:rFonts w:ascii="Bookman Old Style" w:eastAsiaTheme="minorEastAsia" w:hAnsi="Bookman Old Style"/>
                <w:b/>
                <w:sz w:val="20"/>
              </w:rPr>
            </w:pPr>
            <w:r w:rsidRPr="00AD0DAE">
              <w:rPr>
                <w:rFonts w:ascii="Bookman Old Style" w:eastAsiaTheme="minorEastAsia" w:hAnsi="Bookman Old Style"/>
                <w:b/>
                <w:sz w:val="20"/>
              </w:rPr>
              <w:t>Investment</w:t>
            </w:r>
          </w:p>
        </w:tc>
        <w:tc>
          <w:tcPr>
            <w:tcW w:w="3486" w:type="dxa"/>
            <w:tcBorders>
              <w:top w:val="nil"/>
              <w:left w:val="nil"/>
              <w:bottom w:val="single" w:sz="4" w:space="0" w:color="auto"/>
              <w:right w:val="nil"/>
            </w:tcBorders>
          </w:tcPr>
          <w:p w14:paraId="00E156CB" w14:textId="444DA3A2" w:rsidR="00AD0DAE" w:rsidRPr="00AD0DAE" w:rsidRDefault="00AD0DAE" w:rsidP="00804DBB">
            <w:pPr>
              <w:jc w:val="center"/>
              <w:rPr>
                <w:rFonts w:ascii="Bookman Old Style" w:eastAsiaTheme="minorEastAsia" w:hAnsi="Bookman Old Style"/>
                <w:b/>
                <w:sz w:val="20"/>
              </w:rPr>
            </w:pPr>
            <w:r w:rsidRPr="00AD0DAE">
              <w:rPr>
                <w:rFonts w:ascii="Bookman Old Style" w:eastAsiaTheme="minorEastAsia" w:hAnsi="Bookman Old Style"/>
                <w:b/>
                <w:sz w:val="20"/>
              </w:rPr>
              <w:t>Arithmetic Average Return (%)</w:t>
            </w:r>
          </w:p>
        </w:tc>
        <w:tc>
          <w:tcPr>
            <w:tcW w:w="2898" w:type="dxa"/>
            <w:tcBorders>
              <w:top w:val="nil"/>
              <w:left w:val="nil"/>
              <w:bottom w:val="single" w:sz="4" w:space="0" w:color="auto"/>
              <w:right w:val="nil"/>
            </w:tcBorders>
          </w:tcPr>
          <w:p w14:paraId="5FCB47F1" w14:textId="718B5358" w:rsidR="00AD0DAE" w:rsidRPr="00AD0DAE" w:rsidRDefault="00AD0DAE" w:rsidP="00804DBB">
            <w:pPr>
              <w:jc w:val="center"/>
              <w:rPr>
                <w:rFonts w:ascii="Bookman Old Style" w:eastAsiaTheme="minorEastAsia" w:hAnsi="Bookman Old Style"/>
                <w:b/>
                <w:sz w:val="20"/>
              </w:rPr>
            </w:pPr>
            <w:r w:rsidRPr="00AD0DAE">
              <w:rPr>
                <w:rFonts w:ascii="Bookman Old Style" w:eastAsiaTheme="minorEastAsia" w:hAnsi="Bookman Old Style"/>
                <w:b/>
                <w:sz w:val="20"/>
              </w:rPr>
              <w:t>Standard Deviation (%)</w:t>
            </w:r>
          </w:p>
        </w:tc>
      </w:tr>
      <w:tr w:rsidR="00AD0DAE" w14:paraId="61FED45E" w14:textId="77777777" w:rsidTr="00AD0DAE">
        <w:tc>
          <w:tcPr>
            <w:tcW w:w="3192" w:type="dxa"/>
            <w:tcBorders>
              <w:left w:val="nil"/>
              <w:bottom w:val="nil"/>
              <w:right w:val="nil"/>
            </w:tcBorders>
          </w:tcPr>
          <w:p w14:paraId="04BD6626" w14:textId="09093A7A" w:rsidR="00AD0DAE" w:rsidRPr="00AD0DAE" w:rsidRDefault="00AD0DAE" w:rsidP="00804DBB">
            <w:pPr>
              <w:jc w:val="both"/>
              <w:rPr>
                <w:rFonts w:ascii="Bookman Old Style" w:eastAsiaTheme="minorEastAsia" w:hAnsi="Bookman Old Style"/>
                <w:sz w:val="20"/>
              </w:rPr>
            </w:pPr>
            <w:r w:rsidRPr="00AD0DAE">
              <w:rPr>
                <w:rFonts w:ascii="Bookman Old Style" w:eastAsiaTheme="minorEastAsia" w:hAnsi="Bookman Old Style"/>
                <w:sz w:val="20"/>
              </w:rPr>
              <w:t>Canadian common stocks</w:t>
            </w:r>
          </w:p>
        </w:tc>
        <w:tc>
          <w:tcPr>
            <w:tcW w:w="3486" w:type="dxa"/>
            <w:tcBorders>
              <w:left w:val="nil"/>
              <w:bottom w:val="nil"/>
              <w:right w:val="nil"/>
            </w:tcBorders>
          </w:tcPr>
          <w:p w14:paraId="71046857" w14:textId="42151630"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10.45</w:t>
            </w:r>
          </w:p>
        </w:tc>
        <w:tc>
          <w:tcPr>
            <w:tcW w:w="2898" w:type="dxa"/>
            <w:tcBorders>
              <w:left w:val="nil"/>
              <w:bottom w:val="nil"/>
              <w:right w:val="nil"/>
            </w:tcBorders>
          </w:tcPr>
          <w:p w14:paraId="5123B5B5" w14:textId="3E010E4C"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16.93</w:t>
            </w:r>
          </w:p>
        </w:tc>
      </w:tr>
      <w:tr w:rsidR="00AD0DAE" w14:paraId="6CC96B47" w14:textId="77777777" w:rsidTr="00AD0DAE">
        <w:tc>
          <w:tcPr>
            <w:tcW w:w="3192" w:type="dxa"/>
            <w:tcBorders>
              <w:top w:val="nil"/>
              <w:left w:val="nil"/>
              <w:bottom w:val="nil"/>
              <w:right w:val="nil"/>
            </w:tcBorders>
          </w:tcPr>
          <w:p w14:paraId="5A60D076" w14:textId="3D6E1EAF" w:rsidR="00AD0DAE" w:rsidRPr="00AD0DAE" w:rsidRDefault="00AD0DAE" w:rsidP="00804DBB">
            <w:pPr>
              <w:jc w:val="both"/>
              <w:rPr>
                <w:rFonts w:ascii="Bookman Old Style" w:eastAsiaTheme="minorEastAsia" w:hAnsi="Bookman Old Style"/>
                <w:sz w:val="20"/>
              </w:rPr>
            </w:pPr>
            <w:r w:rsidRPr="00AD0DAE">
              <w:rPr>
                <w:rFonts w:ascii="Bookman Old Style" w:eastAsiaTheme="minorEastAsia" w:hAnsi="Bookman Old Style"/>
                <w:sz w:val="20"/>
              </w:rPr>
              <w:t>US common stocks (CAD$)</w:t>
            </w:r>
          </w:p>
        </w:tc>
        <w:tc>
          <w:tcPr>
            <w:tcW w:w="3486" w:type="dxa"/>
            <w:tcBorders>
              <w:top w:val="nil"/>
              <w:left w:val="nil"/>
              <w:bottom w:val="nil"/>
              <w:right w:val="nil"/>
            </w:tcBorders>
          </w:tcPr>
          <w:p w14:paraId="4F2A1256" w14:textId="449BF4FE"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11.07</w:t>
            </w:r>
          </w:p>
        </w:tc>
        <w:tc>
          <w:tcPr>
            <w:tcW w:w="2898" w:type="dxa"/>
            <w:tcBorders>
              <w:top w:val="nil"/>
              <w:left w:val="nil"/>
              <w:bottom w:val="nil"/>
              <w:right w:val="nil"/>
            </w:tcBorders>
          </w:tcPr>
          <w:p w14:paraId="1C0E546C" w14:textId="2E1290D0"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16.95</w:t>
            </w:r>
          </w:p>
        </w:tc>
      </w:tr>
      <w:tr w:rsidR="00AD0DAE" w14:paraId="1D051A05" w14:textId="77777777" w:rsidTr="00AD0DAE">
        <w:tc>
          <w:tcPr>
            <w:tcW w:w="3192" w:type="dxa"/>
            <w:tcBorders>
              <w:top w:val="nil"/>
              <w:left w:val="nil"/>
              <w:bottom w:val="nil"/>
              <w:right w:val="nil"/>
            </w:tcBorders>
          </w:tcPr>
          <w:p w14:paraId="2D6648A9" w14:textId="67C3ED62" w:rsidR="00AD0DAE" w:rsidRPr="00AD0DAE" w:rsidRDefault="00AD0DAE" w:rsidP="00804DBB">
            <w:pPr>
              <w:jc w:val="both"/>
              <w:rPr>
                <w:rFonts w:ascii="Bookman Old Style" w:eastAsiaTheme="minorEastAsia" w:hAnsi="Bookman Old Style"/>
                <w:sz w:val="20"/>
              </w:rPr>
            </w:pPr>
            <w:r w:rsidRPr="00AD0DAE">
              <w:rPr>
                <w:rFonts w:ascii="Bookman Old Style" w:eastAsiaTheme="minorEastAsia" w:hAnsi="Bookman Old Style"/>
                <w:sz w:val="20"/>
              </w:rPr>
              <w:t>Long bonds</w:t>
            </w:r>
          </w:p>
        </w:tc>
        <w:tc>
          <w:tcPr>
            <w:tcW w:w="3486" w:type="dxa"/>
            <w:tcBorders>
              <w:top w:val="nil"/>
              <w:left w:val="nil"/>
              <w:bottom w:val="nil"/>
              <w:right w:val="nil"/>
            </w:tcBorders>
          </w:tcPr>
          <w:p w14:paraId="47FE3A7C" w14:textId="6276B1F3"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8.74</w:t>
            </w:r>
          </w:p>
        </w:tc>
        <w:tc>
          <w:tcPr>
            <w:tcW w:w="2898" w:type="dxa"/>
            <w:tcBorders>
              <w:top w:val="nil"/>
              <w:left w:val="nil"/>
              <w:bottom w:val="nil"/>
              <w:right w:val="nil"/>
            </w:tcBorders>
          </w:tcPr>
          <w:p w14:paraId="7F167EA2" w14:textId="7E959FF3"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9.75</w:t>
            </w:r>
          </w:p>
        </w:tc>
      </w:tr>
      <w:tr w:rsidR="00AD0DAE" w14:paraId="4F1D15A4" w14:textId="77777777" w:rsidTr="00AD0DAE">
        <w:tc>
          <w:tcPr>
            <w:tcW w:w="3192" w:type="dxa"/>
            <w:tcBorders>
              <w:top w:val="nil"/>
              <w:left w:val="nil"/>
              <w:bottom w:val="nil"/>
              <w:right w:val="nil"/>
            </w:tcBorders>
          </w:tcPr>
          <w:p w14:paraId="48F96D40" w14:textId="29D41443" w:rsidR="00AD0DAE" w:rsidRPr="00AD0DAE" w:rsidRDefault="00AD0DAE" w:rsidP="00804DBB">
            <w:pPr>
              <w:jc w:val="both"/>
              <w:rPr>
                <w:rFonts w:ascii="Bookman Old Style" w:eastAsiaTheme="minorEastAsia" w:hAnsi="Bookman Old Style"/>
                <w:sz w:val="20"/>
              </w:rPr>
            </w:pPr>
            <w:r w:rsidRPr="00AD0DAE">
              <w:rPr>
                <w:rFonts w:ascii="Bookman Old Style" w:eastAsiaTheme="minorEastAsia" w:hAnsi="Bookman Old Style"/>
                <w:sz w:val="20"/>
              </w:rPr>
              <w:t>Small stocks</w:t>
            </w:r>
          </w:p>
        </w:tc>
        <w:tc>
          <w:tcPr>
            <w:tcW w:w="3486" w:type="dxa"/>
            <w:tcBorders>
              <w:top w:val="nil"/>
              <w:left w:val="nil"/>
              <w:bottom w:val="nil"/>
              <w:right w:val="nil"/>
            </w:tcBorders>
          </w:tcPr>
          <w:p w14:paraId="23E11541" w14:textId="481A2675"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13.71</w:t>
            </w:r>
          </w:p>
        </w:tc>
        <w:tc>
          <w:tcPr>
            <w:tcW w:w="2898" w:type="dxa"/>
            <w:tcBorders>
              <w:top w:val="nil"/>
              <w:left w:val="nil"/>
              <w:bottom w:val="nil"/>
              <w:right w:val="nil"/>
            </w:tcBorders>
          </w:tcPr>
          <w:p w14:paraId="0CF932C3" w14:textId="2E42215C"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26.65</w:t>
            </w:r>
          </w:p>
        </w:tc>
      </w:tr>
      <w:tr w:rsidR="00AD0DAE" w14:paraId="320A3414" w14:textId="77777777" w:rsidTr="00AD0DAE">
        <w:tc>
          <w:tcPr>
            <w:tcW w:w="3192" w:type="dxa"/>
            <w:tcBorders>
              <w:top w:val="nil"/>
              <w:left w:val="nil"/>
              <w:bottom w:val="nil"/>
              <w:right w:val="nil"/>
            </w:tcBorders>
          </w:tcPr>
          <w:p w14:paraId="4F28ECBE" w14:textId="4C7CC413" w:rsidR="00AD0DAE" w:rsidRPr="00AD0DAE" w:rsidRDefault="00AD0DAE" w:rsidP="00804DBB">
            <w:pPr>
              <w:jc w:val="both"/>
              <w:rPr>
                <w:rFonts w:ascii="Bookman Old Style" w:eastAsiaTheme="minorEastAsia" w:hAnsi="Bookman Old Style"/>
                <w:sz w:val="20"/>
              </w:rPr>
            </w:pPr>
            <w:r w:rsidRPr="00AD0DAE">
              <w:rPr>
                <w:rFonts w:ascii="Bookman Old Style" w:eastAsiaTheme="minorEastAsia" w:hAnsi="Bookman Old Style"/>
                <w:sz w:val="20"/>
              </w:rPr>
              <w:t>TSX Venture stocks</w:t>
            </w:r>
          </w:p>
        </w:tc>
        <w:tc>
          <w:tcPr>
            <w:tcW w:w="3486" w:type="dxa"/>
            <w:tcBorders>
              <w:top w:val="nil"/>
              <w:left w:val="nil"/>
              <w:bottom w:val="nil"/>
              <w:right w:val="nil"/>
            </w:tcBorders>
          </w:tcPr>
          <w:p w14:paraId="700F112F" w14:textId="697ADA73"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15.68</w:t>
            </w:r>
          </w:p>
        </w:tc>
        <w:tc>
          <w:tcPr>
            <w:tcW w:w="2898" w:type="dxa"/>
            <w:tcBorders>
              <w:top w:val="nil"/>
              <w:left w:val="nil"/>
              <w:bottom w:val="nil"/>
              <w:right w:val="nil"/>
            </w:tcBorders>
          </w:tcPr>
          <w:p w14:paraId="0D1321F4" w14:textId="291B6DE8"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47.65</w:t>
            </w:r>
          </w:p>
        </w:tc>
      </w:tr>
      <w:tr w:rsidR="00AD0DAE" w14:paraId="7220AEB9" w14:textId="77777777" w:rsidTr="00AD0DAE">
        <w:tc>
          <w:tcPr>
            <w:tcW w:w="3192" w:type="dxa"/>
            <w:tcBorders>
              <w:top w:val="nil"/>
              <w:left w:val="nil"/>
              <w:bottom w:val="nil"/>
              <w:right w:val="nil"/>
            </w:tcBorders>
          </w:tcPr>
          <w:p w14:paraId="77383E3E" w14:textId="6ADBDBC7" w:rsidR="00AD0DAE" w:rsidRPr="00AD0DAE" w:rsidRDefault="00AD0DAE" w:rsidP="00804DBB">
            <w:pPr>
              <w:jc w:val="both"/>
              <w:rPr>
                <w:rFonts w:ascii="Bookman Old Style" w:eastAsiaTheme="minorEastAsia" w:hAnsi="Bookman Old Style"/>
                <w:sz w:val="20"/>
              </w:rPr>
            </w:pPr>
            <w:r w:rsidRPr="00AD0DAE">
              <w:rPr>
                <w:rFonts w:ascii="Bookman Old Style" w:eastAsiaTheme="minorEastAsia" w:hAnsi="Bookman Old Style"/>
                <w:sz w:val="20"/>
              </w:rPr>
              <w:t>Inflation</w:t>
            </w:r>
          </w:p>
        </w:tc>
        <w:tc>
          <w:tcPr>
            <w:tcW w:w="3486" w:type="dxa"/>
            <w:tcBorders>
              <w:top w:val="nil"/>
              <w:left w:val="nil"/>
              <w:bottom w:val="nil"/>
              <w:right w:val="nil"/>
            </w:tcBorders>
          </w:tcPr>
          <w:p w14:paraId="43B8D79F" w14:textId="0F8B42C7"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3.95</w:t>
            </w:r>
          </w:p>
        </w:tc>
        <w:tc>
          <w:tcPr>
            <w:tcW w:w="2898" w:type="dxa"/>
            <w:tcBorders>
              <w:top w:val="nil"/>
              <w:left w:val="nil"/>
              <w:bottom w:val="nil"/>
              <w:right w:val="nil"/>
            </w:tcBorders>
          </w:tcPr>
          <w:p w14:paraId="2534B56C" w14:textId="11740497"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3.13</w:t>
            </w:r>
          </w:p>
        </w:tc>
      </w:tr>
      <w:tr w:rsidR="00AD0DAE" w14:paraId="61FD8196" w14:textId="77777777" w:rsidTr="00AD0DAE">
        <w:tc>
          <w:tcPr>
            <w:tcW w:w="3192" w:type="dxa"/>
            <w:tcBorders>
              <w:top w:val="nil"/>
              <w:left w:val="nil"/>
              <w:right w:val="nil"/>
            </w:tcBorders>
          </w:tcPr>
          <w:p w14:paraId="332A2B75" w14:textId="2AE0D525" w:rsidR="00AD0DAE" w:rsidRPr="00AD0DAE" w:rsidRDefault="00AD0DAE" w:rsidP="00804DBB">
            <w:pPr>
              <w:jc w:val="both"/>
              <w:rPr>
                <w:rFonts w:ascii="Bookman Old Style" w:eastAsiaTheme="minorEastAsia" w:hAnsi="Bookman Old Style"/>
                <w:sz w:val="20"/>
              </w:rPr>
            </w:pPr>
            <w:r w:rsidRPr="00AD0DAE">
              <w:rPr>
                <w:rFonts w:ascii="Bookman Old Style" w:eastAsiaTheme="minorEastAsia" w:hAnsi="Bookman Old Style"/>
                <w:sz w:val="20"/>
              </w:rPr>
              <w:t>Treasury bills</w:t>
            </w:r>
          </w:p>
        </w:tc>
        <w:tc>
          <w:tcPr>
            <w:tcW w:w="3486" w:type="dxa"/>
            <w:tcBorders>
              <w:top w:val="nil"/>
              <w:left w:val="nil"/>
              <w:right w:val="nil"/>
            </w:tcBorders>
          </w:tcPr>
          <w:p w14:paraId="73D200F7" w14:textId="0E5DC070"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6.15</w:t>
            </w:r>
          </w:p>
        </w:tc>
        <w:tc>
          <w:tcPr>
            <w:tcW w:w="2898" w:type="dxa"/>
            <w:tcBorders>
              <w:top w:val="nil"/>
              <w:left w:val="nil"/>
              <w:right w:val="nil"/>
            </w:tcBorders>
          </w:tcPr>
          <w:p w14:paraId="5A7BFF49" w14:textId="3DAC53EA" w:rsidR="00AD0DAE" w:rsidRPr="00AD0DAE" w:rsidRDefault="00AD0DAE" w:rsidP="00804DBB">
            <w:pPr>
              <w:jc w:val="center"/>
              <w:rPr>
                <w:rFonts w:ascii="Bookman Old Style" w:eastAsiaTheme="minorEastAsia" w:hAnsi="Bookman Old Style"/>
                <w:sz w:val="20"/>
              </w:rPr>
            </w:pPr>
            <w:r w:rsidRPr="00AD0DAE">
              <w:rPr>
                <w:rFonts w:ascii="Bookman Old Style" w:eastAsiaTheme="minorEastAsia" w:hAnsi="Bookman Old Style"/>
                <w:sz w:val="20"/>
              </w:rPr>
              <w:t>3.75</w:t>
            </w:r>
          </w:p>
        </w:tc>
      </w:tr>
    </w:tbl>
    <w:p w14:paraId="1F02B740" w14:textId="77777777" w:rsidR="00AD0DAE" w:rsidRDefault="00AD0DAE" w:rsidP="00804DBB">
      <w:pPr>
        <w:spacing w:after="0" w:line="240" w:lineRule="auto"/>
        <w:jc w:val="both"/>
        <w:rPr>
          <w:rFonts w:ascii="Bookman Old Style" w:eastAsiaTheme="minorEastAsia" w:hAnsi="Bookman Old Style"/>
        </w:rPr>
      </w:pPr>
    </w:p>
    <w:p w14:paraId="471CC52F" w14:textId="5E9A030E" w:rsidR="00AD0DAE" w:rsidRDefault="00AD0DAE" w:rsidP="00804DBB">
      <w:pPr>
        <w:spacing w:after="0" w:line="240" w:lineRule="auto"/>
        <w:jc w:val="both"/>
        <w:rPr>
          <w:rFonts w:ascii="Bookman Old Style" w:eastAsiaTheme="minorEastAsia" w:hAnsi="Bookman Old Style"/>
        </w:rPr>
      </w:pPr>
      <w:r>
        <w:rPr>
          <w:rFonts w:ascii="Bookman Old Style" w:eastAsiaTheme="minorEastAsia" w:hAnsi="Bookman Old Style"/>
        </w:rPr>
        <w:t>We use a spreadsheet to calculate these standard deviations (STDEV)</w:t>
      </w:r>
    </w:p>
    <w:p w14:paraId="7A6F839E" w14:textId="77777777" w:rsidR="00B86ED0" w:rsidRDefault="00B86ED0" w:rsidP="00804DBB">
      <w:pPr>
        <w:spacing w:after="0" w:line="240" w:lineRule="auto"/>
        <w:jc w:val="both"/>
        <w:rPr>
          <w:rFonts w:ascii="Bookman Old Style" w:eastAsiaTheme="minorEastAsia" w:hAnsi="Bookman Old Style"/>
        </w:rPr>
      </w:pPr>
    </w:p>
    <w:p w14:paraId="23193FCF" w14:textId="77777777" w:rsidR="00B86ED0" w:rsidRDefault="00B86ED0" w:rsidP="00804DBB">
      <w:pPr>
        <w:spacing w:after="0" w:line="240" w:lineRule="auto"/>
        <w:jc w:val="both"/>
        <w:rPr>
          <w:rFonts w:ascii="Bookman Old Style" w:eastAsiaTheme="minorEastAsia" w:hAnsi="Bookman Old Style"/>
        </w:rPr>
      </w:pPr>
    </w:p>
    <w:p w14:paraId="1AB1A1F9" w14:textId="77777777" w:rsidR="00B86ED0" w:rsidRDefault="00B86ED0" w:rsidP="00804DBB">
      <w:pPr>
        <w:spacing w:after="0" w:line="240" w:lineRule="auto"/>
        <w:jc w:val="both"/>
        <w:rPr>
          <w:rFonts w:ascii="Bookman Old Style" w:eastAsiaTheme="minorEastAsia" w:hAnsi="Bookman Old Style"/>
        </w:rPr>
      </w:pPr>
    </w:p>
    <w:p w14:paraId="2B9F82A8" w14:textId="77777777" w:rsidR="00B86ED0" w:rsidRDefault="00B86ED0" w:rsidP="00804DBB">
      <w:pPr>
        <w:spacing w:after="0" w:line="240" w:lineRule="auto"/>
        <w:jc w:val="both"/>
        <w:rPr>
          <w:rFonts w:ascii="Bookman Old Style" w:eastAsiaTheme="minorEastAsia" w:hAnsi="Bookman Old Style"/>
        </w:rPr>
      </w:pPr>
    </w:p>
    <w:tbl>
      <w:tblPr>
        <w:tblStyle w:val="TableGrid"/>
        <w:tblW w:w="0" w:type="auto"/>
        <w:tblBorders>
          <w:top w:val="threeDEngrave" w:sz="24" w:space="0" w:color="auto"/>
          <w:left w:val="threeDEngrave" w:sz="24" w:space="0" w:color="auto"/>
          <w:bottom w:val="threeDEngrave" w:sz="24" w:space="0" w:color="auto"/>
          <w:right w:val="threeDEngrave" w:sz="24" w:space="0" w:color="auto"/>
          <w:insideH w:val="threeDEngrave" w:sz="24" w:space="0" w:color="auto"/>
          <w:insideV w:val="threeDEngrave" w:sz="24" w:space="0" w:color="auto"/>
        </w:tblBorders>
        <w:tblLook w:val="04A0" w:firstRow="1" w:lastRow="0" w:firstColumn="1" w:lastColumn="0" w:noHBand="0" w:noVBand="1"/>
      </w:tblPr>
      <w:tblGrid>
        <w:gridCol w:w="9576"/>
      </w:tblGrid>
      <w:tr w:rsidR="00666B7D" w14:paraId="1092F87F" w14:textId="77777777" w:rsidTr="00666B7D">
        <w:tc>
          <w:tcPr>
            <w:tcW w:w="9576" w:type="dxa"/>
          </w:tcPr>
          <w:p w14:paraId="7153E00C" w14:textId="77777777" w:rsidR="00666B7D" w:rsidRDefault="00666B7D" w:rsidP="00804DBB">
            <w:pPr>
              <w:jc w:val="both"/>
              <w:rPr>
                <w:rFonts w:ascii="Bookman Old Style" w:eastAsiaTheme="minorEastAsia" w:hAnsi="Bookman Old Style"/>
              </w:rPr>
            </w:pPr>
          </w:p>
          <w:p w14:paraId="39C72A3D" w14:textId="77777777" w:rsidR="00666B7D" w:rsidRDefault="00666B7D" w:rsidP="00804DBB">
            <w:pPr>
              <w:jc w:val="center"/>
              <w:rPr>
                <w:rFonts w:ascii="Bookman Old Style" w:eastAsiaTheme="minorEastAsia" w:hAnsi="Bookman Old Style"/>
                <w:b/>
                <w:u w:val="single"/>
              </w:rPr>
            </w:pPr>
            <w:r>
              <w:rPr>
                <w:rFonts w:ascii="Bookman Old Style" w:eastAsiaTheme="minorEastAsia" w:hAnsi="Bookman Old Style"/>
                <w:b/>
                <w:u w:val="single"/>
              </w:rPr>
              <w:t>Finding Standard Deviation (s) &amp; Mean (x)</w:t>
            </w:r>
          </w:p>
          <w:p w14:paraId="28AC45FF" w14:textId="77777777" w:rsidR="00666B7D" w:rsidRDefault="00666B7D" w:rsidP="00804DBB">
            <w:pPr>
              <w:jc w:val="center"/>
              <w:rPr>
                <w:rFonts w:ascii="Bookman Old Style" w:eastAsiaTheme="minorEastAsia" w:hAnsi="Bookman Old Style"/>
                <w:b/>
                <w:u w:val="single"/>
              </w:rPr>
            </w:pPr>
            <w:r>
              <w:rPr>
                <w:rFonts w:ascii="Bookman Old Style" w:eastAsiaTheme="minorEastAsia" w:hAnsi="Bookman Old Style"/>
                <w:b/>
                <w:u w:val="single"/>
              </w:rPr>
              <w:t>Using Financial Calculator</w:t>
            </w:r>
          </w:p>
          <w:p w14:paraId="74060753" w14:textId="77777777" w:rsidR="00666B7D" w:rsidRDefault="00666B7D" w:rsidP="00804DBB">
            <w:pPr>
              <w:jc w:val="center"/>
              <w:rPr>
                <w:rFonts w:ascii="Bookman Old Style" w:eastAsiaTheme="minorEastAsia" w:hAnsi="Bookman Old Style"/>
                <w:b/>
                <w:u w:val="single"/>
              </w:rPr>
            </w:pPr>
          </w:p>
          <w:p w14:paraId="2653E421" w14:textId="77777777" w:rsidR="00666B7D" w:rsidRDefault="00666B7D" w:rsidP="00804DBB">
            <w:pPr>
              <w:jc w:val="both"/>
              <w:rPr>
                <w:rFonts w:ascii="Bookman Old Style" w:eastAsiaTheme="minorEastAsia" w:hAnsi="Bookman Old Style"/>
              </w:rPr>
            </w:pPr>
            <w:r>
              <w:rPr>
                <w:rFonts w:ascii="Bookman Old Style" w:eastAsiaTheme="minorEastAsia" w:hAnsi="Bookman Old Style"/>
              </w:rPr>
              <w:t>Our last example (above) can be solved using a financial calculator by doing the following:</w:t>
            </w:r>
          </w:p>
          <w:p w14:paraId="34FABC17" w14:textId="77777777" w:rsidR="00666B7D" w:rsidRDefault="00666B7D" w:rsidP="00804DBB">
            <w:pPr>
              <w:jc w:val="both"/>
              <w:rPr>
                <w:rFonts w:ascii="Bookman Old Style" w:eastAsiaTheme="minorEastAsia" w:hAnsi="Bookman Old Style"/>
              </w:rPr>
            </w:pPr>
            <w:r>
              <w:rPr>
                <w:rFonts w:ascii="Bookman Old Style" w:eastAsiaTheme="minorEastAsia" w:hAnsi="Bookman Old Style"/>
              </w:rPr>
              <w:t>Clear any previous data:</w:t>
            </w:r>
          </w:p>
          <w:p w14:paraId="120E876A" w14:textId="77777777" w:rsidR="00666B7D" w:rsidRDefault="00666B7D" w:rsidP="00804DBB">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5058"/>
              <w:gridCol w:w="2880"/>
            </w:tblGrid>
            <w:tr w:rsidR="00666B7D" w14:paraId="7DCD1727" w14:textId="77777777" w:rsidTr="003262D8">
              <w:trPr>
                <w:jc w:val="center"/>
              </w:trPr>
              <w:tc>
                <w:tcPr>
                  <w:tcW w:w="5058" w:type="dxa"/>
                  <w:tcBorders>
                    <w:top w:val="nil"/>
                    <w:left w:val="nil"/>
                    <w:bottom w:val="single" w:sz="4" w:space="0" w:color="auto"/>
                    <w:right w:val="nil"/>
                  </w:tcBorders>
                </w:tcPr>
                <w:p w14:paraId="526DA4CE" w14:textId="77777777" w:rsidR="00666B7D" w:rsidRPr="00B86ED0" w:rsidRDefault="00666B7D" w:rsidP="00804DBB">
                  <w:pPr>
                    <w:jc w:val="center"/>
                    <w:rPr>
                      <w:rFonts w:ascii="Bookman Old Style" w:eastAsiaTheme="minorEastAsia" w:hAnsi="Bookman Old Style"/>
                      <w:b/>
                      <w:sz w:val="20"/>
                    </w:rPr>
                  </w:pPr>
                  <w:r w:rsidRPr="00B86ED0">
                    <w:rPr>
                      <w:rFonts w:ascii="Bookman Old Style" w:eastAsiaTheme="minorEastAsia" w:hAnsi="Bookman Old Style"/>
                      <w:b/>
                      <w:sz w:val="20"/>
                    </w:rPr>
                    <w:t>Action</w:t>
                  </w:r>
                </w:p>
              </w:tc>
              <w:tc>
                <w:tcPr>
                  <w:tcW w:w="2880" w:type="dxa"/>
                  <w:tcBorders>
                    <w:top w:val="nil"/>
                    <w:left w:val="nil"/>
                    <w:bottom w:val="single" w:sz="4" w:space="0" w:color="auto"/>
                    <w:right w:val="nil"/>
                  </w:tcBorders>
                </w:tcPr>
                <w:p w14:paraId="53584E9F" w14:textId="77777777" w:rsidR="00666B7D" w:rsidRPr="00B86ED0" w:rsidRDefault="00666B7D" w:rsidP="00804DBB">
                  <w:pPr>
                    <w:jc w:val="center"/>
                    <w:rPr>
                      <w:rFonts w:ascii="Bookman Old Style" w:eastAsiaTheme="minorEastAsia" w:hAnsi="Bookman Old Style"/>
                      <w:b/>
                      <w:sz w:val="20"/>
                    </w:rPr>
                  </w:pPr>
                  <w:r w:rsidRPr="00B86ED0">
                    <w:rPr>
                      <w:rFonts w:ascii="Bookman Old Style" w:eastAsiaTheme="minorEastAsia" w:hAnsi="Bookman Old Style"/>
                      <w:b/>
                      <w:sz w:val="20"/>
                    </w:rPr>
                    <w:t>Keystrokes</w:t>
                  </w:r>
                </w:p>
              </w:tc>
            </w:tr>
            <w:tr w:rsidR="00666B7D" w14:paraId="02BD4268" w14:textId="77777777" w:rsidTr="003262D8">
              <w:trPr>
                <w:jc w:val="center"/>
              </w:trPr>
              <w:tc>
                <w:tcPr>
                  <w:tcW w:w="5058" w:type="dxa"/>
                  <w:tcBorders>
                    <w:left w:val="nil"/>
                    <w:bottom w:val="nil"/>
                    <w:right w:val="nil"/>
                  </w:tcBorders>
                </w:tcPr>
                <w:p w14:paraId="3FFE3ADD" w14:textId="77777777" w:rsidR="00666B7D" w:rsidRPr="00B86ED0" w:rsidRDefault="00666B7D" w:rsidP="00804DBB">
                  <w:pPr>
                    <w:jc w:val="both"/>
                    <w:rPr>
                      <w:rFonts w:ascii="Bookman Old Style" w:eastAsiaTheme="minorEastAsia" w:hAnsi="Bookman Old Style"/>
                      <w:sz w:val="20"/>
                    </w:rPr>
                  </w:pPr>
                  <w:r w:rsidRPr="00B86ED0">
                    <w:rPr>
                      <w:rFonts w:ascii="Bookman Old Style" w:eastAsiaTheme="minorEastAsia" w:hAnsi="Bookman Old Style"/>
                      <w:sz w:val="20"/>
                    </w:rPr>
                    <w:t>Select the data entry function of the calculator</w:t>
                  </w:r>
                </w:p>
              </w:tc>
              <w:tc>
                <w:tcPr>
                  <w:tcW w:w="2880" w:type="dxa"/>
                  <w:tcBorders>
                    <w:left w:val="nil"/>
                    <w:bottom w:val="nil"/>
                    <w:right w:val="nil"/>
                  </w:tcBorders>
                </w:tcPr>
                <w:p w14:paraId="17250854" w14:textId="77777777" w:rsidR="00666B7D" w:rsidRPr="00B86ED0" w:rsidRDefault="00666B7D" w:rsidP="00804DBB">
                  <w:pPr>
                    <w:jc w:val="center"/>
                    <w:rPr>
                      <w:rFonts w:ascii="Bookman Old Style" w:eastAsiaTheme="minorEastAsia" w:hAnsi="Bookman Old Style"/>
                      <w:sz w:val="20"/>
                    </w:rPr>
                  </w:pPr>
                  <w:r w:rsidRPr="00B86ED0">
                    <w:rPr>
                      <w:rFonts w:ascii="Bookman Old Style" w:eastAsiaTheme="minorEastAsia" w:hAnsi="Bookman Old Style"/>
                      <w:sz w:val="20"/>
                    </w:rPr>
                    <w:t>[2</w:t>
                  </w:r>
                  <w:r w:rsidRPr="00B86ED0">
                    <w:rPr>
                      <w:rFonts w:ascii="Bookman Old Style" w:eastAsiaTheme="minorEastAsia" w:hAnsi="Bookman Old Style"/>
                      <w:sz w:val="20"/>
                      <w:vertAlign w:val="superscript"/>
                    </w:rPr>
                    <w:t>nd</w:t>
                  </w:r>
                  <w:r w:rsidRPr="00B86ED0">
                    <w:rPr>
                      <w:rFonts w:ascii="Bookman Old Style" w:eastAsiaTheme="minorEastAsia" w:hAnsi="Bookman Old Style"/>
                      <w:sz w:val="20"/>
                    </w:rPr>
                    <w:t>] [DATA]</w:t>
                  </w:r>
                </w:p>
              </w:tc>
            </w:tr>
            <w:tr w:rsidR="00666B7D" w14:paraId="219058F9" w14:textId="77777777" w:rsidTr="003262D8">
              <w:trPr>
                <w:jc w:val="center"/>
              </w:trPr>
              <w:tc>
                <w:tcPr>
                  <w:tcW w:w="5058" w:type="dxa"/>
                  <w:tcBorders>
                    <w:top w:val="nil"/>
                    <w:left w:val="nil"/>
                    <w:right w:val="nil"/>
                  </w:tcBorders>
                </w:tcPr>
                <w:p w14:paraId="31A932A0" w14:textId="77777777" w:rsidR="00666B7D" w:rsidRPr="00B86ED0" w:rsidRDefault="00666B7D" w:rsidP="00804DBB">
                  <w:pPr>
                    <w:jc w:val="both"/>
                    <w:rPr>
                      <w:rFonts w:ascii="Bookman Old Style" w:eastAsiaTheme="minorEastAsia" w:hAnsi="Bookman Old Style"/>
                      <w:sz w:val="20"/>
                    </w:rPr>
                  </w:pPr>
                  <w:r w:rsidRPr="00B86ED0">
                    <w:rPr>
                      <w:rFonts w:ascii="Bookman Old Style" w:eastAsiaTheme="minorEastAsia" w:hAnsi="Bookman Old Style"/>
                      <w:sz w:val="20"/>
                    </w:rPr>
                    <w:t>Clear any pre-existing data from the worksheet</w:t>
                  </w:r>
                </w:p>
              </w:tc>
              <w:tc>
                <w:tcPr>
                  <w:tcW w:w="2880" w:type="dxa"/>
                  <w:tcBorders>
                    <w:top w:val="nil"/>
                    <w:left w:val="nil"/>
                    <w:right w:val="nil"/>
                  </w:tcBorders>
                </w:tcPr>
                <w:p w14:paraId="4307E95C" w14:textId="77777777" w:rsidR="00666B7D" w:rsidRPr="00B86ED0" w:rsidRDefault="00666B7D" w:rsidP="00804DBB">
                  <w:pPr>
                    <w:jc w:val="center"/>
                    <w:rPr>
                      <w:rFonts w:ascii="Bookman Old Style" w:eastAsiaTheme="minorEastAsia" w:hAnsi="Bookman Old Style"/>
                      <w:sz w:val="20"/>
                    </w:rPr>
                  </w:pPr>
                  <w:r w:rsidRPr="00B86ED0">
                    <w:rPr>
                      <w:rFonts w:ascii="Bookman Old Style" w:eastAsiaTheme="minorEastAsia" w:hAnsi="Bookman Old Style"/>
                      <w:sz w:val="20"/>
                    </w:rPr>
                    <w:t>[2</w:t>
                  </w:r>
                  <w:r w:rsidRPr="00B86ED0">
                    <w:rPr>
                      <w:rFonts w:ascii="Bookman Old Style" w:eastAsiaTheme="minorEastAsia" w:hAnsi="Bookman Old Style"/>
                      <w:sz w:val="20"/>
                      <w:vertAlign w:val="superscript"/>
                    </w:rPr>
                    <w:t>nd</w:t>
                  </w:r>
                  <w:r w:rsidRPr="00B86ED0">
                    <w:rPr>
                      <w:rFonts w:ascii="Bookman Old Style" w:eastAsiaTheme="minorEastAsia" w:hAnsi="Bookman Old Style"/>
                      <w:sz w:val="20"/>
                    </w:rPr>
                    <w:t>] [CLR WORK]</w:t>
                  </w:r>
                </w:p>
              </w:tc>
            </w:tr>
          </w:tbl>
          <w:p w14:paraId="39B2072C" w14:textId="77777777" w:rsidR="00666B7D" w:rsidRDefault="00666B7D" w:rsidP="00804DBB">
            <w:pPr>
              <w:jc w:val="both"/>
              <w:rPr>
                <w:rFonts w:ascii="Bookman Old Style" w:eastAsiaTheme="minorEastAsia" w:hAnsi="Bookman Old Style"/>
              </w:rPr>
            </w:pPr>
          </w:p>
          <w:p w14:paraId="7DC9FE18" w14:textId="77777777" w:rsidR="00666B7D" w:rsidRDefault="00666B7D" w:rsidP="00804DBB">
            <w:pPr>
              <w:jc w:val="both"/>
              <w:rPr>
                <w:rFonts w:ascii="Bookman Old Style" w:eastAsiaTheme="minorEastAsia" w:hAnsi="Bookman Old Style"/>
              </w:rPr>
            </w:pPr>
            <w:r>
              <w:rPr>
                <w:rFonts w:ascii="Bookman Old Style" w:eastAsiaTheme="minorEastAsia" w:hAnsi="Bookman Old Style"/>
              </w:rPr>
              <w:t>Enter the data into the calculator:</w:t>
            </w:r>
          </w:p>
          <w:p w14:paraId="4925DA20" w14:textId="77777777" w:rsidR="00666B7D" w:rsidRDefault="00666B7D" w:rsidP="00804DBB">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918"/>
              <w:gridCol w:w="1170"/>
              <w:gridCol w:w="1391"/>
              <w:gridCol w:w="2389"/>
            </w:tblGrid>
            <w:tr w:rsidR="00666B7D" w14:paraId="6386B9F4" w14:textId="77777777" w:rsidTr="003262D8">
              <w:trPr>
                <w:jc w:val="center"/>
              </w:trPr>
              <w:tc>
                <w:tcPr>
                  <w:tcW w:w="918" w:type="dxa"/>
                  <w:tcBorders>
                    <w:top w:val="nil"/>
                    <w:left w:val="nil"/>
                    <w:bottom w:val="single" w:sz="4" w:space="0" w:color="auto"/>
                    <w:right w:val="nil"/>
                  </w:tcBorders>
                </w:tcPr>
                <w:p w14:paraId="4C2DDDC2" w14:textId="77777777" w:rsidR="00666B7D" w:rsidRPr="00050D96" w:rsidRDefault="00666B7D" w:rsidP="00804DBB">
                  <w:pPr>
                    <w:jc w:val="center"/>
                    <w:rPr>
                      <w:rFonts w:ascii="Bookman Old Style" w:eastAsiaTheme="minorEastAsia" w:hAnsi="Bookman Old Style"/>
                      <w:b/>
                    </w:rPr>
                  </w:pPr>
                </w:p>
              </w:tc>
              <w:tc>
                <w:tcPr>
                  <w:tcW w:w="2561" w:type="dxa"/>
                  <w:gridSpan w:val="2"/>
                  <w:tcBorders>
                    <w:top w:val="nil"/>
                    <w:left w:val="nil"/>
                    <w:bottom w:val="single" w:sz="4" w:space="0" w:color="auto"/>
                    <w:right w:val="nil"/>
                  </w:tcBorders>
                </w:tcPr>
                <w:p w14:paraId="16A1370B" w14:textId="77777777" w:rsidR="00666B7D" w:rsidRPr="00050D96" w:rsidRDefault="00666B7D" w:rsidP="00804DBB">
                  <w:pPr>
                    <w:jc w:val="center"/>
                    <w:rPr>
                      <w:rFonts w:ascii="Bookman Old Style" w:eastAsiaTheme="minorEastAsia" w:hAnsi="Bookman Old Style"/>
                      <w:b/>
                    </w:rPr>
                  </w:pPr>
                  <w:r w:rsidRPr="00050D96">
                    <w:rPr>
                      <w:rFonts w:ascii="Bookman Old Style" w:eastAsiaTheme="minorEastAsia" w:hAnsi="Bookman Old Style"/>
                      <w:b/>
                    </w:rPr>
                    <w:t>Keystrokes</w:t>
                  </w:r>
                </w:p>
              </w:tc>
              <w:tc>
                <w:tcPr>
                  <w:tcW w:w="2389" w:type="dxa"/>
                  <w:tcBorders>
                    <w:top w:val="nil"/>
                    <w:left w:val="nil"/>
                    <w:bottom w:val="single" w:sz="4" w:space="0" w:color="auto"/>
                    <w:right w:val="nil"/>
                  </w:tcBorders>
                </w:tcPr>
                <w:p w14:paraId="41C95320" w14:textId="77777777" w:rsidR="00666B7D" w:rsidRPr="00050D96" w:rsidRDefault="00666B7D" w:rsidP="00804DBB">
                  <w:pPr>
                    <w:jc w:val="center"/>
                    <w:rPr>
                      <w:rFonts w:ascii="Bookman Old Style" w:eastAsiaTheme="minorEastAsia" w:hAnsi="Bookman Old Style"/>
                      <w:b/>
                    </w:rPr>
                  </w:pPr>
                  <w:r w:rsidRPr="00050D96">
                    <w:rPr>
                      <w:rFonts w:ascii="Bookman Old Style" w:eastAsiaTheme="minorEastAsia" w:hAnsi="Bookman Old Style"/>
                      <w:b/>
                    </w:rPr>
                    <w:t>Calculator Display</w:t>
                  </w:r>
                </w:p>
              </w:tc>
            </w:tr>
            <w:tr w:rsidR="00666B7D" w14:paraId="5488F527" w14:textId="77777777" w:rsidTr="003262D8">
              <w:trPr>
                <w:jc w:val="center"/>
              </w:trPr>
              <w:tc>
                <w:tcPr>
                  <w:tcW w:w="918" w:type="dxa"/>
                  <w:tcBorders>
                    <w:left w:val="nil"/>
                    <w:bottom w:val="nil"/>
                    <w:right w:val="nil"/>
                  </w:tcBorders>
                </w:tcPr>
                <w:p w14:paraId="4298C2D9"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-0.20</w:t>
                  </w:r>
                </w:p>
              </w:tc>
              <w:tc>
                <w:tcPr>
                  <w:tcW w:w="1170" w:type="dxa"/>
                  <w:tcBorders>
                    <w:left w:val="nil"/>
                    <w:bottom w:val="nil"/>
                    <w:right w:val="nil"/>
                  </w:tcBorders>
                </w:tcPr>
                <w:p w14:paraId="7977C64F"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[ENTER]</w:t>
                  </w:r>
                </w:p>
              </w:tc>
              <w:tc>
                <w:tcPr>
                  <w:tcW w:w="1391" w:type="dxa"/>
                  <w:tcBorders>
                    <w:left w:val="nil"/>
                    <w:bottom w:val="nil"/>
                    <w:right w:val="nil"/>
                  </w:tcBorders>
                </w:tcPr>
                <w:p w14:paraId="02FFCFD8"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left w:val="nil"/>
                    <w:bottom w:val="nil"/>
                    <w:right w:val="nil"/>
                  </w:tcBorders>
                </w:tcPr>
                <w:p w14:paraId="2AD550C9"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X01 = -0.20</w:t>
                  </w:r>
                </w:p>
              </w:tc>
            </w:tr>
            <w:tr w:rsidR="00666B7D" w14:paraId="3616598F" w14:textId="77777777" w:rsidTr="003262D8">
              <w:trPr>
                <w:jc w:val="center"/>
              </w:trPr>
              <w:tc>
                <w:tcPr>
                  <w:tcW w:w="918" w:type="dxa"/>
                  <w:tcBorders>
                    <w:top w:val="nil"/>
                    <w:left w:val="nil"/>
                    <w:bottom w:val="nil"/>
                    <w:right w:val="nil"/>
                  </w:tcBorders>
                </w:tcPr>
                <w:p w14:paraId="2531CA9D" w14:textId="77777777" w:rsidR="00666B7D" w:rsidRDefault="00666B7D" w:rsidP="00804DBB">
                  <w:pPr>
                    <w:jc w:val="center"/>
                    <w:rPr>
                      <w:rFonts w:ascii="Bookman Old Style" w:eastAsiaTheme="minorEastAsia" w:hAnsi="Bookman Old Style"/>
                    </w:rPr>
                  </w:pPr>
                </w:p>
              </w:tc>
              <w:tc>
                <w:tcPr>
                  <w:tcW w:w="1170" w:type="dxa"/>
                  <w:tcBorders>
                    <w:top w:val="nil"/>
                    <w:left w:val="nil"/>
                    <w:bottom w:val="nil"/>
                    <w:right w:val="nil"/>
                  </w:tcBorders>
                </w:tcPr>
                <w:p w14:paraId="02369CAA" w14:textId="77777777" w:rsidR="00666B7D" w:rsidRDefault="00666B7D" w:rsidP="00804DBB">
                  <w:pPr>
                    <w:jc w:val="center"/>
                    <w:rPr>
                      <w:rFonts w:ascii="Bookman Old Style" w:eastAsiaTheme="minorEastAsia" w:hAnsi="Bookman Old Style"/>
                    </w:rPr>
                  </w:pPr>
                </w:p>
              </w:tc>
              <w:tc>
                <w:tcPr>
                  <w:tcW w:w="1391" w:type="dxa"/>
                  <w:tcBorders>
                    <w:top w:val="nil"/>
                    <w:left w:val="nil"/>
                    <w:bottom w:val="nil"/>
                    <w:right w:val="nil"/>
                  </w:tcBorders>
                </w:tcPr>
                <w:p w14:paraId="0424DF02"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top w:val="nil"/>
                    <w:left w:val="nil"/>
                    <w:bottom w:val="nil"/>
                    <w:right w:val="nil"/>
                  </w:tcBorders>
                </w:tcPr>
                <w:p w14:paraId="158BFA84"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Y01 = 1.00</w:t>
                  </w:r>
                </w:p>
              </w:tc>
            </w:tr>
            <w:tr w:rsidR="00666B7D" w14:paraId="29C63D58" w14:textId="77777777" w:rsidTr="003262D8">
              <w:trPr>
                <w:jc w:val="center"/>
              </w:trPr>
              <w:tc>
                <w:tcPr>
                  <w:tcW w:w="918" w:type="dxa"/>
                  <w:tcBorders>
                    <w:top w:val="nil"/>
                    <w:left w:val="nil"/>
                    <w:bottom w:val="nil"/>
                    <w:right w:val="nil"/>
                  </w:tcBorders>
                </w:tcPr>
                <w:p w14:paraId="127695B6"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0.50</w:t>
                  </w:r>
                </w:p>
              </w:tc>
              <w:tc>
                <w:tcPr>
                  <w:tcW w:w="1170" w:type="dxa"/>
                  <w:tcBorders>
                    <w:top w:val="nil"/>
                    <w:left w:val="nil"/>
                    <w:bottom w:val="nil"/>
                    <w:right w:val="nil"/>
                  </w:tcBorders>
                </w:tcPr>
                <w:p w14:paraId="6A5A1F50"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[ENTER]</w:t>
                  </w:r>
                </w:p>
              </w:tc>
              <w:tc>
                <w:tcPr>
                  <w:tcW w:w="1391" w:type="dxa"/>
                  <w:tcBorders>
                    <w:top w:val="nil"/>
                    <w:left w:val="nil"/>
                    <w:bottom w:val="nil"/>
                    <w:right w:val="nil"/>
                  </w:tcBorders>
                </w:tcPr>
                <w:p w14:paraId="1E7022BF"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top w:val="nil"/>
                    <w:left w:val="nil"/>
                    <w:bottom w:val="nil"/>
                    <w:right w:val="nil"/>
                  </w:tcBorders>
                </w:tcPr>
                <w:p w14:paraId="4EF1B554"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X02 = 0.50</w:t>
                  </w:r>
                </w:p>
              </w:tc>
            </w:tr>
            <w:tr w:rsidR="00666B7D" w14:paraId="7CDA4B5A" w14:textId="77777777" w:rsidTr="003262D8">
              <w:trPr>
                <w:jc w:val="center"/>
              </w:trPr>
              <w:tc>
                <w:tcPr>
                  <w:tcW w:w="918" w:type="dxa"/>
                  <w:tcBorders>
                    <w:top w:val="nil"/>
                    <w:left w:val="nil"/>
                    <w:bottom w:val="nil"/>
                    <w:right w:val="nil"/>
                  </w:tcBorders>
                </w:tcPr>
                <w:p w14:paraId="352C2D0A" w14:textId="77777777" w:rsidR="00666B7D" w:rsidRDefault="00666B7D" w:rsidP="00804DBB">
                  <w:pPr>
                    <w:jc w:val="center"/>
                    <w:rPr>
                      <w:rFonts w:ascii="Bookman Old Style" w:eastAsiaTheme="minorEastAsia" w:hAnsi="Bookman Old Style"/>
                    </w:rPr>
                  </w:pPr>
                </w:p>
              </w:tc>
              <w:tc>
                <w:tcPr>
                  <w:tcW w:w="1170" w:type="dxa"/>
                  <w:tcBorders>
                    <w:top w:val="nil"/>
                    <w:left w:val="nil"/>
                    <w:bottom w:val="nil"/>
                    <w:right w:val="nil"/>
                  </w:tcBorders>
                </w:tcPr>
                <w:p w14:paraId="7AC8AAD3" w14:textId="77777777" w:rsidR="00666B7D" w:rsidRDefault="00666B7D" w:rsidP="00804DBB">
                  <w:pPr>
                    <w:jc w:val="center"/>
                    <w:rPr>
                      <w:rFonts w:ascii="Bookman Old Style" w:eastAsiaTheme="minorEastAsia" w:hAnsi="Bookman Old Style"/>
                    </w:rPr>
                  </w:pPr>
                </w:p>
              </w:tc>
              <w:tc>
                <w:tcPr>
                  <w:tcW w:w="1391" w:type="dxa"/>
                  <w:tcBorders>
                    <w:top w:val="nil"/>
                    <w:left w:val="nil"/>
                    <w:bottom w:val="nil"/>
                    <w:right w:val="nil"/>
                  </w:tcBorders>
                </w:tcPr>
                <w:p w14:paraId="7F4E6AD1"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top w:val="nil"/>
                    <w:left w:val="nil"/>
                    <w:bottom w:val="nil"/>
                    <w:right w:val="nil"/>
                  </w:tcBorders>
                </w:tcPr>
                <w:p w14:paraId="7E64D207"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Y02 = 1.00</w:t>
                  </w:r>
                </w:p>
              </w:tc>
            </w:tr>
            <w:tr w:rsidR="00666B7D" w14:paraId="4D39F59F" w14:textId="77777777" w:rsidTr="003262D8">
              <w:trPr>
                <w:jc w:val="center"/>
              </w:trPr>
              <w:tc>
                <w:tcPr>
                  <w:tcW w:w="918" w:type="dxa"/>
                  <w:tcBorders>
                    <w:top w:val="nil"/>
                    <w:left w:val="nil"/>
                    <w:bottom w:val="nil"/>
                    <w:right w:val="nil"/>
                  </w:tcBorders>
                </w:tcPr>
                <w:p w14:paraId="5D89C2CA"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0.30</w:t>
                  </w:r>
                </w:p>
              </w:tc>
              <w:tc>
                <w:tcPr>
                  <w:tcW w:w="1170" w:type="dxa"/>
                  <w:tcBorders>
                    <w:top w:val="nil"/>
                    <w:left w:val="nil"/>
                    <w:bottom w:val="nil"/>
                    <w:right w:val="nil"/>
                  </w:tcBorders>
                </w:tcPr>
                <w:p w14:paraId="0902AC68"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[ENTER[</w:t>
                  </w:r>
                </w:p>
              </w:tc>
              <w:tc>
                <w:tcPr>
                  <w:tcW w:w="1391" w:type="dxa"/>
                  <w:tcBorders>
                    <w:top w:val="nil"/>
                    <w:left w:val="nil"/>
                    <w:bottom w:val="nil"/>
                    <w:right w:val="nil"/>
                  </w:tcBorders>
                </w:tcPr>
                <w:p w14:paraId="469CD045"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top w:val="nil"/>
                    <w:left w:val="nil"/>
                    <w:bottom w:val="nil"/>
                    <w:right w:val="nil"/>
                  </w:tcBorders>
                </w:tcPr>
                <w:p w14:paraId="08EED3A4"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X03 = 0.30</w:t>
                  </w:r>
                </w:p>
              </w:tc>
            </w:tr>
            <w:tr w:rsidR="00666B7D" w14:paraId="52AC0584" w14:textId="77777777" w:rsidTr="003262D8">
              <w:trPr>
                <w:jc w:val="center"/>
              </w:trPr>
              <w:tc>
                <w:tcPr>
                  <w:tcW w:w="918" w:type="dxa"/>
                  <w:tcBorders>
                    <w:top w:val="nil"/>
                    <w:left w:val="nil"/>
                    <w:bottom w:val="nil"/>
                    <w:right w:val="nil"/>
                  </w:tcBorders>
                </w:tcPr>
                <w:p w14:paraId="4390B3B2" w14:textId="77777777" w:rsidR="00666B7D" w:rsidRDefault="00666B7D" w:rsidP="00804DBB">
                  <w:pPr>
                    <w:jc w:val="center"/>
                    <w:rPr>
                      <w:rFonts w:ascii="Bookman Old Style" w:eastAsiaTheme="minorEastAsia" w:hAnsi="Bookman Old Style"/>
                    </w:rPr>
                  </w:pPr>
                </w:p>
              </w:tc>
              <w:tc>
                <w:tcPr>
                  <w:tcW w:w="1170" w:type="dxa"/>
                  <w:tcBorders>
                    <w:top w:val="nil"/>
                    <w:left w:val="nil"/>
                    <w:bottom w:val="nil"/>
                    <w:right w:val="nil"/>
                  </w:tcBorders>
                </w:tcPr>
                <w:p w14:paraId="214A92D3" w14:textId="77777777" w:rsidR="00666B7D" w:rsidRDefault="00666B7D" w:rsidP="00804DBB">
                  <w:pPr>
                    <w:jc w:val="center"/>
                    <w:rPr>
                      <w:rFonts w:ascii="Bookman Old Style" w:eastAsiaTheme="minorEastAsia" w:hAnsi="Bookman Old Style"/>
                    </w:rPr>
                  </w:pPr>
                </w:p>
              </w:tc>
              <w:tc>
                <w:tcPr>
                  <w:tcW w:w="1391" w:type="dxa"/>
                  <w:tcBorders>
                    <w:top w:val="nil"/>
                    <w:left w:val="nil"/>
                    <w:bottom w:val="nil"/>
                    <w:right w:val="nil"/>
                  </w:tcBorders>
                </w:tcPr>
                <w:p w14:paraId="44EF765A"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top w:val="nil"/>
                    <w:left w:val="nil"/>
                    <w:bottom w:val="nil"/>
                    <w:right w:val="nil"/>
                  </w:tcBorders>
                </w:tcPr>
                <w:p w14:paraId="319C4266"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Y03 = 1.00</w:t>
                  </w:r>
                </w:p>
              </w:tc>
            </w:tr>
            <w:tr w:rsidR="00666B7D" w14:paraId="57EF5646" w14:textId="77777777" w:rsidTr="003262D8">
              <w:trPr>
                <w:jc w:val="center"/>
              </w:trPr>
              <w:tc>
                <w:tcPr>
                  <w:tcW w:w="918" w:type="dxa"/>
                  <w:tcBorders>
                    <w:top w:val="nil"/>
                    <w:left w:val="nil"/>
                    <w:bottom w:val="nil"/>
                    <w:right w:val="nil"/>
                  </w:tcBorders>
                </w:tcPr>
                <w:p w14:paraId="2C5C7737"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0.10</w:t>
                  </w:r>
                </w:p>
              </w:tc>
              <w:tc>
                <w:tcPr>
                  <w:tcW w:w="1170" w:type="dxa"/>
                  <w:tcBorders>
                    <w:top w:val="nil"/>
                    <w:left w:val="nil"/>
                    <w:bottom w:val="nil"/>
                    <w:right w:val="nil"/>
                  </w:tcBorders>
                </w:tcPr>
                <w:p w14:paraId="72563FC9"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[ENTER]</w:t>
                  </w:r>
                </w:p>
              </w:tc>
              <w:tc>
                <w:tcPr>
                  <w:tcW w:w="1391" w:type="dxa"/>
                  <w:tcBorders>
                    <w:top w:val="nil"/>
                    <w:left w:val="nil"/>
                    <w:bottom w:val="nil"/>
                    <w:right w:val="nil"/>
                  </w:tcBorders>
                </w:tcPr>
                <w:p w14:paraId="71D9F4CF"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top w:val="nil"/>
                    <w:left w:val="nil"/>
                    <w:bottom w:val="nil"/>
                    <w:right w:val="nil"/>
                  </w:tcBorders>
                </w:tcPr>
                <w:p w14:paraId="51918D87"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X04 = 0.10</w:t>
                  </w:r>
                </w:p>
              </w:tc>
            </w:tr>
            <w:tr w:rsidR="00666B7D" w14:paraId="01724CC2" w14:textId="77777777" w:rsidTr="003262D8">
              <w:trPr>
                <w:jc w:val="center"/>
              </w:trPr>
              <w:tc>
                <w:tcPr>
                  <w:tcW w:w="918" w:type="dxa"/>
                  <w:tcBorders>
                    <w:top w:val="nil"/>
                    <w:left w:val="nil"/>
                    <w:right w:val="nil"/>
                  </w:tcBorders>
                </w:tcPr>
                <w:p w14:paraId="13CD9A4B" w14:textId="77777777" w:rsidR="00666B7D" w:rsidRDefault="00666B7D" w:rsidP="00804DBB">
                  <w:pPr>
                    <w:jc w:val="center"/>
                    <w:rPr>
                      <w:rFonts w:ascii="Bookman Old Style" w:eastAsiaTheme="minorEastAsia" w:hAnsi="Bookman Old Style"/>
                    </w:rPr>
                  </w:pPr>
                </w:p>
              </w:tc>
              <w:tc>
                <w:tcPr>
                  <w:tcW w:w="1170" w:type="dxa"/>
                  <w:tcBorders>
                    <w:top w:val="nil"/>
                    <w:left w:val="nil"/>
                    <w:right w:val="nil"/>
                  </w:tcBorders>
                </w:tcPr>
                <w:p w14:paraId="51A4E113" w14:textId="77777777" w:rsidR="00666B7D" w:rsidRDefault="00666B7D" w:rsidP="00804DBB">
                  <w:pPr>
                    <w:jc w:val="center"/>
                    <w:rPr>
                      <w:rFonts w:ascii="Bookman Old Style" w:eastAsiaTheme="minorEastAsia" w:hAnsi="Bookman Old Style"/>
                    </w:rPr>
                  </w:pPr>
                </w:p>
              </w:tc>
              <w:tc>
                <w:tcPr>
                  <w:tcW w:w="1391" w:type="dxa"/>
                  <w:tcBorders>
                    <w:top w:val="nil"/>
                    <w:left w:val="nil"/>
                    <w:right w:val="nil"/>
                  </w:tcBorders>
                </w:tcPr>
                <w:p w14:paraId="3D5B67B9"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89" w:type="dxa"/>
                  <w:tcBorders>
                    <w:top w:val="nil"/>
                    <w:left w:val="nil"/>
                    <w:right w:val="nil"/>
                  </w:tcBorders>
                </w:tcPr>
                <w:p w14:paraId="76A70B88"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Y04 = 1.00</w:t>
                  </w:r>
                </w:p>
              </w:tc>
            </w:tr>
          </w:tbl>
          <w:p w14:paraId="18F754C5" w14:textId="77777777" w:rsidR="00666B7D" w:rsidRDefault="00666B7D" w:rsidP="00804DBB">
            <w:pPr>
              <w:jc w:val="both"/>
              <w:rPr>
                <w:rFonts w:ascii="Bookman Old Style" w:eastAsiaTheme="minorEastAsia" w:hAnsi="Bookman Old Style"/>
              </w:rPr>
            </w:pPr>
          </w:p>
          <w:p w14:paraId="637BB613" w14:textId="77777777" w:rsidR="00666B7D" w:rsidRDefault="00666B7D" w:rsidP="00804DBB">
            <w:pPr>
              <w:jc w:val="both"/>
              <w:rPr>
                <w:rFonts w:ascii="Bookman Old Style" w:eastAsiaTheme="minorEastAsia" w:hAnsi="Bookman Old Style"/>
              </w:rPr>
            </w:pPr>
            <w:r>
              <w:rPr>
                <w:rFonts w:ascii="Bookman Old Style" w:eastAsiaTheme="minorEastAsia" w:hAnsi="Bookman Old Style"/>
              </w:rPr>
              <w:t>Before calculating the statistics:</w:t>
            </w:r>
          </w:p>
          <w:p w14:paraId="1C04D833" w14:textId="77777777" w:rsidR="00666B7D" w:rsidRDefault="00666B7D" w:rsidP="00804DBB">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3159"/>
              <w:gridCol w:w="1101"/>
              <w:gridCol w:w="1571"/>
              <w:gridCol w:w="2689"/>
            </w:tblGrid>
            <w:tr w:rsidR="00666B7D" w14:paraId="0C2914A3" w14:textId="77777777" w:rsidTr="003262D8">
              <w:trPr>
                <w:jc w:val="center"/>
              </w:trPr>
              <w:tc>
                <w:tcPr>
                  <w:tcW w:w="3159" w:type="dxa"/>
                  <w:tcBorders>
                    <w:top w:val="nil"/>
                    <w:left w:val="nil"/>
                    <w:bottom w:val="single" w:sz="4" w:space="0" w:color="auto"/>
                    <w:right w:val="nil"/>
                  </w:tcBorders>
                </w:tcPr>
                <w:p w14:paraId="00E6DDDE" w14:textId="77777777" w:rsidR="00666B7D" w:rsidRPr="00050D96" w:rsidRDefault="00666B7D" w:rsidP="00804DBB">
                  <w:pPr>
                    <w:jc w:val="center"/>
                    <w:rPr>
                      <w:rFonts w:ascii="Bookman Old Style" w:eastAsiaTheme="minorEastAsia" w:hAnsi="Bookman Old Style"/>
                      <w:b/>
                      <w:sz w:val="20"/>
                    </w:rPr>
                  </w:pPr>
                  <w:r w:rsidRPr="00050D96">
                    <w:rPr>
                      <w:rFonts w:ascii="Bookman Old Style" w:eastAsiaTheme="minorEastAsia" w:hAnsi="Bookman Old Style"/>
                      <w:b/>
                      <w:sz w:val="20"/>
                    </w:rPr>
                    <w:t>Action</w:t>
                  </w:r>
                </w:p>
              </w:tc>
              <w:tc>
                <w:tcPr>
                  <w:tcW w:w="2672" w:type="dxa"/>
                  <w:gridSpan w:val="2"/>
                  <w:tcBorders>
                    <w:top w:val="nil"/>
                    <w:left w:val="nil"/>
                    <w:bottom w:val="single" w:sz="4" w:space="0" w:color="auto"/>
                    <w:right w:val="nil"/>
                  </w:tcBorders>
                </w:tcPr>
                <w:p w14:paraId="33DA501C" w14:textId="77777777" w:rsidR="00666B7D" w:rsidRPr="00050D96" w:rsidRDefault="00666B7D" w:rsidP="00804DBB">
                  <w:pPr>
                    <w:jc w:val="center"/>
                    <w:rPr>
                      <w:rFonts w:ascii="Bookman Old Style" w:eastAsiaTheme="minorEastAsia" w:hAnsi="Bookman Old Style"/>
                      <w:b/>
                      <w:sz w:val="20"/>
                    </w:rPr>
                  </w:pPr>
                  <w:r w:rsidRPr="00050D96">
                    <w:rPr>
                      <w:rFonts w:ascii="Bookman Old Style" w:eastAsiaTheme="minorEastAsia" w:hAnsi="Bookman Old Style"/>
                      <w:b/>
                      <w:sz w:val="20"/>
                    </w:rPr>
                    <w:t>Keystrokes</w:t>
                  </w:r>
                </w:p>
              </w:tc>
              <w:tc>
                <w:tcPr>
                  <w:tcW w:w="2689" w:type="dxa"/>
                  <w:tcBorders>
                    <w:top w:val="nil"/>
                    <w:left w:val="nil"/>
                    <w:bottom w:val="single" w:sz="4" w:space="0" w:color="auto"/>
                    <w:right w:val="nil"/>
                  </w:tcBorders>
                </w:tcPr>
                <w:p w14:paraId="5940206E" w14:textId="77777777" w:rsidR="00666B7D" w:rsidRPr="00050D96" w:rsidRDefault="00666B7D" w:rsidP="00804DBB">
                  <w:pPr>
                    <w:jc w:val="center"/>
                    <w:rPr>
                      <w:rFonts w:ascii="Bookman Old Style" w:eastAsiaTheme="minorEastAsia" w:hAnsi="Bookman Old Style"/>
                      <w:b/>
                      <w:sz w:val="20"/>
                    </w:rPr>
                  </w:pPr>
                  <w:r w:rsidRPr="00050D96">
                    <w:rPr>
                      <w:rFonts w:ascii="Bookman Old Style" w:eastAsiaTheme="minorEastAsia" w:hAnsi="Bookman Old Style"/>
                      <w:b/>
                      <w:sz w:val="20"/>
                    </w:rPr>
                    <w:t>Calculator Display</w:t>
                  </w:r>
                </w:p>
              </w:tc>
            </w:tr>
            <w:tr w:rsidR="00666B7D" w14:paraId="35D1077A" w14:textId="77777777" w:rsidTr="003262D8">
              <w:trPr>
                <w:jc w:val="center"/>
              </w:trPr>
              <w:tc>
                <w:tcPr>
                  <w:tcW w:w="3159" w:type="dxa"/>
                  <w:tcBorders>
                    <w:left w:val="nil"/>
                    <w:bottom w:val="nil"/>
                    <w:right w:val="nil"/>
                  </w:tcBorders>
                </w:tcPr>
                <w:p w14:paraId="1F0965F7"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Select the statistics calculation function of the calculator</w:t>
                  </w:r>
                </w:p>
              </w:tc>
              <w:tc>
                <w:tcPr>
                  <w:tcW w:w="1101" w:type="dxa"/>
                  <w:tcBorders>
                    <w:left w:val="nil"/>
                    <w:bottom w:val="nil"/>
                    <w:right w:val="nil"/>
                  </w:tcBorders>
                </w:tcPr>
                <w:p w14:paraId="469989C6"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[2</w:t>
                  </w:r>
                  <w:r w:rsidRPr="00050D96">
                    <w:rPr>
                      <w:rFonts w:ascii="Bookman Old Style" w:eastAsiaTheme="minorEastAsia" w:hAnsi="Bookman Old Style"/>
                      <w:sz w:val="20"/>
                      <w:vertAlign w:val="superscript"/>
                    </w:rPr>
                    <w:t>ND</w:t>
                  </w:r>
                  <w:r w:rsidRPr="00050D96">
                    <w:rPr>
                      <w:rFonts w:ascii="Bookman Old Style" w:eastAsiaTheme="minorEastAsia" w:hAnsi="Bookman Old Style"/>
                      <w:sz w:val="20"/>
                    </w:rPr>
                    <w:t>]</w:t>
                  </w:r>
                </w:p>
              </w:tc>
              <w:tc>
                <w:tcPr>
                  <w:tcW w:w="1571" w:type="dxa"/>
                  <w:tcBorders>
                    <w:left w:val="nil"/>
                    <w:bottom w:val="nil"/>
                    <w:right w:val="nil"/>
                  </w:tcBorders>
                </w:tcPr>
                <w:p w14:paraId="0B4750FE"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[STAT]</w:t>
                  </w:r>
                </w:p>
              </w:tc>
              <w:tc>
                <w:tcPr>
                  <w:tcW w:w="2689" w:type="dxa"/>
                  <w:tcBorders>
                    <w:left w:val="nil"/>
                    <w:bottom w:val="nil"/>
                    <w:right w:val="nil"/>
                  </w:tcBorders>
                </w:tcPr>
                <w:p w14:paraId="49FACE81"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Will display any pre-existing data from prior use</w:t>
                  </w:r>
                </w:p>
              </w:tc>
            </w:tr>
            <w:tr w:rsidR="00666B7D" w14:paraId="0C712B30" w14:textId="77777777" w:rsidTr="003262D8">
              <w:trPr>
                <w:jc w:val="center"/>
              </w:trPr>
              <w:tc>
                <w:tcPr>
                  <w:tcW w:w="3159" w:type="dxa"/>
                  <w:tcBorders>
                    <w:top w:val="nil"/>
                    <w:left w:val="nil"/>
                    <w:bottom w:val="nil"/>
                    <w:right w:val="nil"/>
                  </w:tcBorders>
                </w:tcPr>
                <w:p w14:paraId="2F189A47" w14:textId="77777777" w:rsidR="00666B7D" w:rsidRPr="00050D96" w:rsidRDefault="00666B7D" w:rsidP="00804DBB">
                  <w:pPr>
                    <w:jc w:val="center"/>
                    <w:rPr>
                      <w:rFonts w:ascii="Bookman Old Style" w:eastAsiaTheme="minorEastAsia" w:hAnsi="Bookman Old Style"/>
                      <w:sz w:val="20"/>
                    </w:rPr>
                  </w:pPr>
                </w:p>
              </w:tc>
              <w:tc>
                <w:tcPr>
                  <w:tcW w:w="1101" w:type="dxa"/>
                  <w:tcBorders>
                    <w:top w:val="nil"/>
                    <w:left w:val="nil"/>
                    <w:bottom w:val="nil"/>
                    <w:right w:val="nil"/>
                  </w:tcBorders>
                </w:tcPr>
                <w:p w14:paraId="5DE37028" w14:textId="77777777" w:rsidR="00666B7D" w:rsidRPr="00050D96" w:rsidRDefault="00666B7D" w:rsidP="00804DBB">
                  <w:pPr>
                    <w:jc w:val="center"/>
                    <w:rPr>
                      <w:rFonts w:ascii="Bookman Old Style" w:eastAsiaTheme="minorEastAsia" w:hAnsi="Bookman Old Style"/>
                      <w:sz w:val="20"/>
                    </w:rPr>
                  </w:pPr>
                </w:p>
              </w:tc>
              <w:tc>
                <w:tcPr>
                  <w:tcW w:w="1571" w:type="dxa"/>
                  <w:tcBorders>
                    <w:top w:val="nil"/>
                    <w:left w:val="nil"/>
                    <w:bottom w:val="nil"/>
                    <w:right w:val="nil"/>
                  </w:tcBorders>
                </w:tcPr>
                <w:p w14:paraId="79528A9D" w14:textId="77777777" w:rsidR="00666B7D" w:rsidRPr="00050D96" w:rsidRDefault="00666B7D" w:rsidP="00804DBB">
                  <w:pPr>
                    <w:jc w:val="center"/>
                    <w:rPr>
                      <w:rFonts w:ascii="Bookman Old Style" w:eastAsiaTheme="minorEastAsia" w:hAnsi="Bookman Old Style"/>
                      <w:sz w:val="20"/>
                    </w:rPr>
                  </w:pPr>
                </w:p>
              </w:tc>
              <w:tc>
                <w:tcPr>
                  <w:tcW w:w="2689" w:type="dxa"/>
                  <w:tcBorders>
                    <w:top w:val="nil"/>
                    <w:left w:val="nil"/>
                    <w:bottom w:val="nil"/>
                    <w:right w:val="nil"/>
                  </w:tcBorders>
                </w:tcPr>
                <w:p w14:paraId="6E9CB24D" w14:textId="77777777" w:rsidR="00666B7D" w:rsidRPr="00050D96" w:rsidRDefault="00666B7D" w:rsidP="00804DBB">
                  <w:pPr>
                    <w:jc w:val="center"/>
                    <w:rPr>
                      <w:rFonts w:ascii="Bookman Old Style" w:eastAsiaTheme="minorEastAsia" w:hAnsi="Bookman Old Style"/>
                      <w:sz w:val="20"/>
                    </w:rPr>
                  </w:pPr>
                </w:p>
              </w:tc>
            </w:tr>
            <w:tr w:rsidR="00666B7D" w14:paraId="5B4E9D0A" w14:textId="77777777" w:rsidTr="003262D8">
              <w:trPr>
                <w:jc w:val="center"/>
              </w:trPr>
              <w:tc>
                <w:tcPr>
                  <w:tcW w:w="3159" w:type="dxa"/>
                  <w:tcBorders>
                    <w:top w:val="nil"/>
                    <w:left w:val="nil"/>
                    <w:bottom w:val="nil"/>
                    <w:right w:val="nil"/>
                  </w:tcBorders>
                </w:tcPr>
                <w:p w14:paraId="6C92839C"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Clear any pre-existing data from the worksheet</w:t>
                  </w:r>
                </w:p>
              </w:tc>
              <w:tc>
                <w:tcPr>
                  <w:tcW w:w="1101" w:type="dxa"/>
                  <w:tcBorders>
                    <w:top w:val="nil"/>
                    <w:left w:val="nil"/>
                    <w:bottom w:val="nil"/>
                    <w:right w:val="nil"/>
                  </w:tcBorders>
                </w:tcPr>
                <w:p w14:paraId="4BCFFA32"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[2</w:t>
                  </w:r>
                  <w:r w:rsidRPr="00050D96">
                    <w:rPr>
                      <w:rFonts w:ascii="Bookman Old Style" w:eastAsiaTheme="minorEastAsia" w:hAnsi="Bookman Old Style"/>
                      <w:sz w:val="20"/>
                      <w:vertAlign w:val="superscript"/>
                    </w:rPr>
                    <w:t>ND</w:t>
                  </w:r>
                  <w:r w:rsidRPr="00050D96">
                    <w:rPr>
                      <w:rFonts w:ascii="Bookman Old Style" w:eastAsiaTheme="minorEastAsia" w:hAnsi="Bookman Old Style"/>
                      <w:sz w:val="20"/>
                    </w:rPr>
                    <w:t>]</w:t>
                  </w:r>
                </w:p>
              </w:tc>
              <w:tc>
                <w:tcPr>
                  <w:tcW w:w="1571" w:type="dxa"/>
                  <w:tcBorders>
                    <w:top w:val="nil"/>
                    <w:left w:val="nil"/>
                    <w:bottom w:val="nil"/>
                    <w:right w:val="nil"/>
                  </w:tcBorders>
                </w:tcPr>
                <w:p w14:paraId="04BE3A31"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[CLR WORK]</w:t>
                  </w:r>
                </w:p>
              </w:tc>
              <w:tc>
                <w:tcPr>
                  <w:tcW w:w="2689" w:type="dxa"/>
                  <w:tcBorders>
                    <w:top w:val="nil"/>
                    <w:left w:val="nil"/>
                    <w:bottom w:val="nil"/>
                    <w:right w:val="nil"/>
                  </w:tcBorders>
                </w:tcPr>
                <w:p w14:paraId="10CB1E1B"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LIN</w:t>
                  </w:r>
                </w:p>
              </w:tc>
            </w:tr>
            <w:tr w:rsidR="00666B7D" w14:paraId="59831FA3" w14:textId="77777777" w:rsidTr="003262D8">
              <w:trPr>
                <w:jc w:val="center"/>
              </w:trPr>
              <w:tc>
                <w:tcPr>
                  <w:tcW w:w="3159" w:type="dxa"/>
                  <w:tcBorders>
                    <w:top w:val="nil"/>
                    <w:left w:val="nil"/>
                    <w:bottom w:val="nil"/>
                    <w:right w:val="nil"/>
                  </w:tcBorders>
                </w:tcPr>
                <w:p w14:paraId="71EB816A" w14:textId="77777777" w:rsidR="00666B7D" w:rsidRPr="00050D96" w:rsidRDefault="00666B7D" w:rsidP="00804DBB">
                  <w:pPr>
                    <w:jc w:val="center"/>
                    <w:rPr>
                      <w:rFonts w:ascii="Bookman Old Style" w:eastAsiaTheme="minorEastAsia" w:hAnsi="Bookman Old Style"/>
                      <w:sz w:val="20"/>
                    </w:rPr>
                  </w:pPr>
                </w:p>
              </w:tc>
              <w:tc>
                <w:tcPr>
                  <w:tcW w:w="1101" w:type="dxa"/>
                  <w:tcBorders>
                    <w:top w:val="nil"/>
                    <w:left w:val="nil"/>
                    <w:bottom w:val="nil"/>
                    <w:right w:val="nil"/>
                  </w:tcBorders>
                </w:tcPr>
                <w:p w14:paraId="72D0B837" w14:textId="77777777" w:rsidR="00666B7D" w:rsidRPr="00050D96" w:rsidRDefault="00666B7D" w:rsidP="00804DBB">
                  <w:pPr>
                    <w:jc w:val="center"/>
                    <w:rPr>
                      <w:rFonts w:ascii="Bookman Old Style" w:eastAsiaTheme="minorEastAsia" w:hAnsi="Bookman Old Style"/>
                      <w:sz w:val="20"/>
                    </w:rPr>
                  </w:pPr>
                </w:p>
              </w:tc>
              <w:tc>
                <w:tcPr>
                  <w:tcW w:w="1571" w:type="dxa"/>
                  <w:tcBorders>
                    <w:top w:val="nil"/>
                    <w:left w:val="nil"/>
                    <w:bottom w:val="nil"/>
                    <w:right w:val="nil"/>
                  </w:tcBorders>
                </w:tcPr>
                <w:p w14:paraId="4C3807CC" w14:textId="77777777" w:rsidR="00666B7D" w:rsidRPr="00050D96" w:rsidRDefault="00666B7D" w:rsidP="00804DBB">
                  <w:pPr>
                    <w:jc w:val="center"/>
                    <w:rPr>
                      <w:rFonts w:ascii="Bookman Old Style" w:eastAsiaTheme="minorEastAsia" w:hAnsi="Bookman Old Style"/>
                      <w:sz w:val="20"/>
                    </w:rPr>
                  </w:pPr>
                </w:p>
              </w:tc>
              <w:tc>
                <w:tcPr>
                  <w:tcW w:w="2689" w:type="dxa"/>
                  <w:tcBorders>
                    <w:top w:val="nil"/>
                    <w:left w:val="nil"/>
                    <w:bottom w:val="nil"/>
                    <w:right w:val="nil"/>
                  </w:tcBorders>
                </w:tcPr>
                <w:p w14:paraId="1C8FF3A7" w14:textId="77777777" w:rsidR="00666B7D" w:rsidRPr="00050D96" w:rsidRDefault="00666B7D" w:rsidP="00804DBB">
                  <w:pPr>
                    <w:jc w:val="center"/>
                    <w:rPr>
                      <w:rFonts w:ascii="Bookman Old Style" w:eastAsiaTheme="minorEastAsia" w:hAnsi="Bookman Old Style"/>
                      <w:sz w:val="20"/>
                    </w:rPr>
                  </w:pPr>
                </w:p>
              </w:tc>
            </w:tr>
            <w:tr w:rsidR="00666B7D" w14:paraId="37358F2E" w14:textId="77777777" w:rsidTr="003262D8">
              <w:trPr>
                <w:jc w:val="center"/>
              </w:trPr>
              <w:tc>
                <w:tcPr>
                  <w:tcW w:w="3159" w:type="dxa"/>
                  <w:tcBorders>
                    <w:top w:val="nil"/>
                    <w:left w:val="nil"/>
                    <w:bottom w:val="nil"/>
                    <w:right w:val="nil"/>
                  </w:tcBorders>
                </w:tcPr>
                <w:p w14:paraId="1661A57B"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Set the calculator to 1-variable calculation mode</w:t>
                  </w:r>
                </w:p>
              </w:tc>
              <w:tc>
                <w:tcPr>
                  <w:tcW w:w="1101" w:type="dxa"/>
                  <w:tcBorders>
                    <w:top w:val="nil"/>
                    <w:left w:val="nil"/>
                    <w:bottom w:val="nil"/>
                    <w:right w:val="nil"/>
                  </w:tcBorders>
                </w:tcPr>
                <w:p w14:paraId="3B161D6D"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[2</w:t>
                  </w:r>
                  <w:r w:rsidRPr="00050D96">
                    <w:rPr>
                      <w:rFonts w:ascii="Bookman Old Style" w:eastAsiaTheme="minorEastAsia" w:hAnsi="Bookman Old Style"/>
                      <w:sz w:val="20"/>
                      <w:vertAlign w:val="superscript"/>
                    </w:rPr>
                    <w:t>ND</w:t>
                  </w:r>
                  <w:r w:rsidRPr="00050D96">
                    <w:rPr>
                      <w:rFonts w:ascii="Bookman Old Style" w:eastAsiaTheme="minorEastAsia" w:hAnsi="Bookman Old Style"/>
                      <w:sz w:val="20"/>
                    </w:rPr>
                    <w:t>]</w:t>
                  </w:r>
                </w:p>
              </w:tc>
              <w:tc>
                <w:tcPr>
                  <w:tcW w:w="1571" w:type="dxa"/>
                  <w:tcBorders>
                    <w:top w:val="nil"/>
                    <w:left w:val="nil"/>
                    <w:bottom w:val="nil"/>
                    <w:right w:val="nil"/>
                  </w:tcBorders>
                </w:tcPr>
                <w:p w14:paraId="5A73ABD9"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[SET]</w:t>
                  </w:r>
                </w:p>
              </w:tc>
              <w:tc>
                <w:tcPr>
                  <w:tcW w:w="2689" w:type="dxa"/>
                  <w:tcBorders>
                    <w:top w:val="nil"/>
                    <w:left w:val="nil"/>
                    <w:bottom w:val="nil"/>
                    <w:right w:val="nil"/>
                  </w:tcBorders>
                </w:tcPr>
                <w:p w14:paraId="22948817"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X03 = 0.30</w:t>
                  </w:r>
                </w:p>
              </w:tc>
            </w:tr>
            <w:tr w:rsidR="00666B7D" w14:paraId="61152340" w14:textId="77777777" w:rsidTr="003262D8">
              <w:trPr>
                <w:jc w:val="center"/>
              </w:trPr>
              <w:tc>
                <w:tcPr>
                  <w:tcW w:w="3159" w:type="dxa"/>
                  <w:tcBorders>
                    <w:top w:val="nil"/>
                    <w:left w:val="nil"/>
                    <w:bottom w:val="nil"/>
                    <w:right w:val="nil"/>
                  </w:tcBorders>
                </w:tcPr>
                <w:p w14:paraId="1CC2B3BA" w14:textId="77777777" w:rsidR="00666B7D" w:rsidRPr="00050D96" w:rsidRDefault="00666B7D" w:rsidP="00804DBB">
                  <w:pPr>
                    <w:jc w:val="center"/>
                    <w:rPr>
                      <w:rFonts w:ascii="Bookman Old Style" w:eastAsiaTheme="minorEastAsia" w:hAnsi="Bookman Old Style"/>
                      <w:sz w:val="20"/>
                    </w:rPr>
                  </w:pPr>
                </w:p>
              </w:tc>
              <w:tc>
                <w:tcPr>
                  <w:tcW w:w="1101" w:type="dxa"/>
                  <w:tcBorders>
                    <w:top w:val="nil"/>
                    <w:left w:val="nil"/>
                    <w:bottom w:val="nil"/>
                    <w:right w:val="nil"/>
                  </w:tcBorders>
                </w:tcPr>
                <w:p w14:paraId="74759C24" w14:textId="77777777" w:rsidR="00666B7D" w:rsidRPr="00050D96" w:rsidRDefault="00666B7D" w:rsidP="00804DBB">
                  <w:pPr>
                    <w:jc w:val="center"/>
                    <w:rPr>
                      <w:rFonts w:ascii="Bookman Old Style" w:eastAsiaTheme="minorEastAsia" w:hAnsi="Bookman Old Style"/>
                      <w:sz w:val="20"/>
                    </w:rPr>
                  </w:pPr>
                </w:p>
              </w:tc>
              <w:tc>
                <w:tcPr>
                  <w:tcW w:w="1571" w:type="dxa"/>
                  <w:tcBorders>
                    <w:top w:val="nil"/>
                    <w:left w:val="nil"/>
                    <w:bottom w:val="nil"/>
                    <w:right w:val="nil"/>
                  </w:tcBorders>
                </w:tcPr>
                <w:p w14:paraId="5EF40C69" w14:textId="77777777" w:rsidR="00666B7D" w:rsidRPr="00050D96" w:rsidRDefault="00666B7D" w:rsidP="00804DBB">
                  <w:pPr>
                    <w:jc w:val="center"/>
                    <w:rPr>
                      <w:rFonts w:ascii="Bookman Old Style" w:eastAsiaTheme="minorEastAsia" w:hAnsi="Bookman Old Style"/>
                      <w:sz w:val="20"/>
                    </w:rPr>
                  </w:pPr>
                </w:p>
              </w:tc>
              <w:tc>
                <w:tcPr>
                  <w:tcW w:w="2689" w:type="dxa"/>
                  <w:tcBorders>
                    <w:top w:val="nil"/>
                    <w:left w:val="nil"/>
                    <w:bottom w:val="nil"/>
                    <w:right w:val="nil"/>
                  </w:tcBorders>
                </w:tcPr>
                <w:p w14:paraId="538CF162" w14:textId="77777777" w:rsidR="00666B7D" w:rsidRPr="00050D96" w:rsidRDefault="00666B7D" w:rsidP="00804DBB">
                  <w:pPr>
                    <w:jc w:val="center"/>
                    <w:rPr>
                      <w:rFonts w:ascii="Bookman Old Style" w:eastAsiaTheme="minorEastAsia" w:hAnsi="Bookman Old Style"/>
                      <w:sz w:val="20"/>
                    </w:rPr>
                  </w:pPr>
                </w:p>
              </w:tc>
            </w:tr>
            <w:tr w:rsidR="00666B7D" w14:paraId="6AA30B0D" w14:textId="77777777" w:rsidTr="003262D8">
              <w:trPr>
                <w:trHeight w:val="63"/>
                <w:jc w:val="center"/>
              </w:trPr>
              <w:tc>
                <w:tcPr>
                  <w:tcW w:w="3159" w:type="dxa"/>
                  <w:tcBorders>
                    <w:top w:val="nil"/>
                    <w:left w:val="nil"/>
                    <w:bottom w:val="nil"/>
                    <w:right w:val="nil"/>
                  </w:tcBorders>
                </w:tcPr>
                <w:p w14:paraId="02F6489D" w14:textId="77777777" w:rsidR="00666B7D" w:rsidRPr="00050D96" w:rsidRDefault="00666B7D" w:rsidP="00804DBB">
                  <w:pPr>
                    <w:jc w:val="center"/>
                    <w:rPr>
                      <w:rFonts w:ascii="Bookman Old Style" w:eastAsiaTheme="minorEastAsia" w:hAnsi="Bookman Old Style"/>
                      <w:sz w:val="20"/>
                    </w:rPr>
                  </w:pPr>
                </w:p>
              </w:tc>
              <w:tc>
                <w:tcPr>
                  <w:tcW w:w="2672" w:type="dxa"/>
                  <w:gridSpan w:val="2"/>
                  <w:tcBorders>
                    <w:top w:val="nil"/>
                    <w:left w:val="nil"/>
                    <w:bottom w:val="nil"/>
                    <w:right w:val="nil"/>
                  </w:tcBorders>
                </w:tcPr>
                <w:p w14:paraId="3D4C53E6"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Repeatedly tap the [SET] key to toggle the different options</w:t>
                  </w:r>
                </w:p>
              </w:tc>
              <w:tc>
                <w:tcPr>
                  <w:tcW w:w="2689" w:type="dxa"/>
                  <w:tcBorders>
                    <w:top w:val="nil"/>
                    <w:left w:val="nil"/>
                    <w:bottom w:val="nil"/>
                    <w:right w:val="nil"/>
                  </w:tcBorders>
                </w:tcPr>
                <w:p w14:paraId="343B867C" w14:textId="77777777" w:rsidR="00666B7D" w:rsidRPr="00050D96" w:rsidRDefault="00666B7D" w:rsidP="00804DBB">
                  <w:pPr>
                    <w:jc w:val="center"/>
                    <w:rPr>
                      <w:rFonts w:ascii="Bookman Old Style" w:eastAsiaTheme="minorEastAsia" w:hAnsi="Bookman Old Style"/>
                      <w:sz w:val="20"/>
                    </w:rPr>
                  </w:pPr>
                  <w:r w:rsidRPr="00050D96">
                    <w:rPr>
                      <w:rFonts w:ascii="Bookman Old Style" w:eastAsiaTheme="minorEastAsia" w:hAnsi="Bookman Old Style"/>
                      <w:sz w:val="20"/>
                    </w:rPr>
                    <w:t>1-V</w:t>
                  </w:r>
                </w:p>
              </w:tc>
            </w:tr>
            <w:tr w:rsidR="00666B7D" w14:paraId="55D1F32A" w14:textId="77777777" w:rsidTr="003262D8">
              <w:trPr>
                <w:jc w:val="center"/>
              </w:trPr>
              <w:tc>
                <w:tcPr>
                  <w:tcW w:w="3159" w:type="dxa"/>
                  <w:tcBorders>
                    <w:top w:val="nil"/>
                    <w:left w:val="nil"/>
                    <w:right w:val="nil"/>
                  </w:tcBorders>
                </w:tcPr>
                <w:p w14:paraId="0BEBE0EB" w14:textId="77777777" w:rsidR="00666B7D" w:rsidRPr="00050D96" w:rsidRDefault="00666B7D" w:rsidP="00804DBB">
                  <w:pPr>
                    <w:jc w:val="center"/>
                    <w:rPr>
                      <w:rFonts w:ascii="Bookman Old Style" w:eastAsiaTheme="minorEastAsia" w:hAnsi="Bookman Old Style"/>
                      <w:sz w:val="20"/>
                    </w:rPr>
                  </w:pPr>
                </w:p>
              </w:tc>
              <w:tc>
                <w:tcPr>
                  <w:tcW w:w="1101" w:type="dxa"/>
                  <w:tcBorders>
                    <w:top w:val="nil"/>
                    <w:left w:val="nil"/>
                    <w:right w:val="nil"/>
                  </w:tcBorders>
                </w:tcPr>
                <w:p w14:paraId="73206020" w14:textId="77777777" w:rsidR="00666B7D" w:rsidRPr="00050D96" w:rsidRDefault="00666B7D" w:rsidP="00804DBB">
                  <w:pPr>
                    <w:rPr>
                      <w:rFonts w:ascii="Bookman Old Style" w:eastAsiaTheme="minorEastAsia" w:hAnsi="Bookman Old Style"/>
                      <w:sz w:val="20"/>
                    </w:rPr>
                  </w:pPr>
                </w:p>
              </w:tc>
              <w:tc>
                <w:tcPr>
                  <w:tcW w:w="1571" w:type="dxa"/>
                  <w:tcBorders>
                    <w:top w:val="nil"/>
                    <w:left w:val="nil"/>
                    <w:right w:val="nil"/>
                  </w:tcBorders>
                </w:tcPr>
                <w:p w14:paraId="3C1493C7" w14:textId="77777777" w:rsidR="00666B7D" w:rsidRPr="00050D96" w:rsidRDefault="00666B7D" w:rsidP="00804DBB">
                  <w:pPr>
                    <w:jc w:val="center"/>
                    <w:rPr>
                      <w:rFonts w:ascii="Bookman Old Style" w:eastAsiaTheme="minorEastAsia" w:hAnsi="Bookman Old Style"/>
                      <w:sz w:val="20"/>
                    </w:rPr>
                  </w:pPr>
                </w:p>
              </w:tc>
              <w:tc>
                <w:tcPr>
                  <w:tcW w:w="2689" w:type="dxa"/>
                  <w:tcBorders>
                    <w:top w:val="nil"/>
                    <w:left w:val="nil"/>
                    <w:right w:val="nil"/>
                  </w:tcBorders>
                </w:tcPr>
                <w:p w14:paraId="7C75FF59" w14:textId="77777777" w:rsidR="00666B7D" w:rsidRPr="00050D96" w:rsidRDefault="00666B7D" w:rsidP="00804DBB">
                  <w:pPr>
                    <w:jc w:val="center"/>
                    <w:rPr>
                      <w:rFonts w:ascii="Bookman Old Style" w:eastAsiaTheme="minorEastAsia" w:hAnsi="Bookman Old Style"/>
                      <w:sz w:val="20"/>
                    </w:rPr>
                  </w:pPr>
                </w:p>
              </w:tc>
            </w:tr>
          </w:tbl>
          <w:p w14:paraId="726A7995" w14:textId="77777777" w:rsidR="00666B7D" w:rsidRDefault="00666B7D" w:rsidP="00804DBB">
            <w:pPr>
              <w:jc w:val="both"/>
              <w:rPr>
                <w:rFonts w:ascii="Bookman Old Style" w:eastAsiaTheme="minorEastAsia" w:hAnsi="Bookman Old Style"/>
              </w:rPr>
            </w:pPr>
          </w:p>
          <w:p w14:paraId="79C73579" w14:textId="77777777" w:rsidR="00666B7D" w:rsidRDefault="00666B7D" w:rsidP="00804DBB">
            <w:pPr>
              <w:jc w:val="both"/>
              <w:rPr>
                <w:rFonts w:ascii="Bookman Old Style" w:eastAsiaTheme="minorEastAsia" w:hAnsi="Bookman Old Style"/>
              </w:rPr>
            </w:pPr>
            <w:r>
              <w:rPr>
                <w:rFonts w:ascii="Bookman Old Style" w:eastAsiaTheme="minorEastAsia" w:hAnsi="Bookman Old Style"/>
              </w:rPr>
              <w:t>To view statistics of the data set:</w:t>
            </w:r>
          </w:p>
          <w:p w14:paraId="6A5B55F8" w14:textId="77777777" w:rsidR="00666B7D" w:rsidRDefault="00666B7D" w:rsidP="00804DBB">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4338"/>
              <w:gridCol w:w="1383"/>
              <w:gridCol w:w="2397"/>
            </w:tblGrid>
            <w:tr w:rsidR="00666B7D" w14:paraId="002E016F" w14:textId="77777777" w:rsidTr="003262D8">
              <w:trPr>
                <w:jc w:val="center"/>
              </w:trPr>
              <w:tc>
                <w:tcPr>
                  <w:tcW w:w="4338" w:type="dxa"/>
                  <w:tcBorders>
                    <w:top w:val="nil"/>
                    <w:left w:val="nil"/>
                    <w:bottom w:val="single" w:sz="4" w:space="0" w:color="auto"/>
                    <w:right w:val="nil"/>
                  </w:tcBorders>
                </w:tcPr>
                <w:p w14:paraId="4CFE0467" w14:textId="77777777" w:rsidR="00666B7D" w:rsidRPr="00666B7D" w:rsidRDefault="00666B7D" w:rsidP="00804DBB">
                  <w:pPr>
                    <w:jc w:val="center"/>
                    <w:rPr>
                      <w:rFonts w:ascii="Bookman Old Style" w:eastAsiaTheme="minorEastAsia" w:hAnsi="Bookman Old Style"/>
                      <w:b/>
                    </w:rPr>
                  </w:pPr>
                  <w:r w:rsidRPr="00666B7D">
                    <w:rPr>
                      <w:rFonts w:ascii="Bookman Old Style" w:eastAsiaTheme="minorEastAsia" w:hAnsi="Bookman Old Style"/>
                      <w:b/>
                    </w:rPr>
                    <w:t>Action</w:t>
                  </w:r>
                </w:p>
              </w:tc>
              <w:tc>
                <w:tcPr>
                  <w:tcW w:w="1383" w:type="dxa"/>
                  <w:tcBorders>
                    <w:top w:val="nil"/>
                    <w:left w:val="nil"/>
                    <w:bottom w:val="single" w:sz="4" w:space="0" w:color="auto"/>
                    <w:right w:val="nil"/>
                  </w:tcBorders>
                </w:tcPr>
                <w:p w14:paraId="47FBC02E" w14:textId="77777777" w:rsidR="00666B7D" w:rsidRPr="00666B7D" w:rsidRDefault="00666B7D" w:rsidP="00804DBB">
                  <w:pPr>
                    <w:jc w:val="center"/>
                    <w:rPr>
                      <w:rFonts w:ascii="Bookman Old Style" w:eastAsiaTheme="minorEastAsia" w:hAnsi="Bookman Old Style"/>
                      <w:b/>
                    </w:rPr>
                  </w:pPr>
                  <w:r w:rsidRPr="00666B7D">
                    <w:rPr>
                      <w:rFonts w:ascii="Bookman Old Style" w:eastAsiaTheme="minorEastAsia" w:hAnsi="Bookman Old Style"/>
                      <w:b/>
                    </w:rPr>
                    <w:t>Keystroke</w:t>
                  </w:r>
                </w:p>
              </w:tc>
              <w:tc>
                <w:tcPr>
                  <w:tcW w:w="2397" w:type="dxa"/>
                  <w:tcBorders>
                    <w:top w:val="nil"/>
                    <w:left w:val="nil"/>
                    <w:bottom w:val="single" w:sz="4" w:space="0" w:color="auto"/>
                    <w:right w:val="nil"/>
                  </w:tcBorders>
                </w:tcPr>
                <w:p w14:paraId="2008799B" w14:textId="77777777" w:rsidR="00666B7D" w:rsidRPr="00666B7D" w:rsidRDefault="00666B7D" w:rsidP="00804DBB">
                  <w:pPr>
                    <w:jc w:val="center"/>
                    <w:rPr>
                      <w:rFonts w:ascii="Bookman Old Style" w:eastAsiaTheme="minorEastAsia" w:hAnsi="Bookman Old Style"/>
                      <w:b/>
                    </w:rPr>
                  </w:pPr>
                  <w:r w:rsidRPr="00666B7D">
                    <w:rPr>
                      <w:rFonts w:ascii="Bookman Old Style" w:eastAsiaTheme="minorEastAsia" w:hAnsi="Bookman Old Style"/>
                      <w:b/>
                    </w:rPr>
                    <w:t>Calculator Display</w:t>
                  </w:r>
                </w:p>
              </w:tc>
            </w:tr>
            <w:tr w:rsidR="00666B7D" w14:paraId="6AC950E2" w14:textId="77777777" w:rsidTr="003262D8">
              <w:trPr>
                <w:jc w:val="center"/>
              </w:trPr>
              <w:tc>
                <w:tcPr>
                  <w:tcW w:w="4338" w:type="dxa"/>
                  <w:tcBorders>
                    <w:left w:val="nil"/>
                    <w:bottom w:val="nil"/>
                    <w:right w:val="nil"/>
                  </w:tcBorders>
                </w:tcPr>
                <w:p w14:paraId="7FF9B5CB"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To view mean (x), toggle downward</w:t>
                  </w:r>
                </w:p>
              </w:tc>
              <w:tc>
                <w:tcPr>
                  <w:tcW w:w="1383" w:type="dxa"/>
                  <w:tcBorders>
                    <w:left w:val="nil"/>
                    <w:bottom w:val="nil"/>
                    <w:right w:val="nil"/>
                  </w:tcBorders>
                </w:tcPr>
                <w:p w14:paraId="29C02EF9"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97" w:type="dxa"/>
                  <w:tcBorders>
                    <w:left w:val="nil"/>
                    <w:bottom w:val="nil"/>
                    <w:right w:val="nil"/>
                  </w:tcBorders>
                </w:tcPr>
                <w:p w14:paraId="4CD6E2D8"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x = 0.1750</w:t>
                  </w:r>
                </w:p>
              </w:tc>
            </w:tr>
            <w:tr w:rsidR="00666B7D" w14:paraId="1884B814" w14:textId="77777777" w:rsidTr="003262D8">
              <w:trPr>
                <w:jc w:val="center"/>
              </w:trPr>
              <w:tc>
                <w:tcPr>
                  <w:tcW w:w="4338" w:type="dxa"/>
                  <w:tcBorders>
                    <w:top w:val="nil"/>
                    <w:left w:val="nil"/>
                    <w:right w:val="nil"/>
                  </w:tcBorders>
                </w:tcPr>
                <w:p w14:paraId="4830D4D4"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To view sample standard deviation (s), toggle downward</w:t>
                  </w:r>
                </w:p>
              </w:tc>
              <w:tc>
                <w:tcPr>
                  <w:tcW w:w="1383" w:type="dxa"/>
                  <w:tcBorders>
                    <w:top w:val="nil"/>
                    <w:left w:val="nil"/>
                    <w:right w:val="nil"/>
                  </w:tcBorders>
                </w:tcPr>
                <w:p w14:paraId="1461A40E"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w:t>
                  </w:r>
                </w:p>
              </w:tc>
              <w:tc>
                <w:tcPr>
                  <w:tcW w:w="2397" w:type="dxa"/>
                  <w:tcBorders>
                    <w:top w:val="nil"/>
                    <w:left w:val="nil"/>
                    <w:right w:val="nil"/>
                  </w:tcBorders>
                </w:tcPr>
                <w:p w14:paraId="00DF7B2A" w14:textId="77777777" w:rsidR="00666B7D" w:rsidRDefault="00666B7D" w:rsidP="00804DBB">
                  <w:pPr>
                    <w:jc w:val="center"/>
                    <w:rPr>
                      <w:rFonts w:ascii="Bookman Old Style" w:eastAsiaTheme="minorEastAsia" w:hAnsi="Bookman Old Style"/>
                    </w:rPr>
                  </w:pPr>
                  <w:r>
                    <w:rPr>
                      <w:rFonts w:ascii="Bookman Old Style" w:eastAsiaTheme="minorEastAsia" w:hAnsi="Bookman Old Style"/>
                    </w:rPr>
                    <w:t>Sx = 0.2986</w:t>
                  </w:r>
                </w:p>
              </w:tc>
            </w:tr>
          </w:tbl>
          <w:p w14:paraId="36968520" w14:textId="77777777" w:rsidR="00666B7D" w:rsidRPr="00B86ED0" w:rsidRDefault="00666B7D" w:rsidP="00804DBB">
            <w:pPr>
              <w:jc w:val="both"/>
              <w:rPr>
                <w:rFonts w:ascii="Bookman Old Style" w:eastAsiaTheme="minorEastAsia" w:hAnsi="Bookman Old Style"/>
              </w:rPr>
            </w:pPr>
          </w:p>
          <w:p w14:paraId="1DA6518B" w14:textId="77777777" w:rsidR="00666B7D" w:rsidRDefault="00666B7D" w:rsidP="00804DBB">
            <w:pPr>
              <w:jc w:val="both"/>
              <w:rPr>
                <w:rFonts w:ascii="Bookman Old Style" w:eastAsiaTheme="minorEastAsia" w:hAnsi="Bookman Old Style"/>
              </w:rPr>
            </w:pPr>
          </w:p>
        </w:tc>
      </w:tr>
    </w:tbl>
    <w:p w14:paraId="509F984F" w14:textId="27A0FC50" w:rsidR="00666B7D" w:rsidRDefault="00666B7D" w:rsidP="00804DBB">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lastRenderedPageBreak/>
        <w:t>NORMAL DISTRIBUTION</w:t>
      </w:r>
    </w:p>
    <w:p w14:paraId="67F11AE0" w14:textId="574F9F01" w:rsidR="00666B7D" w:rsidRDefault="00666B7D"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For many different events in nature, a particular frequency distribution, the </w:t>
      </w:r>
      <w:r>
        <w:rPr>
          <w:rFonts w:ascii="Bookman Old Style" w:eastAsiaTheme="minorEastAsia" w:hAnsi="Bookman Old Style"/>
          <w:b/>
        </w:rPr>
        <w:t>normal distribution</w:t>
      </w:r>
      <w:r>
        <w:rPr>
          <w:rFonts w:ascii="Bookman Old Style" w:eastAsiaTheme="minorEastAsia" w:hAnsi="Bookman Old Style"/>
        </w:rPr>
        <w:t xml:space="preserve"> (or bell curve), is useful for describing the probability of ending up in a given range.</w:t>
      </w:r>
    </w:p>
    <w:p w14:paraId="067BD2B8" w14:textId="77777777" w:rsidR="00666B7D" w:rsidRDefault="00666B7D" w:rsidP="00804DBB">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666B7D" w14:paraId="3A7E883E" w14:textId="77777777" w:rsidTr="00666B7D">
        <w:tc>
          <w:tcPr>
            <w:tcW w:w="9576" w:type="dxa"/>
          </w:tcPr>
          <w:p w14:paraId="233D73CA" w14:textId="749EFA89" w:rsidR="00666B7D" w:rsidRDefault="00666B7D" w:rsidP="00804DBB">
            <w:pPr>
              <w:jc w:val="both"/>
              <w:rPr>
                <w:rFonts w:ascii="Bookman Old Style" w:eastAsiaTheme="minorEastAsia" w:hAnsi="Bookman Old Style"/>
              </w:rPr>
            </w:pPr>
          </w:p>
          <w:p w14:paraId="719B79DD" w14:textId="77777777" w:rsidR="00666B7D" w:rsidRDefault="00666B7D" w:rsidP="00804DBB">
            <w:pPr>
              <w:jc w:val="both"/>
              <w:rPr>
                <w:rFonts w:ascii="Bookman Old Style" w:eastAsiaTheme="minorEastAsia" w:hAnsi="Bookman Old Style"/>
              </w:rPr>
            </w:pPr>
            <w:r>
              <w:rPr>
                <w:rFonts w:ascii="Bookman Old Style" w:eastAsiaTheme="minorEastAsia" w:hAnsi="Bookman Old Style"/>
                <w:b/>
              </w:rPr>
              <w:t>Normal Distribution</w:t>
            </w:r>
            <w:r>
              <w:rPr>
                <w:rFonts w:ascii="Bookman Old Style" w:eastAsiaTheme="minorEastAsia" w:hAnsi="Bookman Old Style"/>
              </w:rPr>
              <w:t xml:space="preserve"> – A symmetric, bell-shaped frequency distribution that can be defined by its mean and standard deviation.</w:t>
            </w:r>
          </w:p>
          <w:p w14:paraId="5400B722" w14:textId="1D196098" w:rsidR="00666B7D" w:rsidRPr="00666B7D" w:rsidRDefault="00666B7D" w:rsidP="00804DBB">
            <w:pPr>
              <w:jc w:val="both"/>
              <w:rPr>
                <w:rFonts w:ascii="Bookman Old Style" w:eastAsiaTheme="minorEastAsia" w:hAnsi="Bookman Old Style"/>
              </w:rPr>
            </w:pPr>
          </w:p>
        </w:tc>
      </w:tr>
    </w:tbl>
    <w:p w14:paraId="2493D21D" w14:textId="77777777" w:rsidR="00666B7D" w:rsidRDefault="00666B7D" w:rsidP="00804DBB">
      <w:pPr>
        <w:spacing w:after="0" w:line="240" w:lineRule="auto"/>
        <w:jc w:val="both"/>
        <w:rPr>
          <w:rFonts w:ascii="Bookman Old Style" w:eastAsiaTheme="minorEastAsia" w:hAnsi="Bookman Old Style"/>
        </w:rPr>
      </w:pPr>
    </w:p>
    <w:p w14:paraId="11FE3F4D" w14:textId="27E132A9" w:rsidR="00666B7D" w:rsidRDefault="00666B7D" w:rsidP="00804DBB">
      <w:pPr>
        <w:spacing w:after="0" w:line="240" w:lineRule="auto"/>
        <w:jc w:val="both"/>
        <w:rPr>
          <w:rFonts w:ascii="Bookman Old Style" w:eastAsiaTheme="minorEastAsia" w:hAnsi="Bookman Old Style"/>
        </w:rPr>
      </w:pPr>
      <w:r>
        <w:rPr>
          <w:rFonts w:ascii="Bookman Old Style" w:eastAsiaTheme="minorEastAsia" w:hAnsi="Bookman Old Style"/>
        </w:rPr>
        <w:t>The figure below shows a normal distribution and its distinctive bell shape. Like normal distribution, the actual distributions appear to be at least roughly mound-shaped and symmetrical - when this is true, the normal distribution if usually a good approximation.</w:t>
      </w:r>
    </w:p>
    <w:p w14:paraId="4CD97FCF" w14:textId="77777777" w:rsidR="00573B12" w:rsidRDefault="00573B12" w:rsidP="00804DBB">
      <w:pPr>
        <w:spacing w:after="0" w:line="240" w:lineRule="auto"/>
        <w:jc w:val="both"/>
        <w:rPr>
          <w:rFonts w:ascii="Bookman Old Style" w:eastAsiaTheme="minorEastAsia" w:hAnsi="Bookman Old Style"/>
        </w:rPr>
      </w:pPr>
    </w:p>
    <w:p w14:paraId="4F08FA2C" w14:textId="76C0F762" w:rsidR="00573B12" w:rsidRDefault="00573B12" w:rsidP="00804DBB">
      <w:pPr>
        <w:spacing w:after="0" w:line="240" w:lineRule="auto"/>
        <w:jc w:val="both"/>
        <w:rPr>
          <w:rFonts w:ascii="Bookman Old Style" w:eastAsiaTheme="minorEastAsia" w:hAnsi="Bookman Old Style"/>
        </w:rPr>
      </w:pPr>
      <w:r>
        <w:rPr>
          <w:rFonts w:ascii="Bookman Old Style" w:eastAsiaTheme="minorEastAsia" w:hAnsi="Bookman Old Style"/>
          <w:noProof/>
        </w:rPr>
        <w:drawing>
          <wp:inline distT="0" distB="0" distL="0" distR="0" wp14:anchorId="63DF6602" wp14:editId="1FF79E8A">
            <wp:extent cx="5943600" cy="19989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8">
                      <a:extLst>
                        <a:ext uri="{28A0092B-C50C-407E-A947-70E740481C1C}">
                          <a14:useLocalDpi xmlns:a14="http://schemas.microsoft.com/office/drawing/2010/main" val="0"/>
                        </a:ext>
                      </a:extLst>
                    </a:blip>
                    <a:stretch>
                      <a:fillRect/>
                    </a:stretch>
                  </pic:blipFill>
                  <pic:spPr>
                    <a:xfrm>
                      <a:off x="0" y="0"/>
                      <a:ext cx="5943600" cy="1998980"/>
                    </a:xfrm>
                    <a:prstGeom prst="rect">
                      <a:avLst/>
                    </a:prstGeom>
                  </pic:spPr>
                </pic:pic>
              </a:graphicData>
            </a:graphic>
          </wp:inline>
        </w:drawing>
      </w:r>
    </w:p>
    <w:p w14:paraId="723A2CC6" w14:textId="77777777" w:rsidR="00666B7D" w:rsidRDefault="00666B7D" w:rsidP="00804DBB">
      <w:pPr>
        <w:spacing w:after="0" w:line="240" w:lineRule="auto"/>
        <w:jc w:val="both"/>
        <w:rPr>
          <w:rFonts w:ascii="Bookman Old Style" w:eastAsiaTheme="minorEastAsia" w:hAnsi="Bookman Old Style"/>
        </w:rPr>
      </w:pPr>
    </w:p>
    <w:p w14:paraId="4617A887" w14:textId="7862BBED" w:rsidR="00666B7D" w:rsidRDefault="00573B12" w:rsidP="00804DBB">
      <w:pPr>
        <w:spacing w:after="0" w:line="240" w:lineRule="auto"/>
        <w:jc w:val="both"/>
        <w:rPr>
          <w:rFonts w:ascii="Bookman Old Style" w:eastAsiaTheme="minorEastAsia" w:hAnsi="Bookman Old Style"/>
        </w:rPr>
      </w:pPr>
      <w:r>
        <w:rPr>
          <w:rFonts w:ascii="Bookman Old Style" w:eastAsiaTheme="minorEastAsia" w:hAnsi="Bookman Old Style"/>
        </w:rPr>
        <w:t>The usefulness of the normal distribution comes from the fact that it’s completely described by the average and standard deviation. If you have these 2 numbers, there’s nothing else to know.</w:t>
      </w:r>
    </w:p>
    <w:p w14:paraId="15BFC12E" w14:textId="77777777" w:rsidR="00573B12" w:rsidRDefault="00573B12" w:rsidP="00804DBB">
      <w:pPr>
        <w:spacing w:after="0" w:line="240" w:lineRule="auto"/>
        <w:jc w:val="both"/>
        <w:rPr>
          <w:rFonts w:ascii="Bookman Old Style" w:eastAsiaTheme="minorEastAsia" w:hAnsi="Bookman Old Style"/>
        </w:rPr>
      </w:pPr>
    </w:p>
    <w:p w14:paraId="7ED07877" w14:textId="09A4EE0E" w:rsidR="00573B12" w:rsidRDefault="00573B12" w:rsidP="00804DBB">
      <w:pPr>
        <w:spacing w:after="0" w:line="240" w:lineRule="auto"/>
        <w:jc w:val="both"/>
        <w:rPr>
          <w:rFonts w:ascii="Bookman Old Style" w:eastAsiaTheme="minorEastAsia" w:hAnsi="Bookman Old Style"/>
        </w:rPr>
      </w:pPr>
      <w:r>
        <w:rPr>
          <w:rFonts w:ascii="Bookman Old Style" w:eastAsiaTheme="minorEastAsia" w:hAnsi="Bookman Old Style"/>
        </w:rPr>
        <w:t>With a normal distribution, the probability that you’ll end up within one standard deviation of the average is about two-thirds. The probability that you end up within 2 standard deviations is about 95% and the probability of being more than 3 standard deviations away from the average is less than 1%. These ranges and the probabilities are shown in the graph.</w:t>
      </w:r>
    </w:p>
    <w:p w14:paraId="5E0BE6DF" w14:textId="77777777" w:rsidR="00573B12" w:rsidRDefault="00573B12" w:rsidP="00804DBB">
      <w:pPr>
        <w:spacing w:after="0" w:line="240" w:lineRule="auto"/>
        <w:jc w:val="both"/>
        <w:rPr>
          <w:rFonts w:ascii="Bookman Old Style" w:eastAsiaTheme="minorEastAsia" w:hAnsi="Bookman Old Style"/>
        </w:rPr>
      </w:pPr>
    </w:p>
    <w:p w14:paraId="174D37ED" w14:textId="26B9808D" w:rsidR="00573B12" w:rsidRDefault="00573B12" w:rsidP="00804DBB">
      <w:pPr>
        <w:spacing w:after="0" w:line="240" w:lineRule="auto"/>
        <w:jc w:val="both"/>
        <w:rPr>
          <w:rFonts w:ascii="Bookman Old Style" w:eastAsiaTheme="minorEastAsia" w:hAnsi="Bookman Old Style"/>
        </w:rPr>
      </w:pPr>
      <w:r>
        <w:rPr>
          <w:rFonts w:ascii="Bookman Old Style" w:eastAsiaTheme="minorEastAsia" w:hAnsi="Bookman Old Style"/>
        </w:rPr>
        <w:t>To see why this is useful, remember that the standard deviation of returns on Canadian common stock is 16.93%. The average return is 10.45%. So, assuming that the frequency distribution is at least approximately normal, the probability that the return in a given year is in the range -6.48% to 27.38% (10.45 plus or minus one standard deviation, 16.93) is about two-thirds.</w:t>
      </w:r>
    </w:p>
    <w:p w14:paraId="1E9115BC" w14:textId="77777777" w:rsidR="00573B12" w:rsidRDefault="00573B12" w:rsidP="00804DBB">
      <w:pPr>
        <w:spacing w:after="0" w:line="240" w:lineRule="auto"/>
        <w:jc w:val="both"/>
        <w:rPr>
          <w:rFonts w:ascii="Bookman Old Style" w:eastAsiaTheme="minorEastAsia" w:hAnsi="Bookman Old Style"/>
        </w:rPr>
      </w:pPr>
    </w:p>
    <w:p w14:paraId="528D91D5" w14:textId="2BB35A9E" w:rsidR="00573B12" w:rsidRDefault="00573B12" w:rsidP="00804DBB">
      <w:pPr>
        <w:spacing w:after="0" w:line="240" w:lineRule="auto"/>
        <w:jc w:val="both"/>
        <w:rPr>
          <w:rFonts w:ascii="Bookman Old Style" w:eastAsiaTheme="minorEastAsia" w:hAnsi="Bookman Old Style"/>
        </w:rPr>
      </w:pPr>
      <w:r>
        <w:rPr>
          <w:rFonts w:ascii="Bookman Old Style" w:eastAsiaTheme="minorEastAsia" w:hAnsi="Bookman Old Style"/>
        </w:rPr>
        <w:t>In other words, there’s about one chance in 3 that the return is outside this range. This literally tells you that if you buy stocks in larger companies, you should expect to be outside this range in one year out of every 3. This reinforces earlier observations about stock market volatility.</w:t>
      </w:r>
    </w:p>
    <w:p w14:paraId="5C7265AC" w14:textId="77777777" w:rsidR="00573B12" w:rsidRDefault="00573B12" w:rsidP="00804DBB">
      <w:pPr>
        <w:spacing w:after="0" w:line="240" w:lineRule="auto"/>
        <w:jc w:val="both"/>
        <w:rPr>
          <w:rFonts w:ascii="Bookman Old Style" w:eastAsiaTheme="minorEastAsia" w:hAnsi="Bookman Old Style"/>
        </w:rPr>
      </w:pPr>
    </w:p>
    <w:p w14:paraId="1AA81ECA" w14:textId="27C1B214" w:rsidR="00573B12" w:rsidRDefault="00573B12"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But there’s only a 5% chance (around) that we’d end up outside the range -23.41% to 44.31% (10.45% plus or minus 2 * 16.93%).</w:t>
      </w:r>
    </w:p>
    <w:p w14:paraId="6F9E06C7" w14:textId="77777777" w:rsidR="00644DAF" w:rsidRDefault="00644DAF" w:rsidP="00804DBB">
      <w:pPr>
        <w:spacing w:after="0" w:line="240" w:lineRule="auto"/>
        <w:jc w:val="both"/>
        <w:rPr>
          <w:rFonts w:ascii="Bookman Old Style" w:eastAsiaTheme="minorEastAsia" w:hAnsi="Bookman Old Style"/>
        </w:rPr>
      </w:pPr>
    </w:p>
    <w:p w14:paraId="1C76F4BC" w14:textId="77777777" w:rsidR="00644DAF" w:rsidRDefault="00644DAF" w:rsidP="00804DBB">
      <w:pPr>
        <w:spacing w:after="0" w:line="240" w:lineRule="auto"/>
        <w:jc w:val="both"/>
        <w:rPr>
          <w:rFonts w:ascii="Bookman Old Style" w:eastAsiaTheme="minorEastAsia" w:hAnsi="Bookman Old Style"/>
        </w:rPr>
      </w:pPr>
    </w:p>
    <w:p w14:paraId="1A978E44" w14:textId="4339827F" w:rsidR="00644DAF" w:rsidRDefault="00644DAF"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VALUE AT RISK</w:t>
      </w:r>
    </w:p>
    <w:p w14:paraId="10501A08" w14:textId="5DE111C6" w:rsidR="00644DAF" w:rsidRDefault="00644DAF" w:rsidP="00804DBB">
      <w:pPr>
        <w:spacing w:after="0" w:line="240" w:lineRule="auto"/>
        <w:jc w:val="both"/>
        <w:rPr>
          <w:rFonts w:ascii="Bookman Old Style" w:eastAsiaTheme="minorEastAsia" w:hAnsi="Bookman Old Style"/>
        </w:rPr>
      </w:pPr>
      <w:r>
        <w:rPr>
          <w:rFonts w:ascii="Bookman Old Style" w:eastAsiaTheme="minorEastAsia" w:hAnsi="Bookman Old Style"/>
        </w:rPr>
        <w:t>We can take this one step further to create a measure of risk that’s widely used.</w:t>
      </w:r>
    </w:p>
    <w:p w14:paraId="6CE9BC13" w14:textId="77777777" w:rsidR="00644DAF" w:rsidRDefault="00644DAF" w:rsidP="00804DBB">
      <w:pPr>
        <w:spacing w:after="0" w:line="240" w:lineRule="auto"/>
        <w:jc w:val="both"/>
        <w:rPr>
          <w:rFonts w:ascii="Bookman Old Style" w:eastAsiaTheme="minorEastAsia" w:hAnsi="Bookman Old Style"/>
        </w:rPr>
      </w:pPr>
    </w:p>
    <w:p w14:paraId="1E73AFEC" w14:textId="1A648DAB" w:rsidR="00644DAF" w:rsidRDefault="00644DAF" w:rsidP="00804DBB">
      <w:pPr>
        <w:spacing w:after="0" w:line="240" w:lineRule="auto"/>
        <w:jc w:val="both"/>
        <w:rPr>
          <w:rFonts w:ascii="Bookman Old Style" w:eastAsiaTheme="minorEastAsia" w:hAnsi="Bookman Old Style"/>
        </w:rPr>
      </w:pPr>
      <w:r>
        <w:rPr>
          <w:rFonts w:ascii="Bookman Old Style" w:eastAsiaTheme="minorEastAsia" w:hAnsi="Bookman Old Style"/>
        </w:rPr>
        <w:t>Suppose you’re a risk manager at a bank that has $100 million invested in stocks – you want to know how much you can lose in any one year.</w:t>
      </w:r>
    </w:p>
    <w:p w14:paraId="13074EBE" w14:textId="77777777" w:rsidR="00644DAF" w:rsidRDefault="00644DAF" w:rsidP="00804DBB">
      <w:pPr>
        <w:spacing w:after="0" w:line="240" w:lineRule="auto"/>
        <w:jc w:val="both"/>
        <w:rPr>
          <w:rFonts w:ascii="Bookman Old Style" w:eastAsiaTheme="minorEastAsia" w:hAnsi="Bookman Old Style"/>
        </w:rPr>
      </w:pPr>
    </w:p>
    <w:p w14:paraId="1E9B86E8" w14:textId="38A97E87" w:rsidR="00644DAF" w:rsidRDefault="00644DAF" w:rsidP="00804DBB">
      <w:pPr>
        <w:spacing w:after="0" w:line="240" w:lineRule="auto"/>
        <w:jc w:val="both"/>
        <w:rPr>
          <w:rFonts w:ascii="Bookman Old Style" w:eastAsiaTheme="minorEastAsia" w:hAnsi="Bookman Old Style"/>
        </w:rPr>
      </w:pPr>
      <w:r>
        <w:rPr>
          <w:rFonts w:ascii="Bookman Old Style" w:eastAsiaTheme="minorEastAsia" w:hAnsi="Bookman Old Style"/>
        </w:rPr>
        <w:t>We just showed that based on historical data, you’d be outside the range of 23.41% to 44.31% only 5% of the time. Because we based this on normal distribution, you know that the distribution is symmetric. In other words, the 5% chance of being outside the range break down into a 2.5% probability of a return above 44.31% and an equal 2.5$ chance of a return below -23.41%</w:t>
      </w:r>
    </w:p>
    <w:p w14:paraId="4C10B982" w14:textId="77777777" w:rsidR="00644DAF" w:rsidRDefault="00644DAF" w:rsidP="00804DBB">
      <w:pPr>
        <w:spacing w:after="0" w:line="240" w:lineRule="auto"/>
        <w:jc w:val="both"/>
        <w:rPr>
          <w:rFonts w:ascii="Bookman Old Style" w:eastAsiaTheme="minorEastAsia" w:hAnsi="Bookman Old Style"/>
        </w:rPr>
      </w:pPr>
    </w:p>
    <w:p w14:paraId="5967D3C3" w14:textId="0D759B71" w:rsidR="00644DAF" w:rsidRDefault="00644DAF" w:rsidP="00804DBB">
      <w:pPr>
        <w:spacing w:after="0" w:line="240" w:lineRule="auto"/>
        <w:jc w:val="both"/>
        <w:rPr>
          <w:rFonts w:ascii="Bookman Old Style" w:eastAsiaTheme="minorEastAsia" w:hAnsi="Bookman Old Style"/>
        </w:rPr>
      </w:pPr>
      <w:r>
        <w:rPr>
          <w:rFonts w:ascii="Bookman Old Style" w:eastAsiaTheme="minorEastAsia" w:hAnsi="Bookman Old Style"/>
        </w:rPr>
        <w:t>You want to find out how much you can lose, so you can safely ignore the chance of a return above 44.31% - instead you focus on the 2.5% chance of a loss of more than 23.41% of the portfolio.</w:t>
      </w:r>
    </w:p>
    <w:p w14:paraId="6EC4C2E4" w14:textId="77777777" w:rsidR="00644DAF" w:rsidRDefault="00644DAF" w:rsidP="00804DBB">
      <w:pPr>
        <w:spacing w:after="0" w:line="240" w:lineRule="auto"/>
        <w:jc w:val="both"/>
        <w:rPr>
          <w:rFonts w:ascii="Bookman Old Style" w:eastAsiaTheme="minorEastAsia" w:hAnsi="Bookman Old Style"/>
        </w:rPr>
      </w:pPr>
    </w:p>
    <w:p w14:paraId="73D90634" w14:textId="78CD3BAE" w:rsidR="00644DAF" w:rsidRDefault="003262D8" w:rsidP="00804DBB">
      <w:pPr>
        <w:spacing w:after="0" w:line="240" w:lineRule="auto"/>
        <w:jc w:val="both"/>
        <w:rPr>
          <w:rFonts w:ascii="Bookman Old Style" w:eastAsiaTheme="minorEastAsia" w:hAnsi="Bookman Old Style"/>
          <w:b/>
        </w:rPr>
      </w:pPr>
      <w:r>
        <w:rPr>
          <w:rFonts w:ascii="Bookman Old Style" w:eastAsiaTheme="minorEastAsia" w:hAnsi="Bookman Old Style"/>
        </w:rPr>
        <w:t xml:space="preserve">97.5% of the time, your loss won’t exceed this level. On a portfolio of $100 million, this means that your maximum loss estimate is $100 million * (-23.41%) = -$23.41 million. This number is called </w:t>
      </w:r>
      <w:r>
        <w:rPr>
          <w:rFonts w:ascii="Bookman Old Style" w:eastAsiaTheme="minorEastAsia" w:hAnsi="Bookman Old Style"/>
          <w:b/>
        </w:rPr>
        <w:t>value at risk (VaR).</w:t>
      </w:r>
    </w:p>
    <w:p w14:paraId="697CEE42" w14:textId="77777777" w:rsidR="003262D8" w:rsidRDefault="003262D8" w:rsidP="00804DBB">
      <w:pPr>
        <w:spacing w:after="0" w:line="240" w:lineRule="auto"/>
        <w:jc w:val="both"/>
        <w:rPr>
          <w:rFonts w:ascii="Bookman Old Style" w:eastAsiaTheme="minorEastAsia" w:hAnsi="Bookman Old Style"/>
          <w:b/>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3262D8" w14:paraId="4CCEF177" w14:textId="77777777" w:rsidTr="003262D8">
        <w:tc>
          <w:tcPr>
            <w:tcW w:w="9576" w:type="dxa"/>
          </w:tcPr>
          <w:p w14:paraId="3A12309B" w14:textId="0AE9DE6A" w:rsidR="003262D8" w:rsidRDefault="003262D8" w:rsidP="00804DBB">
            <w:pPr>
              <w:jc w:val="both"/>
              <w:rPr>
                <w:rFonts w:ascii="Bookman Old Style" w:eastAsiaTheme="minorEastAsia" w:hAnsi="Bookman Old Style"/>
              </w:rPr>
            </w:pPr>
          </w:p>
          <w:p w14:paraId="1822D248" w14:textId="77777777" w:rsidR="003262D8" w:rsidRDefault="003262D8" w:rsidP="00804DBB">
            <w:pPr>
              <w:jc w:val="both"/>
              <w:rPr>
                <w:rFonts w:ascii="Bookman Old Style" w:eastAsiaTheme="minorEastAsia" w:hAnsi="Bookman Old Style"/>
              </w:rPr>
            </w:pPr>
            <w:r>
              <w:rPr>
                <w:rFonts w:ascii="Bookman Old Style" w:eastAsiaTheme="minorEastAsia" w:hAnsi="Bookman Old Style"/>
                <w:b/>
              </w:rPr>
              <w:t>Value at Risk (VaR)</w:t>
            </w:r>
            <w:r>
              <w:rPr>
                <w:rFonts w:ascii="Bookman Old Style" w:eastAsiaTheme="minorEastAsia" w:hAnsi="Bookman Old Style"/>
              </w:rPr>
              <w:t xml:space="preserve"> – Statistical measure of maximum loss used by banks and other financial institutions to manage risk exposure.</w:t>
            </w:r>
          </w:p>
          <w:p w14:paraId="4590530D" w14:textId="129924BB" w:rsidR="003262D8" w:rsidRPr="003262D8" w:rsidRDefault="003262D8" w:rsidP="00804DBB">
            <w:pPr>
              <w:jc w:val="both"/>
              <w:rPr>
                <w:rFonts w:ascii="Bookman Old Style" w:eastAsiaTheme="minorEastAsia" w:hAnsi="Bookman Old Style"/>
              </w:rPr>
            </w:pPr>
          </w:p>
        </w:tc>
      </w:tr>
    </w:tbl>
    <w:p w14:paraId="74777D04" w14:textId="77777777" w:rsidR="003262D8" w:rsidRPr="003262D8" w:rsidRDefault="003262D8" w:rsidP="00804DBB">
      <w:pPr>
        <w:spacing w:after="0" w:line="240" w:lineRule="auto"/>
        <w:jc w:val="both"/>
        <w:rPr>
          <w:rFonts w:ascii="Bookman Old Style" w:eastAsiaTheme="minorEastAsia" w:hAnsi="Bookman Old Style"/>
        </w:rPr>
      </w:pPr>
    </w:p>
    <w:p w14:paraId="310D55E1" w14:textId="1275E9F1" w:rsidR="00644DAF"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rPr>
        <w:t>Because VaR is a measure of possible loss, financial institutions use it in determining adequate capital levels. They recognize that VaR likely underestimates the amount of capital needed because it’s based on assuming a normal distribution of returns.</w:t>
      </w:r>
    </w:p>
    <w:p w14:paraId="09C98166" w14:textId="77777777" w:rsidR="003262D8" w:rsidRDefault="003262D8" w:rsidP="00804DBB">
      <w:pPr>
        <w:spacing w:after="0" w:line="240" w:lineRule="auto"/>
        <w:jc w:val="both"/>
        <w:rPr>
          <w:rFonts w:ascii="Bookman Old Style" w:eastAsiaTheme="minorEastAsia" w:hAnsi="Bookman Old Style"/>
        </w:rPr>
      </w:pPr>
    </w:p>
    <w:p w14:paraId="41CD57AA" w14:textId="77777777" w:rsidR="003262D8" w:rsidRDefault="003262D8" w:rsidP="00804DBB">
      <w:pPr>
        <w:spacing w:after="0" w:line="240" w:lineRule="auto"/>
        <w:jc w:val="both"/>
        <w:rPr>
          <w:rFonts w:ascii="Bookman Old Style" w:eastAsiaTheme="minorEastAsia" w:hAnsi="Bookman Old Style"/>
          <w:b/>
          <w:u w:val="single"/>
        </w:rPr>
      </w:pPr>
    </w:p>
    <w:p w14:paraId="509C8BC1" w14:textId="7DA8DC89" w:rsidR="003262D8"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THE SECOND LESSON</w:t>
      </w:r>
    </w:p>
    <w:p w14:paraId="5221746C" w14:textId="11DE443A" w:rsidR="003262D8"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rPr>
        <w:t>Bearing risk is handsomely rewarded, but in a given year, there’s a significant chance of a dramatic change in value. So, our second lesson is:</w:t>
      </w:r>
    </w:p>
    <w:p w14:paraId="3B42EF2C" w14:textId="77777777" w:rsidR="003262D8" w:rsidRDefault="003262D8" w:rsidP="00804DBB">
      <w:pPr>
        <w:spacing w:after="0" w:line="240" w:lineRule="auto"/>
        <w:jc w:val="both"/>
        <w:rPr>
          <w:rFonts w:ascii="Bookman Old Style" w:eastAsiaTheme="minorEastAsia" w:hAnsi="Bookman Old Style"/>
        </w:rPr>
      </w:pPr>
    </w:p>
    <w:p w14:paraId="16EC255D" w14:textId="24CF067B" w:rsidR="003262D8" w:rsidRPr="003262D8" w:rsidRDefault="003262D8" w:rsidP="00804DBB">
      <w:pPr>
        <w:spacing w:after="0" w:line="240" w:lineRule="auto"/>
        <w:jc w:val="center"/>
        <w:rPr>
          <w:rFonts w:ascii="Bookman Old Style" w:eastAsiaTheme="minorEastAsia" w:hAnsi="Bookman Old Style"/>
        </w:rPr>
      </w:pPr>
      <w:r>
        <w:rPr>
          <w:rFonts w:ascii="Bookman Old Style" w:eastAsiaTheme="minorEastAsia" w:hAnsi="Bookman Old Style"/>
        </w:rPr>
        <w:t>The greater the potential reward, the greater is the risk</w:t>
      </w:r>
    </w:p>
    <w:p w14:paraId="295F59DD" w14:textId="77777777" w:rsidR="00644DAF" w:rsidRDefault="00644DAF" w:rsidP="00804DBB">
      <w:pPr>
        <w:spacing w:after="0" w:line="240" w:lineRule="auto"/>
        <w:jc w:val="both"/>
        <w:rPr>
          <w:rFonts w:ascii="Bookman Old Style" w:eastAsiaTheme="minorEastAsia" w:hAnsi="Bookman Old Style"/>
        </w:rPr>
      </w:pPr>
    </w:p>
    <w:p w14:paraId="6C59E6BD" w14:textId="348C1AAB" w:rsidR="003262D8"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rPr>
        <w:t>The TSX Venture stocks illustrated this lesson over again as this investment had both the highest average return and the largest standard deviation of any Canadian investment. On the contrary, Small stocks have the second largest standard deviation, but also the second smallest average return.</w:t>
      </w:r>
    </w:p>
    <w:p w14:paraId="1B3DFFD4" w14:textId="77777777" w:rsidR="003262D8" w:rsidRDefault="003262D8" w:rsidP="00804DBB">
      <w:pPr>
        <w:spacing w:after="0" w:line="240" w:lineRule="auto"/>
        <w:jc w:val="both"/>
        <w:rPr>
          <w:rFonts w:ascii="Bookman Old Style" w:eastAsiaTheme="minorEastAsia" w:hAnsi="Bookman Old Style"/>
        </w:rPr>
      </w:pPr>
    </w:p>
    <w:p w14:paraId="7DE7E3DD" w14:textId="77777777" w:rsidR="003262D8" w:rsidRDefault="003262D8" w:rsidP="00804DBB">
      <w:pPr>
        <w:spacing w:after="0" w:line="240" w:lineRule="auto"/>
        <w:jc w:val="both"/>
        <w:rPr>
          <w:rFonts w:ascii="Bookman Old Style" w:eastAsiaTheme="minorEastAsia" w:hAnsi="Bookman Old Style"/>
        </w:rPr>
      </w:pPr>
    </w:p>
    <w:p w14:paraId="441D9C02" w14:textId="3EF6C2FB" w:rsidR="003262D8"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2008 MARKET</w:t>
      </w:r>
    </w:p>
    <w:p w14:paraId="1BA2F140" w14:textId="4D1EFA08" w:rsidR="003262D8"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rPr>
        <w:t>2008 entered the record books as one of the worst years for stock market investors in Canadian and global history. The S&amp;P/TSX Composite plunged 33%.</w:t>
      </w:r>
    </w:p>
    <w:p w14:paraId="190E1A98" w14:textId="33DCADE8" w:rsidR="003262D8"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Over the period, 1948-2011, 2008 was the worst year – 1974 came close with a loss of 25.93%. The downdraft continued with a further decline of 17% in early 2009. In all, from August 2008 through March 2009, the S&amp;P/TSX lost 50% of its value.</w:t>
      </w:r>
    </w:p>
    <w:p w14:paraId="29AB8366" w14:textId="77777777" w:rsidR="003262D8" w:rsidRDefault="003262D8" w:rsidP="00804DBB">
      <w:pPr>
        <w:spacing w:after="0" w:line="240" w:lineRule="auto"/>
        <w:jc w:val="both"/>
        <w:rPr>
          <w:rFonts w:ascii="Bookman Old Style" w:eastAsiaTheme="minorEastAsia" w:hAnsi="Bookman Old Style"/>
        </w:rPr>
      </w:pPr>
    </w:p>
    <w:p w14:paraId="34086C8E" w14:textId="43EEAF34" w:rsidR="003262D8" w:rsidRDefault="003262D8" w:rsidP="00804DBB">
      <w:pPr>
        <w:spacing w:after="0" w:line="240" w:lineRule="auto"/>
        <w:jc w:val="both"/>
        <w:rPr>
          <w:rFonts w:ascii="Bookman Old Style" w:eastAsiaTheme="minorEastAsia" w:hAnsi="Bookman Old Style"/>
        </w:rPr>
      </w:pPr>
      <w:r>
        <w:rPr>
          <w:rFonts w:ascii="Bookman Old Style" w:eastAsiaTheme="minorEastAsia" w:hAnsi="Bookman Old Style"/>
        </w:rPr>
        <w:t>Many or the world’s major markets all experienced a decline – China, India and Russia all experienced declines of more than 50%.</w:t>
      </w:r>
    </w:p>
    <w:p w14:paraId="21B51EDC" w14:textId="77777777" w:rsidR="00C320E5" w:rsidRDefault="00C320E5" w:rsidP="00804DBB">
      <w:pPr>
        <w:spacing w:after="0" w:line="240" w:lineRule="auto"/>
        <w:jc w:val="both"/>
        <w:rPr>
          <w:rFonts w:ascii="Bookman Old Style" w:eastAsiaTheme="minorEastAsia" w:hAnsi="Bookman Old Style"/>
        </w:rPr>
      </w:pPr>
    </w:p>
    <w:p w14:paraId="3C6D8F86" w14:textId="6704D4A0" w:rsidR="00C320E5" w:rsidRDefault="00C320E5" w:rsidP="00804DBB">
      <w:pPr>
        <w:spacing w:after="0" w:line="240" w:lineRule="auto"/>
        <w:jc w:val="both"/>
        <w:rPr>
          <w:rFonts w:ascii="Bookman Old Style" w:eastAsiaTheme="minorEastAsia" w:hAnsi="Bookman Old Style"/>
        </w:rPr>
      </w:pPr>
      <w:r>
        <w:rPr>
          <w:rFonts w:ascii="Bookman Old Style" w:eastAsiaTheme="minorEastAsia" w:hAnsi="Bookman Old Style"/>
        </w:rPr>
        <w:t>But there were bright spots as stocks tanked – bonds did well with returns in Canada of 2.70% in 2008 and 5.31% is 2009. These returns were especially impressive considering that the rate of inflation was just over 1%.</w:t>
      </w:r>
    </w:p>
    <w:p w14:paraId="5343B1B2" w14:textId="77777777" w:rsidR="00C320E5" w:rsidRDefault="00C320E5" w:rsidP="00804DBB">
      <w:pPr>
        <w:spacing w:after="0" w:line="240" w:lineRule="auto"/>
        <w:jc w:val="both"/>
        <w:rPr>
          <w:rFonts w:ascii="Bookman Old Style" w:eastAsiaTheme="minorEastAsia" w:hAnsi="Bookman Old Style"/>
        </w:rPr>
      </w:pPr>
    </w:p>
    <w:p w14:paraId="3F5DEB98" w14:textId="6013A82C" w:rsidR="00C320E5" w:rsidRDefault="00C320E5" w:rsidP="00804DBB">
      <w:pPr>
        <w:spacing w:after="0" w:line="240" w:lineRule="auto"/>
        <w:jc w:val="both"/>
        <w:rPr>
          <w:rFonts w:ascii="Bookman Old Style" w:eastAsiaTheme="minorEastAsia" w:hAnsi="Bookman Old Style"/>
        </w:rPr>
      </w:pPr>
      <w:r>
        <w:rPr>
          <w:rFonts w:ascii="Bookman Old Style" w:eastAsiaTheme="minorEastAsia" w:hAnsi="Bookman Old Style"/>
        </w:rPr>
        <w:t>Stock prices can be volatile in both directions. Starting in March 2009, stock prices climbed for an overall return of 34.35% in 2009 and a further 17.27% in 2010. What lessons should be taken away from this turbulent bit of capital market history?</w:t>
      </w:r>
    </w:p>
    <w:p w14:paraId="58556BC1" w14:textId="77777777" w:rsidR="00C320E5" w:rsidRDefault="00C320E5" w:rsidP="00804DBB">
      <w:pPr>
        <w:spacing w:after="0" w:line="240" w:lineRule="auto"/>
        <w:jc w:val="both"/>
        <w:rPr>
          <w:rFonts w:ascii="Bookman Old Style" w:eastAsiaTheme="minorEastAsia" w:hAnsi="Bookman Old Style"/>
        </w:rPr>
      </w:pPr>
    </w:p>
    <w:p w14:paraId="6D2790C0" w14:textId="354255B5" w:rsidR="00C320E5" w:rsidRDefault="00C320E5" w:rsidP="00804DBB">
      <w:pPr>
        <w:pStyle w:val="ListParagraph"/>
        <w:numPr>
          <w:ilvl w:val="0"/>
          <w:numId w:val="17"/>
        </w:numPr>
        <w:spacing w:after="0" w:line="240" w:lineRule="auto"/>
        <w:jc w:val="both"/>
        <w:rPr>
          <w:rFonts w:ascii="Bookman Old Style" w:eastAsiaTheme="minorEastAsia" w:hAnsi="Bookman Old Style"/>
        </w:rPr>
      </w:pPr>
      <w:r>
        <w:rPr>
          <w:rFonts w:ascii="Bookman Old Style" w:eastAsiaTheme="minorEastAsia" w:hAnsi="Bookman Old Style"/>
        </w:rPr>
        <w:t>Stocks have significant risk!</w:t>
      </w:r>
    </w:p>
    <w:p w14:paraId="4864B235" w14:textId="77777777" w:rsidR="00C320E5" w:rsidRDefault="00C320E5" w:rsidP="00804DBB">
      <w:pPr>
        <w:pStyle w:val="ListParagraph"/>
        <w:spacing w:after="0" w:line="240" w:lineRule="auto"/>
        <w:jc w:val="both"/>
        <w:rPr>
          <w:rFonts w:ascii="Bookman Old Style" w:eastAsiaTheme="minorEastAsia" w:hAnsi="Bookman Old Style"/>
        </w:rPr>
      </w:pPr>
    </w:p>
    <w:p w14:paraId="625D6D98" w14:textId="352ADCC8" w:rsidR="00C320E5" w:rsidRDefault="00C320E5" w:rsidP="00804DBB">
      <w:pPr>
        <w:pStyle w:val="ListParagraph"/>
        <w:numPr>
          <w:ilvl w:val="0"/>
          <w:numId w:val="17"/>
        </w:numPr>
        <w:spacing w:after="0" w:line="240" w:lineRule="auto"/>
        <w:jc w:val="both"/>
        <w:rPr>
          <w:rFonts w:ascii="Bookman Old Style" w:eastAsiaTheme="minorEastAsia" w:hAnsi="Bookman Old Style"/>
        </w:rPr>
      </w:pPr>
      <w:r>
        <w:rPr>
          <w:rFonts w:ascii="Bookman Old Style" w:eastAsiaTheme="minorEastAsia" w:hAnsi="Bookman Old Style"/>
        </w:rPr>
        <w:t>Depending on the mix, a diversified portfolio of stocks and bonds might have suffered in 2008, but the losses would have been much smaller than those experienced by an all-stock portfolio. Diversification matters!</w:t>
      </w:r>
    </w:p>
    <w:p w14:paraId="5A157504" w14:textId="77777777" w:rsidR="00C320E5" w:rsidRDefault="00C320E5" w:rsidP="00804DBB">
      <w:pPr>
        <w:spacing w:after="0" w:line="240" w:lineRule="auto"/>
        <w:jc w:val="both"/>
        <w:rPr>
          <w:rFonts w:ascii="Bookman Old Style" w:eastAsiaTheme="minorEastAsia" w:hAnsi="Bookman Old Style"/>
        </w:rPr>
      </w:pPr>
    </w:p>
    <w:p w14:paraId="19A8DB35" w14:textId="77777777" w:rsidR="00C320E5" w:rsidRDefault="00C320E5" w:rsidP="00804DBB">
      <w:pPr>
        <w:spacing w:after="0" w:line="240" w:lineRule="auto"/>
        <w:jc w:val="both"/>
        <w:rPr>
          <w:rFonts w:ascii="Bookman Old Style" w:eastAsiaTheme="minorEastAsia" w:hAnsi="Bookman Old Style"/>
        </w:rPr>
      </w:pPr>
    </w:p>
    <w:p w14:paraId="7DEE3094" w14:textId="35CAA40A" w:rsidR="00C320E5" w:rsidRDefault="00C320E5"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USING CAPITAL MARKET HISTORY</w:t>
      </w:r>
    </w:p>
    <w:p w14:paraId="3A03DA4A" w14:textId="1B4674BB" w:rsidR="00C320E5" w:rsidRDefault="00C320E5" w:rsidP="00804DBB">
      <w:pPr>
        <w:spacing w:after="0" w:line="240" w:lineRule="auto"/>
        <w:jc w:val="both"/>
        <w:rPr>
          <w:rFonts w:ascii="Bookman Old Style" w:eastAsiaTheme="minorEastAsia" w:hAnsi="Bookman Old Style"/>
        </w:rPr>
      </w:pPr>
      <w:r>
        <w:rPr>
          <w:rFonts w:ascii="Bookman Old Style" w:eastAsiaTheme="minorEastAsia" w:hAnsi="Bookman Old Style"/>
        </w:rPr>
        <w:t>You should now begin having an idea of the risks and rewards from investing. For example, Canadian T-bills are paying about 5% - let’s say we have an investment that we think has about the same risk as a portfolio of large-firm Canadian common stocks. At a minimum, what return would this investment have to offer to catch our interest?</w:t>
      </w:r>
    </w:p>
    <w:p w14:paraId="78F8E5B9" w14:textId="77777777" w:rsidR="00C320E5" w:rsidRDefault="00C320E5" w:rsidP="00804DBB">
      <w:pPr>
        <w:spacing w:after="0" w:line="240" w:lineRule="auto"/>
        <w:jc w:val="both"/>
        <w:rPr>
          <w:rFonts w:ascii="Bookman Old Style" w:eastAsiaTheme="minorEastAsia" w:hAnsi="Bookman Old Style"/>
        </w:rPr>
      </w:pPr>
    </w:p>
    <w:p w14:paraId="7F91E875" w14:textId="01A24215" w:rsidR="00C320E5" w:rsidRDefault="00C320E5" w:rsidP="00804DBB">
      <w:pPr>
        <w:spacing w:after="0" w:line="240" w:lineRule="auto"/>
        <w:jc w:val="both"/>
        <w:rPr>
          <w:rFonts w:ascii="Bookman Old Style" w:eastAsiaTheme="minorEastAsia" w:hAnsi="Bookman Old Style"/>
        </w:rPr>
      </w:pPr>
      <w:r>
        <w:rPr>
          <w:rFonts w:ascii="Bookman Old Style" w:eastAsiaTheme="minorEastAsia" w:hAnsi="Bookman Old Style"/>
        </w:rPr>
        <w:t>We see from our previous historical table that the risk premium on Canadian common stocks has been 4.30% historically, so a reasonable estimate of our required return would be this premium PLUS the T-bill rate: 5.0% + 4.30% = 9.30%. This may seem low, but currently most financial executives and professional investment managers expect lower returns and smaller risk premiums in the future.</w:t>
      </w:r>
    </w:p>
    <w:p w14:paraId="7300D2C2" w14:textId="77777777" w:rsidR="00C320E5" w:rsidRDefault="00C320E5" w:rsidP="00804DBB">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D679B9" w14:paraId="276EE405" w14:textId="77777777" w:rsidTr="00D679B9">
        <w:tc>
          <w:tcPr>
            <w:tcW w:w="9576" w:type="dxa"/>
          </w:tcPr>
          <w:p w14:paraId="642E542E" w14:textId="77777777" w:rsidR="00D679B9" w:rsidRDefault="00D679B9" w:rsidP="00804DBB">
            <w:pPr>
              <w:jc w:val="both"/>
              <w:rPr>
                <w:rFonts w:ascii="Bookman Old Style" w:eastAsiaTheme="minorEastAsia" w:hAnsi="Bookman Old Style"/>
              </w:rPr>
            </w:pPr>
          </w:p>
          <w:p w14:paraId="606043AC" w14:textId="77777777" w:rsidR="00D679B9" w:rsidRDefault="00D679B9" w:rsidP="00804DBB">
            <w:pPr>
              <w:jc w:val="both"/>
              <w:rPr>
                <w:rFonts w:ascii="Bookman Old Style" w:eastAsiaTheme="minorEastAsia" w:hAnsi="Bookman Old Style"/>
                <w:i/>
              </w:rPr>
            </w:pPr>
            <w:r>
              <w:rPr>
                <w:rFonts w:ascii="Bookman Old Style" w:eastAsiaTheme="minorEastAsia" w:hAnsi="Bookman Old Style"/>
                <w:i/>
                <w:u w:val="single"/>
              </w:rPr>
              <w:t>Ex.:</w:t>
            </w:r>
            <w:r>
              <w:rPr>
                <w:rFonts w:ascii="Bookman Old Style" w:eastAsiaTheme="minorEastAsia" w:hAnsi="Bookman Old Style"/>
                <w:i/>
              </w:rPr>
              <w:t xml:space="preserve"> Investing in Growth Stocks</w:t>
            </w:r>
          </w:p>
          <w:p w14:paraId="68110AF4" w14:textId="77777777" w:rsidR="00D679B9" w:rsidRDefault="00D679B9" w:rsidP="00804DBB">
            <w:pPr>
              <w:jc w:val="both"/>
              <w:rPr>
                <w:rFonts w:ascii="Bookman Old Style" w:eastAsiaTheme="minorEastAsia" w:hAnsi="Bookman Old Style"/>
              </w:rPr>
            </w:pPr>
            <w:r>
              <w:rPr>
                <w:rFonts w:ascii="Bookman Old Style" w:eastAsiaTheme="minorEastAsia" w:hAnsi="Bookman Old Style"/>
              </w:rPr>
              <w:t xml:space="preserve">The phrase </w:t>
            </w:r>
            <w:r>
              <w:rPr>
                <w:rFonts w:ascii="Bookman Old Style" w:eastAsiaTheme="minorEastAsia" w:hAnsi="Bookman Old Style"/>
                <w:i/>
              </w:rPr>
              <w:t>growth stock</w:t>
            </w:r>
            <w:r>
              <w:rPr>
                <w:rFonts w:ascii="Bookman Old Style" w:eastAsiaTheme="minorEastAsia" w:hAnsi="Bookman Old Style"/>
              </w:rPr>
              <w:t xml:space="preserve"> is a euphemism for small-company stocks. Are these types of investments suitable for elderly, conservative investors?</w:t>
            </w:r>
          </w:p>
          <w:p w14:paraId="70DE1AF0" w14:textId="77777777" w:rsidR="00D679B9" w:rsidRDefault="00D679B9" w:rsidP="00804DBB">
            <w:pPr>
              <w:jc w:val="both"/>
              <w:rPr>
                <w:rFonts w:ascii="Bookman Old Style" w:eastAsiaTheme="minorEastAsia" w:hAnsi="Bookman Old Style"/>
              </w:rPr>
            </w:pPr>
          </w:p>
          <w:p w14:paraId="13BC6366" w14:textId="77777777" w:rsidR="00D679B9" w:rsidRDefault="00D679B9" w:rsidP="00804DBB">
            <w:pPr>
              <w:jc w:val="both"/>
              <w:rPr>
                <w:rFonts w:ascii="Bookman Old Style" w:eastAsiaTheme="minorEastAsia" w:hAnsi="Bookman Old Style"/>
              </w:rPr>
            </w:pPr>
            <w:r>
              <w:rPr>
                <w:rFonts w:ascii="Bookman Old Style" w:eastAsiaTheme="minorEastAsia" w:hAnsi="Bookman Old Style"/>
              </w:rPr>
              <w:t>Before answering, think about historical volatility. From the historical record, what’s the approximate probability that you’d actually lose 10% or more of your money in a single year if you buy a portfolio of such companies?</w:t>
            </w:r>
          </w:p>
          <w:p w14:paraId="3D3DFD6C" w14:textId="77777777" w:rsidR="00D679B9" w:rsidRDefault="00D679B9" w:rsidP="00804DBB">
            <w:pPr>
              <w:jc w:val="both"/>
              <w:rPr>
                <w:rFonts w:ascii="Bookman Old Style" w:eastAsiaTheme="minorEastAsia" w:hAnsi="Bookman Old Style"/>
              </w:rPr>
            </w:pPr>
          </w:p>
          <w:p w14:paraId="0E2FE903" w14:textId="77777777" w:rsidR="00D679B9" w:rsidRDefault="00D679B9" w:rsidP="00804DBB">
            <w:pPr>
              <w:jc w:val="both"/>
              <w:rPr>
                <w:rFonts w:ascii="Bookman Old Style" w:eastAsiaTheme="minorEastAsia" w:hAnsi="Bookman Old Style"/>
              </w:rPr>
            </w:pPr>
            <w:r>
              <w:rPr>
                <w:rFonts w:ascii="Bookman Old Style" w:eastAsiaTheme="minorEastAsia" w:hAnsi="Bookman Old Style"/>
              </w:rPr>
              <w:t>Looking back at our table, the average return on small stocks is 13.71% and the standard deviation is 36.65%. Assuming the returns are approximately normal, there’s about a one third probability that you could experience a return outside this range -12.94% to 40.36% (13.71 plus or minus 26.65%)</w:t>
            </w:r>
          </w:p>
          <w:p w14:paraId="5F0AC439" w14:textId="77777777" w:rsidR="00D679B9" w:rsidRDefault="00D679B9" w:rsidP="00804DBB">
            <w:pPr>
              <w:jc w:val="both"/>
              <w:rPr>
                <w:rFonts w:ascii="Bookman Old Style" w:eastAsiaTheme="minorEastAsia" w:hAnsi="Bookman Old Style"/>
              </w:rPr>
            </w:pPr>
          </w:p>
          <w:p w14:paraId="3B169806" w14:textId="77777777" w:rsidR="00D679B9" w:rsidRDefault="00D679B9" w:rsidP="00804DBB">
            <w:pPr>
              <w:jc w:val="both"/>
              <w:rPr>
                <w:rFonts w:ascii="Bookman Old Style" w:eastAsiaTheme="minorEastAsia" w:hAnsi="Bookman Old Style"/>
              </w:rPr>
            </w:pPr>
            <w:r>
              <w:rPr>
                <w:rFonts w:ascii="Bookman Old Style" w:eastAsiaTheme="minorEastAsia" w:hAnsi="Bookman Old Style"/>
              </w:rPr>
              <w:lastRenderedPageBreak/>
              <w:t>Because the normal distribution is symmetrical, the odds of being above or below this range are equal. So, there’s a one-sixth chance (half of one third) that you could lose more than 12.94%. You should expect this to happen once in every six years, on average.</w:t>
            </w:r>
          </w:p>
          <w:p w14:paraId="6CD2E56F" w14:textId="77777777" w:rsidR="00D679B9" w:rsidRDefault="00D679B9" w:rsidP="00804DBB">
            <w:pPr>
              <w:jc w:val="both"/>
              <w:rPr>
                <w:rFonts w:ascii="Bookman Old Style" w:eastAsiaTheme="minorEastAsia" w:hAnsi="Bookman Old Style"/>
              </w:rPr>
            </w:pPr>
          </w:p>
          <w:p w14:paraId="71B8C98F" w14:textId="77777777" w:rsidR="00D679B9" w:rsidRDefault="00D679B9" w:rsidP="00804DBB">
            <w:pPr>
              <w:jc w:val="both"/>
              <w:rPr>
                <w:rFonts w:ascii="Bookman Old Style" w:eastAsiaTheme="minorEastAsia" w:hAnsi="Bookman Old Style"/>
              </w:rPr>
            </w:pPr>
            <w:r>
              <w:rPr>
                <w:rFonts w:ascii="Bookman Old Style" w:eastAsiaTheme="minorEastAsia" w:hAnsi="Bookman Old Style"/>
              </w:rPr>
              <w:t>Such investments can therefore be very volatile, and they’re not always well suited for those who can’t afford the risk.</w:t>
            </w:r>
          </w:p>
          <w:p w14:paraId="7B091B72" w14:textId="77777777" w:rsidR="00D679B9" w:rsidRDefault="00D679B9" w:rsidP="00804DBB">
            <w:pPr>
              <w:jc w:val="both"/>
              <w:rPr>
                <w:rFonts w:ascii="Bookman Old Style" w:eastAsiaTheme="minorEastAsia" w:hAnsi="Bookman Old Style"/>
              </w:rPr>
            </w:pPr>
          </w:p>
        </w:tc>
      </w:tr>
    </w:tbl>
    <w:p w14:paraId="51100AF2" w14:textId="77777777" w:rsidR="00D679B9" w:rsidRDefault="00D679B9" w:rsidP="00804DBB">
      <w:pPr>
        <w:spacing w:after="0" w:line="240" w:lineRule="auto"/>
        <w:jc w:val="both"/>
        <w:rPr>
          <w:rFonts w:ascii="Bookman Old Style" w:eastAsiaTheme="minorEastAsia" w:hAnsi="Bookman Old Style"/>
        </w:rPr>
      </w:pPr>
    </w:p>
    <w:p w14:paraId="6F80C3DF" w14:textId="77777777" w:rsidR="00D679B9" w:rsidRDefault="00D679B9" w:rsidP="00804DBB">
      <w:pPr>
        <w:spacing w:after="0" w:line="240" w:lineRule="auto"/>
        <w:jc w:val="both"/>
        <w:rPr>
          <w:rFonts w:ascii="Bookman Old Style" w:eastAsiaTheme="minorEastAsia" w:hAnsi="Bookman Old Style"/>
        </w:rPr>
      </w:pPr>
    </w:p>
    <w:p w14:paraId="59196510" w14:textId="3E47093A" w:rsidR="00D679B9" w:rsidRDefault="00D679B9" w:rsidP="00804DBB">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t>MORE ON AVERAGE RETURNS</w:t>
      </w:r>
    </w:p>
    <w:p w14:paraId="4639DDEC" w14:textId="77777777" w:rsidR="00D679B9" w:rsidRDefault="00D679B9" w:rsidP="00804DBB">
      <w:pPr>
        <w:spacing w:after="0" w:line="240" w:lineRule="auto"/>
        <w:jc w:val="center"/>
        <w:rPr>
          <w:rFonts w:ascii="Bookman Old Style" w:eastAsiaTheme="minorEastAsia" w:hAnsi="Bookman Old Style"/>
          <w:b/>
          <w:u w:val="single"/>
        </w:rPr>
      </w:pPr>
    </w:p>
    <w:p w14:paraId="35037722" w14:textId="79296DC4" w:rsidR="00D679B9" w:rsidRDefault="00D679B9" w:rsidP="00804DBB">
      <w:pPr>
        <w:spacing w:after="0" w:line="240" w:lineRule="auto"/>
        <w:jc w:val="both"/>
        <w:rPr>
          <w:rFonts w:ascii="Bookman Old Style" w:eastAsiaTheme="minorEastAsia" w:hAnsi="Bookman Old Style"/>
        </w:rPr>
      </w:pPr>
      <w:r>
        <w:rPr>
          <w:rFonts w:ascii="Bookman Old Style" w:eastAsiaTheme="minorEastAsia" w:hAnsi="Bookman Old Style"/>
        </w:rPr>
        <w:t>We’ve looked closely at simple average returns. But there’s another way of computing an average return.</w:t>
      </w:r>
      <w:r w:rsidR="00BF01B4">
        <w:rPr>
          <w:rFonts w:ascii="Bookman Old Style" w:eastAsiaTheme="minorEastAsia" w:hAnsi="Bookman Old Style"/>
        </w:rPr>
        <w:t xml:space="preserve"> The fact that average returns can be calculated in 2 different ways can be confusing, so our goal is to explain these 2 approaches and the circumstances under which each is appropriate.</w:t>
      </w:r>
    </w:p>
    <w:p w14:paraId="66FC53D8" w14:textId="77777777" w:rsidR="00BF01B4" w:rsidRDefault="00BF01B4" w:rsidP="00804DBB">
      <w:pPr>
        <w:spacing w:after="0" w:line="240" w:lineRule="auto"/>
        <w:jc w:val="both"/>
        <w:rPr>
          <w:rFonts w:ascii="Bookman Old Style" w:eastAsiaTheme="minorEastAsia" w:hAnsi="Bookman Old Style"/>
        </w:rPr>
      </w:pPr>
    </w:p>
    <w:p w14:paraId="4564F269" w14:textId="77777777" w:rsidR="00BF01B4" w:rsidRDefault="00BF01B4" w:rsidP="00804DBB">
      <w:pPr>
        <w:spacing w:after="0" w:line="240" w:lineRule="auto"/>
        <w:jc w:val="both"/>
        <w:rPr>
          <w:rFonts w:ascii="Bookman Old Style" w:eastAsiaTheme="minorEastAsia" w:hAnsi="Bookman Old Style"/>
        </w:rPr>
      </w:pPr>
    </w:p>
    <w:p w14:paraId="4CB489E0" w14:textId="451A2726" w:rsid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ARITHMETIC VS GEOMETRIC AVERAGES</w:t>
      </w:r>
    </w:p>
    <w:p w14:paraId="175CAF4E" w14:textId="160F5C3F" w:rsid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rPr>
        <w:t>Suppose you buy a particular stock for $200. Unfortunately, the first year you own it, it falls to $100. The second year you own it, it rises back to $200, leaving you where you started (no dividends were paid).</w:t>
      </w:r>
    </w:p>
    <w:p w14:paraId="3C7600F4" w14:textId="77777777" w:rsidR="00BF01B4" w:rsidRDefault="00BF01B4" w:rsidP="00804DBB">
      <w:pPr>
        <w:spacing w:after="0" w:line="240" w:lineRule="auto"/>
        <w:jc w:val="both"/>
        <w:rPr>
          <w:rFonts w:ascii="Bookman Old Style" w:eastAsiaTheme="minorEastAsia" w:hAnsi="Bookman Old Style"/>
        </w:rPr>
      </w:pPr>
    </w:p>
    <w:p w14:paraId="66529AED" w14:textId="6467E17A" w:rsid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rPr>
        <w:t>What was your average return on this investment?</w:t>
      </w:r>
    </w:p>
    <w:p w14:paraId="0A0E5F3A" w14:textId="157D2041" w:rsid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You’d want to say zero - but if we calculate the returns year-by-year, we see that you lost 50% the first year and in the second year, you made 100% (you doubled your money). </w:t>
      </w:r>
    </w:p>
    <w:p w14:paraId="7C4B2C0F" w14:textId="77777777" w:rsidR="00BF01B4" w:rsidRDefault="00BF01B4" w:rsidP="00804DBB">
      <w:pPr>
        <w:spacing w:after="0" w:line="240" w:lineRule="auto"/>
        <w:jc w:val="both"/>
        <w:rPr>
          <w:rFonts w:ascii="Bookman Old Style" w:eastAsiaTheme="minorEastAsia" w:hAnsi="Bookman Old Style"/>
        </w:rPr>
      </w:pPr>
    </w:p>
    <w:p w14:paraId="6AE64278" w14:textId="4EB2D23A" w:rsidR="00BF01B4" w:rsidRP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You average return over the 2 years was therefore: </w:t>
      </w:r>
      <m:oMath>
        <m:f>
          <m:fPr>
            <m:ctrlPr>
              <w:rPr>
                <w:rFonts w:ascii="Cambria Math" w:eastAsiaTheme="minorEastAsia" w:hAnsi="Cambria Math"/>
                <w:i/>
              </w:rPr>
            </m:ctrlPr>
          </m:fPr>
          <m:num>
            <m:r>
              <w:rPr>
                <w:rFonts w:ascii="Cambria Math" w:eastAsiaTheme="minorEastAsia" w:hAnsi="Cambria Math"/>
              </w:rPr>
              <m:t>-50%+100%</m:t>
            </m:r>
          </m:num>
          <m:den>
            <m:r>
              <w:rPr>
                <w:rFonts w:ascii="Cambria Math" w:eastAsiaTheme="minorEastAsia" w:hAnsi="Cambria Math"/>
              </w:rPr>
              <m:t>2</m:t>
            </m:r>
          </m:den>
        </m:f>
        <m:r>
          <w:rPr>
            <w:rFonts w:ascii="Cambria Math" w:eastAsiaTheme="minorEastAsia" w:hAnsi="Cambria Math"/>
          </w:rPr>
          <m:t>=25%!</m:t>
        </m:r>
      </m:oMath>
    </w:p>
    <w:p w14:paraId="3A80E498" w14:textId="77777777" w:rsidR="00BF01B4" w:rsidRDefault="00BF01B4" w:rsidP="00804DBB">
      <w:pPr>
        <w:spacing w:after="0" w:line="240" w:lineRule="auto"/>
        <w:jc w:val="both"/>
        <w:rPr>
          <w:rFonts w:ascii="Bookman Old Style" w:eastAsiaTheme="minorEastAsia" w:hAnsi="Bookman Old Style"/>
        </w:rPr>
      </w:pPr>
    </w:p>
    <w:p w14:paraId="4A235855" w14:textId="69101DD6" w:rsid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So which answer is right, 0% or 25%? Both are right, they just answer different questions. The 0% is called the </w:t>
      </w:r>
      <w:r>
        <w:rPr>
          <w:rFonts w:ascii="Bookman Old Style" w:eastAsiaTheme="minorEastAsia" w:hAnsi="Bookman Old Style"/>
          <w:b/>
        </w:rPr>
        <w:t>geometric average return</w:t>
      </w:r>
      <w:r>
        <w:rPr>
          <w:rFonts w:ascii="Bookman Old Style" w:eastAsiaTheme="minorEastAsia" w:hAnsi="Bookman Old Style"/>
        </w:rPr>
        <w:t xml:space="preserve">; the 25% is called the </w:t>
      </w:r>
      <w:r>
        <w:rPr>
          <w:rFonts w:ascii="Bookman Old Style" w:eastAsiaTheme="minorEastAsia" w:hAnsi="Bookman Old Style"/>
          <w:b/>
        </w:rPr>
        <w:t>arithmetic average return</w:t>
      </w:r>
      <w:r>
        <w:rPr>
          <w:rFonts w:ascii="Bookman Old Style" w:eastAsiaTheme="minorEastAsia" w:hAnsi="Bookman Old Style"/>
        </w:rPr>
        <w:t>.</w:t>
      </w:r>
    </w:p>
    <w:p w14:paraId="2A559840" w14:textId="77777777" w:rsidR="00BF01B4" w:rsidRDefault="00BF01B4" w:rsidP="00804DBB">
      <w:pPr>
        <w:spacing w:after="0" w:line="240" w:lineRule="auto"/>
        <w:jc w:val="both"/>
        <w:rPr>
          <w:rFonts w:ascii="Bookman Old Style" w:eastAsiaTheme="minorEastAsia" w:hAnsi="Bookman Old Style"/>
        </w:rPr>
      </w:pPr>
    </w:p>
    <w:p w14:paraId="30BE8C3E" w14:textId="5AA8C39E" w:rsidR="00BF01B4" w:rsidRDefault="00BF01B4" w:rsidP="00804DBB">
      <w:pPr>
        <w:spacing w:after="0" w:line="240" w:lineRule="auto"/>
        <w:jc w:val="both"/>
        <w:rPr>
          <w:rFonts w:ascii="Bookman Old Style" w:eastAsiaTheme="minorEastAsia" w:hAnsi="Bookman Old Style"/>
          <w:i/>
        </w:rPr>
      </w:pPr>
      <w:r>
        <w:rPr>
          <w:rFonts w:ascii="Bookman Old Style" w:eastAsiaTheme="minorEastAsia" w:hAnsi="Bookman Old Style"/>
        </w:rPr>
        <w:t xml:space="preserve">The </w:t>
      </w:r>
      <w:r w:rsidRPr="00BF01B4">
        <w:rPr>
          <w:rFonts w:ascii="Bookman Old Style" w:eastAsiaTheme="minorEastAsia" w:hAnsi="Bookman Old Style"/>
          <w:u w:val="single"/>
        </w:rPr>
        <w:t>geometric average return</w:t>
      </w:r>
      <w:r>
        <w:rPr>
          <w:rFonts w:ascii="Bookman Old Style" w:eastAsiaTheme="minorEastAsia" w:hAnsi="Bookman Old Style"/>
        </w:rPr>
        <w:t xml:space="preserve"> answers the question </w:t>
      </w:r>
      <w:r w:rsidRPr="00BF01B4">
        <w:rPr>
          <w:rFonts w:ascii="Bookman Old Style" w:eastAsiaTheme="minorEastAsia" w:hAnsi="Bookman Old Style"/>
        </w:rPr>
        <w:sym w:font="Wingdings" w:char="F0E0"/>
      </w:r>
      <w:r>
        <w:rPr>
          <w:rFonts w:ascii="Bookman Old Style" w:eastAsiaTheme="minorEastAsia" w:hAnsi="Bookman Old Style"/>
        </w:rPr>
        <w:t xml:space="preserve"> </w:t>
      </w:r>
      <w:r>
        <w:rPr>
          <w:rFonts w:ascii="Bookman Old Style" w:eastAsiaTheme="minorEastAsia" w:hAnsi="Bookman Old Style"/>
          <w:i/>
        </w:rPr>
        <w:t>what was your average compound return per year over a particular period?</w:t>
      </w:r>
    </w:p>
    <w:p w14:paraId="17657D43" w14:textId="77777777" w:rsidR="00BF01B4" w:rsidRDefault="00BF01B4" w:rsidP="00804DBB">
      <w:pPr>
        <w:spacing w:after="0" w:line="240" w:lineRule="auto"/>
        <w:jc w:val="both"/>
        <w:rPr>
          <w:rFonts w:ascii="Bookman Old Style" w:eastAsiaTheme="minorEastAsia" w:hAnsi="Bookman Old Style"/>
          <w:i/>
        </w:rPr>
      </w:pPr>
    </w:p>
    <w:p w14:paraId="2B83264B" w14:textId="33D30155" w:rsidR="00BF01B4" w:rsidRDefault="00BF01B4" w:rsidP="00804DBB">
      <w:pPr>
        <w:spacing w:after="0" w:line="240" w:lineRule="auto"/>
        <w:jc w:val="both"/>
        <w:rPr>
          <w:rFonts w:ascii="Bookman Old Style" w:eastAsiaTheme="minorEastAsia" w:hAnsi="Bookman Old Style"/>
          <w:i/>
        </w:rPr>
      </w:pPr>
      <w:r>
        <w:rPr>
          <w:rFonts w:ascii="Bookman Old Style" w:eastAsiaTheme="minorEastAsia" w:hAnsi="Bookman Old Style"/>
        </w:rPr>
        <w:t xml:space="preserve">The </w:t>
      </w:r>
      <w:r>
        <w:rPr>
          <w:rFonts w:ascii="Bookman Old Style" w:eastAsiaTheme="minorEastAsia" w:hAnsi="Bookman Old Style"/>
          <w:u w:val="single"/>
        </w:rPr>
        <w:t>arithmetic average return</w:t>
      </w:r>
      <w:r>
        <w:rPr>
          <w:rFonts w:ascii="Bookman Old Style" w:eastAsiaTheme="minorEastAsia" w:hAnsi="Bookman Old Style"/>
        </w:rPr>
        <w:t xml:space="preserve"> answers the question </w:t>
      </w:r>
      <w:r w:rsidRPr="00BF01B4">
        <w:rPr>
          <w:rFonts w:ascii="Bookman Old Style" w:eastAsiaTheme="minorEastAsia" w:hAnsi="Bookman Old Style"/>
        </w:rPr>
        <w:sym w:font="Wingdings" w:char="F0E0"/>
      </w:r>
      <w:r>
        <w:rPr>
          <w:rFonts w:ascii="Bookman Old Style" w:eastAsiaTheme="minorEastAsia" w:hAnsi="Bookman Old Style"/>
        </w:rPr>
        <w:t xml:space="preserve"> </w:t>
      </w:r>
      <w:r>
        <w:rPr>
          <w:rFonts w:ascii="Bookman Old Style" w:eastAsiaTheme="minorEastAsia" w:hAnsi="Bookman Old Style"/>
          <w:i/>
        </w:rPr>
        <w:t>what was your return in an average year over a particular period?</w:t>
      </w:r>
    </w:p>
    <w:p w14:paraId="40E6DBF7" w14:textId="77777777" w:rsidR="00BF01B4" w:rsidRDefault="00BF01B4" w:rsidP="00804DBB">
      <w:pPr>
        <w:spacing w:after="0" w:line="240" w:lineRule="auto"/>
        <w:jc w:val="both"/>
        <w:rPr>
          <w:rFonts w:ascii="Bookman Old Style" w:eastAsiaTheme="minorEastAsia" w:hAnsi="Bookman Old Style"/>
          <w:i/>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F01B4" w14:paraId="6672A20F" w14:textId="77777777" w:rsidTr="00BF01B4">
        <w:tc>
          <w:tcPr>
            <w:tcW w:w="9576" w:type="dxa"/>
          </w:tcPr>
          <w:p w14:paraId="56C013E2" w14:textId="0542662F" w:rsidR="00BF01B4" w:rsidRDefault="00BF01B4" w:rsidP="00804DBB">
            <w:pPr>
              <w:jc w:val="both"/>
              <w:rPr>
                <w:rFonts w:ascii="Bookman Old Style" w:eastAsiaTheme="minorEastAsia" w:hAnsi="Bookman Old Style"/>
              </w:rPr>
            </w:pPr>
          </w:p>
          <w:p w14:paraId="7DAD87DF" w14:textId="77777777" w:rsidR="00BF01B4" w:rsidRDefault="00BF01B4" w:rsidP="00804DBB">
            <w:pPr>
              <w:jc w:val="both"/>
              <w:rPr>
                <w:rFonts w:ascii="Bookman Old Style" w:eastAsiaTheme="minorEastAsia" w:hAnsi="Bookman Old Style"/>
              </w:rPr>
            </w:pPr>
            <w:r>
              <w:rPr>
                <w:rFonts w:ascii="Bookman Old Style" w:eastAsiaTheme="minorEastAsia" w:hAnsi="Bookman Old Style"/>
                <w:b/>
              </w:rPr>
              <w:t>Geometric Average Return</w:t>
            </w:r>
            <w:r>
              <w:rPr>
                <w:rFonts w:ascii="Bookman Old Style" w:eastAsiaTheme="minorEastAsia" w:hAnsi="Bookman Old Style"/>
              </w:rPr>
              <w:t xml:space="preserve"> – The average compound returned earned per year over a multi-year period.</w:t>
            </w:r>
          </w:p>
          <w:p w14:paraId="5F56C967" w14:textId="77777777" w:rsidR="00BF01B4" w:rsidRDefault="00BF01B4" w:rsidP="00804DBB">
            <w:pPr>
              <w:jc w:val="both"/>
              <w:rPr>
                <w:rFonts w:ascii="Bookman Old Style" w:eastAsiaTheme="minorEastAsia" w:hAnsi="Bookman Old Style"/>
              </w:rPr>
            </w:pPr>
          </w:p>
          <w:p w14:paraId="50FFADBE" w14:textId="0632FAEC" w:rsidR="00BF01B4" w:rsidRPr="00BF01B4" w:rsidRDefault="00BF01B4" w:rsidP="00804DBB">
            <w:pPr>
              <w:jc w:val="both"/>
              <w:rPr>
                <w:rFonts w:ascii="Bookman Old Style" w:eastAsiaTheme="minorEastAsia" w:hAnsi="Bookman Old Style"/>
              </w:rPr>
            </w:pPr>
            <w:r>
              <w:rPr>
                <w:rFonts w:ascii="Bookman Old Style" w:eastAsiaTheme="minorEastAsia" w:hAnsi="Bookman Old Style"/>
                <w:b/>
              </w:rPr>
              <w:t>Arithmetic Average Return</w:t>
            </w:r>
            <w:r>
              <w:rPr>
                <w:rFonts w:ascii="Bookman Old Style" w:eastAsiaTheme="minorEastAsia" w:hAnsi="Bookman Old Style"/>
              </w:rPr>
              <w:t xml:space="preserve"> – The return earned in an average year over a multi-year period.</w:t>
            </w:r>
          </w:p>
          <w:p w14:paraId="6098F16C" w14:textId="0EB98199" w:rsidR="00BF01B4" w:rsidRPr="00BF01B4" w:rsidRDefault="00BF01B4" w:rsidP="00804DBB">
            <w:pPr>
              <w:jc w:val="both"/>
              <w:rPr>
                <w:rFonts w:ascii="Bookman Old Style" w:eastAsiaTheme="minorEastAsia" w:hAnsi="Bookman Old Style"/>
                <w:b/>
              </w:rPr>
            </w:pPr>
          </w:p>
        </w:tc>
      </w:tr>
    </w:tbl>
    <w:p w14:paraId="73917482" w14:textId="77777777" w:rsidR="00BF01B4" w:rsidRDefault="00BF01B4" w:rsidP="00804DBB">
      <w:pPr>
        <w:spacing w:after="0" w:line="240" w:lineRule="auto"/>
        <w:jc w:val="both"/>
        <w:rPr>
          <w:rFonts w:ascii="Bookman Old Style" w:eastAsiaTheme="minorEastAsia" w:hAnsi="Bookman Old Style"/>
        </w:rPr>
      </w:pPr>
    </w:p>
    <w:p w14:paraId="6CD0D9D7" w14:textId="05621C96" w:rsid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Mostly we’ve been calculating arithmetic average returns, so we already know how to calculate them. What we need to do now is:</w:t>
      </w:r>
    </w:p>
    <w:p w14:paraId="4FAB9AE5" w14:textId="77777777" w:rsidR="00BF01B4" w:rsidRDefault="00BF01B4" w:rsidP="00804DBB">
      <w:pPr>
        <w:spacing w:after="0" w:line="240" w:lineRule="auto"/>
        <w:jc w:val="both"/>
        <w:rPr>
          <w:rFonts w:ascii="Bookman Old Style" w:eastAsiaTheme="minorEastAsia" w:hAnsi="Bookman Old Style"/>
        </w:rPr>
      </w:pPr>
    </w:p>
    <w:p w14:paraId="1FEF4E5B" w14:textId="695AA4A5" w:rsidR="00BF01B4" w:rsidRDefault="00BF01B4" w:rsidP="00804DBB">
      <w:pPr>
        <w:pStyle w:val="ListParagraph"/>
        <w:numPr>
          <w:ilvl w:val="0"/>
          <w:numId w:val="18"/>
        </w:numPr>
        <w:spacing w:after="0" w:line="240" w:lineRule="auto"/>
        <w:jc w:val="both"/>
        <w:rPr>
          <w:rFonts w:ascii="Bookman Old Style" w:eastAsiaTheme="minorEastAsia" w:hAnsi="Bookman Old Style"/>
        </w:rPr>
      </w:pPr>
      <w:r>
        <w:rPr>
          <w:rFonts w:ascii="Bookman Old Style" w:eastAsiaTheme="minorEastAsia" w:hAnsi="Bookman Old Style"/>
        </w:rPr>
        <w:t>Learn how to calculate geometric averages</w:t>
      </w:r>
    </w:p>
    <w:p w14:paraId="66306334" w14:textId="0999CC48" w:rsidR="00BF01B4" w:rsidRDefault="00BF01B4" w:rsidP="00804DBB">
      <w:pPr>
        <w:pStyle w:val="ListParagraph"/>
        <w:numPr>
          <w:ilvl w:val="0"/>
          <w:numId w:val="18"/>
        </w:numPr>
        <w:spacing w:after="0" w:line="240" w:lineRule="auto"/>
        <w:jc w:val="both"/>
        <w:rPr>
          <w:rFonts w:ascii="Bookman Old Style" w:eastAsiaTheme="minorEastAsia" w:hAnsi="Bookman Old Style"/>
        </w:rPr>
      </w:pPr>
      <w:r>
        <w:rPr>
          <w:rFonts w:ascii="Bookman Old Style" w:eastAsiaTheme="minorEastAsia" w:hAnsi="Bookman Old Style"/>
        </w:rPr>
        <w:t>Learn the circumstances under which one average is more meaningful than the other</w:t>
      </w:r>
    </w:p>
    <w:p w14:paraId="5636A661" w14:textId="77777777" w:rsidR="00BF01B4" w:rsidRDefault="00BF01B4" w:rsidP="00804DBB">
      <w:pPr>
        <w:spacing w:after="0" w:line="240" w:lineRule="auto"/>
        <w:jc w:val="both"/>
        <w:rPr>
          <w:rFonts w:ascii="Bookman Old Style" w:eastAsiaTheme="minorEastAsia" w:hAnsi="Bookman Old Style"/>
        </w:rPr>
      </w:pPr>
    </w:p>
    <w:p w14:paraId="71860B44" w14:textId="77777777" w:rsidR="00BF01B4" w:rsidRDefault="00BF01B4" w:rsidP="00804DBB">
      <w:pPr>
        <w:spacing w:after="0" w:line="240" w:lineRule="auto"/>
        <w:jc w:val="both"/>
        <w:rPr>
          <w:rFonts w:ascii="Bookman Old Style" w:eastAsiaTheme="minorEastAsia" w:hAnsi="Bookman Old Style"/>
        </w:rPr>
      </w:pPr>
    </w:p>
    <w:p w14:paraId="3E6B1322" w14:textId="23B88729" w:rsidR="00BF01B4" w:rsidRDefault="00BF01B4" w:rsidP="00804DBB">
      <w:pPr>
        <w:spacing w:after="0" w:line="240" w:lineRule="auto"/>
        <w:jc w:val="both"/>
        <w:rPr>
          <w:rFonts w:ascii="Bookman Old Style" w:eastAsiaTheme="minorEastAsia" w:hAnsi="Bookman Old Style"/>
          <w:b/>
          <w:u w:val="single"/>
        </w:rPr>
      </w:pPr>
      <w:r w:rsidRPr="00BF01B4">
        <w:rPr>
          <w:rFonts w:ascii="Bookman Old Style" w:eastAsiaTheme="minorEastAsia" w:hAnsi="Bookman Old Style"/>
          <w:b/>
          <w:u w:val="single"/>
        </w:rPr>
        <w:t>CALC</w:t>
      </w:r>
      <w:r>
        <w:rPr>
          <w:rFonts w:ascii="Bookman Old Style" w:eastAsiaTheme="minorEastAsia" w:hAnsi="Bookman Old Style"/>
          <w:b/>
          <w:u w:val="single"/>
        </w:rPr>
        <w:t>ULATING GEOMETRIC AVERAGE RETURNS</w:t>
      </w:r>
    </w:p>
    <w:p w14:paraId="56D77BE3" w14:textId="1CA8E4EF" w:rsidR="00BF01B4" w:rsidRDefault="00BF01B4"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Suppose we have an investment that has annual returns of 10%, 12%, 3% and -9% over the last 4 years. The </w:t>
      </w:r>
      <w:r>
        <w:rPr>
          <w:rFonts w:ascii="Bookman Old Style" w:eastAsiaTheme="minorEastAsia" w:hAnsi="Bookman Old Style"/>
          <w:b/>
          <w:i/>
        </w:rPr>
        <w:t>geometric average return</w:t>
      </w:r>
      <w:r>
        <w:rPr>
          <w:rFonts w:ascii="Bookman Old Style" w:eastAsiaTheme="minorEastAsia" w:hAnsi="Bookman Old Style"/>
        </w:rPr>
        <w:t xml:space="preserve"> over this 4 year period is calculated as:</w:t>
      </w:r>
    </w:p>
    <w:p w14:paraId="291819F7" w14:textId="77777777" w:rsidR="00BF01B4" w:rsidRDefault="00BF01B4" w:rsidP="00804DBB">
      <w:pPr>
        <w:spacing w:after="0" w:line="240" w:lineRule="auto"/>
        <w:jc w:val="both"/>
        <w:rPr>
          <w:rFonts w:ascii="Bookman Old Style" w:eastAsiaTheme="minorEastAsia" w:hAnsi="Bookman Old Style"/>
        </w:rPr>
      </w:pPr>
    </w:p>
    <w:p w14:paraId="16637440" w14:textId="4A347771" w:rsidR="00BF01B4" w:rsidRPr="00BF01B4" w:rsidRDefault="00C34AC7" w:rsidP="00804DBB">
      <w:pPr>
        <w:spacing w:after="0" w:line="240" w:lineRule="auto"/>
        <w:jc w:val="both"/>
        <w:rPr>
          <w:rFonts w:ascii="Bookman Old Style" w:eastAsiaTheme="minorEastAsia" w:hAnsi="Bookman Old Style"/>
        </w:rPr>
      </w:pPr>
      <m:oMathPara>
        <m:oMath>
          <m:sSup>
            <m:sSupPr>
              <m:ctrlPr>
                <w:rPr>
                  <w:rFonts w:ascii="Cambria Math" w:eastAsiaTheme="minorEastAsia" w:hAnsi="Cambria Math"/>
                  <w:i/>
                </w:rPr>
              </m:ctrlPr>
            </m:sSupPr>
            <m:e>
              <m:r>
                <w:rPr>
                  <w:rFonts w:ascii="Cambria Math" w:eastAsiaTheme="minorEastAsia" w:hAnsi="Cambria Math"/>
                </w:rPr>
                <m:t>(1.10*1.12*1.03*0.91)</m:t>
              </m:r>
            </m:e>
            <m:sup>
              <m:r>
                <w:rPr>
                  <w:rFonts w:ascii="Cambria Math" w:eastAsiaTheme="minorEastAsia" w:hAnsi="Cambria Math"/>
                </w:rPr>
                <m:t>1/4</m:t>
              </m:r>
            </m:sup>
          </m:sSup>
          <m:r>
            <w:rPr>
              <w:rFonts w:ascii="Cambria Math" w:eastAsiaTheme="minorEastAsia" w:hAnsi="Cambria Math"/>
            </w:rPr>
            <m:t>-1=3.66%</m:t>
          </m:r>
        </m:oMath>
      </m:oMathPara>
    </w:p>
    <w:p w14:paraId="21E4DFBD" w14:textId="77777777" w:rsidR="00BF01B4" w:rsidRPr="00BF01B4" w:rsidRDefault="00BF01B4" w:rsidP="00804DBB">
      <w:pPr>
        <w:spacing w:after="0" w:line="240" w:lineRule="auto"/>
        <w:jc w:val="both"/>
        <w:rPr>
          <w:rFonts w:ascii="Bookman Old Style" w:eastAsiaTheme="minorEastAsia" w:hAnsi="Bookman Old Style"/>
        </w:rPr>
      </w:pPr>
    </w:p>
    <w:p w14:paraId="37B37DB4" w14:textId="244AA6FC" w:rsidR="00BF01B4" w:rsidRDefault="00C34AC7"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In contrast, the </w:t>
      </w:r>
      <w:r>
        <w:rPr>
          <w:rFonts w:ascii="Bookman Old Style" w:eastAsiaTheme="minorEastAsia" w:hAnsi="Bookman Old Style"/>
          <w:b/>
          <w:i/>
        </w:rPr>
        <w:t>average arithmetic return</w:t>
      </w:r>
      <w:r>
        <w:rPr>
          <w:rFonts w:ascii="Bookman Old Style" w:eastAsiaTheme="minorEastAsia" w:hAnsi="Bookman Old Style"/>
        </w:rPr>
        <w:t xml:space="preserve"> we’ve been calculating is:</w:t>
      </w:r>
    </w:p>
    <w:p w14:paraId="4C6A47A0" w14:textId="77777777" w:rsidR="00C34AC7" w:rsidRDefault="00C34AC7" w:rsidP="00804DBB">
      <w:pPr>
        <w:spacing w:after="0" w:line="240" w:lineRule="auto"/>
        <w:jc w:val="both"/>
        <w:rPr>
          <w:rFonts w:ascii="Bookman Old Style" w:eastAsiaTheme="minorEastAsia" w:hAnsi="Bookman Old Style"/>
        </w:rPr>
      </w:pPr>
    </w:p>
    <w:p w14:paraId="5EF4CD90" w14:textId="222E9978" w:rsidR="00C34AC7" w:rsidRPr="00C34AC7" w:rsidRDefault="00C34AC7" w:rsidP="00804DBB">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0.10+0.12+0.03-0.09</m:t>
              </m:r>
            </m:num>
            <m:den>
              <m:r>
                <w:rPr>
                  <w:rFonts w:ascii="Cambria Math" w:eastAsiaTheme="minorEastAsia" w:hAnsi="Cambria Math"/>
                </w:rPr>
                <m:t>4</m:t>
              </m:r>
            </m:den>
          </m:f>
          <m:r>
            <w:rPr>
              <w:rFonts w:ascii="Cambria Math" w:eastAsiaTheme="minorEastAsia" w:hAnsi="Cambria Math"/>
            </w:rPr>
            <m:t>=4.0%</m:t>
          </m:r>
        </m:oMath>
      </m:oMathPara>
    </w:p>
    <w:p w14:paraId="20EA0AF2" w14:textId="77777777" w:rsidR="00C34AC7" w:rsidRDefault="00C34AC7" w:rsidP="00804DBB">
      <w:pPr>
        <w:spacing w:after="0" w:line="240" w:lineRule="auto"/>
        <w:jc w:val="both"/>
        <w:rPr>
          <w:rFonts w:ascii="Bookman Old Style" w:eastAsiaTheme="minorEastAsia" w:hAnsi="Bookman Old Style"/>
        </w:rPr>
      </w:pPr>
    </w:p>
    <w:p w14:paraId="4DB2AE38" w14:textId="6861EDF3" w:rsidR="00C34AC7" w:rsidRDefault="00C34AC7"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Generally, if we have </w:t>
      </w:r>
      <w:r>
        <w:rPr>
          <w:rFonts w:ascii="Bookman Old Style" w:eastAsiaTheme="minorEastAsia" w:hAnsi="Bookman Old Style"/>
          <w:i/>
        </w:rPr>
        <w:t>T</w:t>
      </w:r>
      <w:r>
        <w:rPr>
          <w:rFonts w:ascii="Bookman Old Style" w:eastAsiaTheme="minorEastAsia" w:hAnsi="Bookman Old Style"/>
        </w:rPr>
        <w:t xml:space="preserve"> years of returns, the geometric average return over these </w:t>
      </w:r>
      <w:r>
        <w:rPr>
          <w:rFonts w:ascii="Bookman Old Style" w:eastAsiaTheme="minorEastAsia" w:hAnsi="Bookman Old Style"/>
          <w:i/>
        </w:rPr>
        <w:t>T</w:t>
      </w:r>
      <w:r>
        <w:rPr>
          <w:rFonts w:ascii="Bookman Old Style" w:eastAsiaTheme="minorEastAsia" w:hAnsi="Bookman Old Style"/>
        </w:rPr>
        <w:t xml:space="preserve"> years is calculated using the following formula:</w:t>
      </w:r>
    </w:p>
    <w:p w14:paraId="395E0E93" w14:textId="77777777" w:rsidR="00C34AC7" w:rsidRDefault="00C34AC7" w:rsidP="00804DBB">
      <w:pPr>
        <w:spacing w:after="0" w:line="240" w:lineRule="auto"/>
        <w:jc w:val="both"/>
        <w:rPr>
          <w:rFonts w:ascii="Bookman Old Style" w:eastAsiaTheme="minorEastAsia" w:hAnsi="Bookman Old Style"/>
        </w:rPr>
      </w:pPr>
    </w:p>
    <w:tbl>
      <w:tblPr>
        <w:tblStyle w:val="MediumGrid1-Accent4"/>
        <w:tblW w:w="0" w:type="auto"/>
        <w:jc w:val="center"/>
        <w:tblInd w:w="4788" w:type="dxa"/>
        <w:tblLook w:val="04A0" w:firstRow="1" w:lastRow="0" w:firstColumn="1" w:lastColumn="0" w:noHBand="0" w:noVBand="1"/>
      </w:tblPr>
      <w:tblGrid>
        <w:gridCol w:w="4788"/>
      </w:tblGrid>
      <w:tr w:rsidR="00C34AC7" w14:paraId="063A6CC1" w14:textId="77777777" w:rsidTr="00C34A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0A6AD3BA" w14:textId="75A102E9" w:rsidR="00C34AC7" w:rsidRDefault="00C34AC7" w:rsidP="00804DBB">
            <w:pPr>
              <w:jc w:val="both"/>
              <w:rPr>
                <w:rFonts w:ascii="Bookman Old Style" w:eastAsiaTheme="minorEastAsia" w:hAnsi="Bookman Old Style"/>
              </w:rPr>
            </w:pPr>
          </w:p>
          <w:p w14:paraId="3F492F1B" w14:textId="77777777" w:rsidR="00C34AC7" w:rsidRDefault="00C34AC7" w:rsidP="00804DBB">
            <w:pPr>
              <w:jc w:val="center"/>
              <w:rPr>
                <w:rFonts w:ascii="Bookman Old Style" w:eastAsiaTheme="minorEastAsia" w:hAnsi="Bookman Old Style"/>
              </w:rPr>
            </w:pPr>
            <w:r>
              <w:rPr>
                <w:rFonts w:ascii="Bookman Old Style" w:eastAsiaTheme="minorEastAsia" w:hAnsi="Bookman Old Style"/>
              </w:rPr>
              <w:t>Geometric Average Return</w:t>
            </w:r>
          </w:p>
          <w:p w14:paraId="3CF99842" w14:textId="77777777" w:rsidR="00C34AC7" w:rsidRDefault="00C34AC7" w:rsidP="00804DBB">
            <w:pPr>
              <w:jc w:val="both"/>
              <w:rPr>
                <w:rFonts w:ascii="Bookman Old Style" w:eastAsiaTheme="minorEastAsia" w:hAnsi="Bookman Old Style"/>
              </w:rPr>
            </w:pPr>
          </w:p>
          <w:p w14:paraId="31378172" w14:textId="77777777" w:rsidR="00C34AC7" w:rsidRPr="00C34AC7" w:rsidRDefault="00C34AC7" w:rsidP="00804DBB">
            <w:pPr>
              <w:jc w:val="both"/>
              <w:rPr>
                <w:rFonts w:ascii="Bookman Old Style" w:eastAsiaTheme="minorEastAsia" w:hAnsi="Bookman Old Style"/>
              </w:rPr>
            </w:pPr>
            <m:oMathPara>
              <m:oMath>
                <m:sSup>
                  <m:sSupPr>
                    <m:ctrlPr>
                      <w:rPr>
                        <w:rFonts w:ascii="Cambria Math" w:eastAsiaTheme="minorEastAsia" w:hAnsi="Cambria Math"/>
                        <w:b w:val="0"/>
                        <w:bCs w:val="0"/>
                        <w:i/>
                      </w:rPr>
                    </m:ctrlPr>
                  </m:sSupPr>
                  <m:e>
                    <m:r>
                      <m:rPr>
                        <m:sty m:val="bi"/>
                      </m:rPr>
                      <w:rPr>
                        <w:rFonts w:ascii="Cambria Math" w:eastAsiaTheme="minorEastAsia" w:hAnsi="Cambria Math"/>
                      </w:rPr>
                      <m:t>[</m:t>
                    </m:r>
                    <m:d>
                      <m:dPr>
                        <m:ctrlPr>
                          <w:rPr>
                            <w:rFonts w:ascii="Cambria Math" w:eastAsiaTheme="minorEastAsia" w:hAnsi="Cambria Math"/>
                            <w:i/>
                          </w:rPr>
                        </m:ctrlPr>
                      </m:dPr>
                      <m:e>
                        <m:r>
                          <m:rPr>
                            <m:sty m:val="bi"/>
                          </m:rPr>
                          <w:rPr>
                            <w:rFonts w:ascii="Cambria Math" w:eastAsiaTheme="minorEastAsia" w:hAnsi="Cambria Math"/>
                          </w:rPr>
                          <m:t>1+</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1</m:t>
                            </m:r>
                          </m:sub>
                        </m:sSub>
                      </m:e>
                    </m:d>
                    <m:r>
                      <m:rPr>
                        <m:sty m:val="bi"/>
                      </m:rPr>
                      <w:rPr>
                        <w:rFonts w:ascii="Cambria Math" w:eastAsiaTheme="minorEastAsia" w:hAnsi="Cambria Math"/>
                      </w:rPr>
                      <m:t>*</m:t>
                    </m:r>
                    <m:d>
                      <m:dPr>
                        <m:ctrlPr>
                          <w:rPr>
                            <w:rFonts w:ascii="Cambria Math" w:eastAsiaTheme="minorEastAsia" w:hAnsi="Cambria Math"/>
                            <w:i/>
                          </w:rPr>
                        </m:ctrlPr>
                      </m:dPr>
                      <m:e>
                        <m:r>
                          <m:rPr>
                            <m:sty m:val="bi"/>
                          </m:rPr>
                          <w:rPr>
                            <w:rFonts w:ascii="Cambria Math" w:eastAsiaTheme="minorEastAsia" w:hAnsi="Cambria Math"/>
                          </w:rPr>
                          <m:t>1+</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2</m:t>
                            </m:r>
                          </m:sub>
                        </m:sSub>
                      </m:e>
                    </m:d>
                    <m:r>
                      <m:rPr>
                        <m:sty m:val="bi"/>
                      </m:rPr>
                      <w:rPr>
                        <w:rFonts w:ascii="Cambria Math" w:eastAsiaTheme="minorEastAsia" w:hAnsi="Cambria Math"/>
                      </w:rPr>
                      <m:t>*…*</m:t>
                    </m:r>
                    <m:d>
                      <m:dPr>
                        <m:ctrlPr>
                          <w:rPr>
                            <w:rFonts w:ascii="Cambria Math" w:eastAsiaTheme="minorEastAsia" w:hAnsi="Cambria Math"/>
                            <w:i/>
                          </w:rPr>
                        </m:ctrlPr>
                      </m:dPr>
                      <m:e>
                        <m:r>
                          <m:rPr>
                            <m:sty m:val="bi"/>
                          </m:rPr>
                          <w:rPr>
                            <w:rFonts w:ascii="Cambria Math" w:eastAsiaTheme="minorEastAsia" w:hAnsi="Cambria Math"/>
                          </w:rPr>
                          <m:t>1+</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T</m:t>
                            </m:r>
                          </m:sub>
                        </m:sSub>
                      </m:e>
                    </m:d>
                    <m:r>
                      <m:rPr>
                        <m:sty m:val="bi"/>
                      </m:rPr>
                      <w:rPr>
                        <w:rFonts w:ascii="Cambria Math" w:eastAsiaTheme="minorEastAsia" w:hAnsi="Cambria Math"/>
                      </w:rPr>
                      <m:t>]</m:t>
                    </m:r>
                  </m:e>
                  <m:sup>
                    <m:r>
                      <m:rPr>
                        <m:sty m:val="bi"/>
                      </m:rPr>
                      <w:rPr>
                        <w:rFonts w:ascii="Cambria Math" w:eastAsiaTheme="minorEastAsia" w:hAnsi="Cambria Math"/>
                      </w:rPr>
                      <m:t>1/T</m:t>
                    </m:r>
                  </m:sup>
                </m:sSup>
                <m:r>
                  <m:rPr>
                    <m:sty m:val="bi"/>
                  </m:rPr>
                  <w:rPr>
                    <w:rFonts w:ascii="Cambria Math" w:eastAsiaTheme="minorEastAsia" w:hAnsi="Cambria Math"/>
                  </w:rPr>
                  <m:t>-1</m:t>
                </m:r>
              </m:oMath>
            </m:oMathPara>
          </w:p>
          <w:p w14:paraId="20E181B9" w14:textId="184BDBAF" w:rsidR="00C34AC7" w:rsidRDefault="00C34AC7" w:rsidP="00804DBB">
            <w:pPr>
              <w:jc w:val="both"/>
              <w:rPr>
                <w:rFonts w:ascii="Bookman Old Style" w:eastAsiaTheme="minorEastAsia" w:hAnsi="Bookman Old Style"/>
              </w:rPr>
            </w:pPr>
          </w:p>
        </w:tc>
      </w:tr>
    </w:tbl>
    <w:p w14:paraId="0FF2673C" w14:textId="77777777" w:rsidR="00C34AC7" w:rsidRDefault="00C34AC7" w:rsidP="00804DBB">
      <w:pPr>
        <w:spacing w:after="0" w:line="240" w:lineRule="auto"/>
        <w:jc w:val="both"/>
        <w:rPr>
          <w:rFonts w:ascii="Bookman Old Style" w:eastAsiaTheme="minorEastAsia" w:hAnsi="Bookman Old Style"/>
        </w:rPr>
      </w:pPr>
    </w:p>
    <w:p w14:paraId="396DC715" w14:textId="19F73E57" w:rsidR="00C34AC7" w:rsidRDefault="00C34AC7" w:rsidP="00804DBB">
      <w:pPr>
        <w:spacing w:after="0" w:line="240" w:lineRule="auto"/>
        <w:jc w:val="both"/>
        <w:rPr>
          <w:rFonts w:ascii="Bookman Old Style" w:eastAsiaTheme="minorEastAsia" w:hAnsi="Bookman Old Style"/>
        </w:rPr>
      </w:pPr>
      <w:r>
        <w:rPr>
          <w:rFonts w:ascii="Bookman Old Style" w:eastAsiaTheme="minorEastAsia" w:hAnsi="Bookman Old Style"/>
        </w:rPr>
        <w:t>This formula tells us that there are 4 steps to calculating this return:</w:t>
      </w:r>
    </w:p>
    <w:p w14:paraId="438CB252" w14:textId="77777777" w:rsidR="00C34AC7" w:rsidRDefault="00C34AC7" w:rsidP="00804DBB">
      <w:pPr>
        <w:spacing w:after="0" w:line="240" w:lineRule="auto"/>
        <w:jc w:val="both"/>
        <w:rPr>
          <w:rFonts w:ascii="Bookman Old Style" w:eastAsiaTheme="minorEastAsia" w:hAnsi="Bookman Old Style"/>
        </w:rPr>
      </w:pPr>
    </w:p>
    <w:p w14:paraId="66FB3868" w14:textId="06C9555A" w:rsidR="00C34AC7" w:rsidRDefault="00C34AC7" w:rsidP="00804DBB">
      <w:pPr>
        <w:pStyle w:val="ListParagraph"/>
        <w:numPr>
          <w:ilvl w:val="0"/>
          <w:numId w:val="19"/>
        </w:numPr>
        <w:spacing w:after="0" w:line="240" w:lineRule="auto"/>
        <w:jc w:val="both"/>
        <w:rPr>
          <w:rFonts w:ascii="Bookman Old Style" w:eastAsiaTheme="minorEastAsia" w:hAnsi="Bookman Old Style"/>
        </w:rPr>
      </w:pPr>
      <w:r>
        <w:rPr>
          <w:rFonts w:ascii="Bookman Old Style" w:eastAsiaTheme="minorEastAsia" w:hAnsi="Bookman Old Style"/>
        </w:rPr>
        <w:t xml:space="preserve">Take each of the </w:t>
      </w:r>
      <w:r>
        <w:rPr>
          <w:rFonts w:ascii="Bookman Old Style" w:eastAsiaTheme="minorEastAsia" w:hAnsi="Bookman Old Style"/>
          <w:i/>
        </w:rPr>
        <w:t>T</w:t>
      </w:r>
      <w:r>
        <w:rPr>
          <w:rFonts w:ascii="Bookman Old Style" w:eastAsiaTheme="minorEastAsia" w:hAnsi="Bookman Old Style"/>
        </w:rPr>
        <w:t xml:space="preserve"> annual returns,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oMath>
      <w:r>
        <w:rPr>
          <w:rFonts w:ascii="Bookman Old Style" w:eastAsiaTheme="minorEastAsia" w:hAnsi="Bookman Old Style"/>
        </w:rPr>
        <w:t xml:space="preserve"> and add a one to each (after converting them to decimals)</w:t>
      </w:r>
    </w:p>
    <w:p w14:paraId="679CD5F7" w14:textId="77777777" w:rsidR="00C34AC7" w:rsidRDefault="00C34AC7" w:rsidP="00804DBB">
      <w:pPr>
        <w:spacing w:after="0" w:line="240" w:lineRule="auto"/>
        <w:jc w:val="both"/>
        <w:rPr>
          <w:rFonts w:ascii="Bookman Old Style" w:eastAsiaTheme="minorEastAsia" w:hAnsi="Bookman Old Style"/>
        </w:rPr>
      </w:pPr>
    </w:p>
    <w:p w14:paraId="5E1B43A9" w14:textId="22B7B0DF" w:rsidR="00C34AC7" w:rsidRDefault="00C34AC7" w:rsidP="00804DBB">
      <w:pPr>
        <w:pStyle w:val="ListParagraph"/>
        <w:numPr>
          <w:ilvl w:val="0"/>
          <w:numId w:val="19"/>
        </w:numPr>
        <w:spacing w:after="0" w:line="240" w:lineRule="auto"/>
        <w:jc w:val="both"/>
        <w:rPr>
          <w:rFonts w:ascii="Bookman Old Style" w:eastAsiaTheme="minorEastAsia" w:hAnsi="Bookman Old Style"/>
        </w:rPr>
      </w:pPr>
      <w:r>
        <w:rPr>
          <w:rFonts w:ascii="Bookman Old Style" w:eastAsiaTheme="minorEastAsia" w:hAnsi="Bookman Old Style"/>
        </w:rPr>
        <w:t>Multiply all the numbers from Step 1 together</w:t>
      </w:r>
    </w:p>
    <w:p w14:paraId="7C093167" w14:textId="77777777" w:rsidR="00C34AC7" w:rsidRPr="00C34AC7" w:rsidRDefault="00C34AC7" w:rsidP="00804DBB">
      <w:pPr>
        <w:pStyle w:val="ListParagraph"/>
        <w:spacing w:after="0" w:line="240" w:lineRule="auto"/>
        <w:rPr>
          <w:rFonts w:ascii="Bookman Old Style" w:eastAsiaTheme="minorEastAsia" w:hAnsi="Bookman Old Style"/>
        </w:rPr>
      </w:pPr>
    </w:p>
    <w:p w14:paraId="6C520C88" w14:textId="375DD541" w:rsidR="00C34AC7" w:rsidRDefault="00C34AC7" w:rsidP="00804DBB">
      <w:pPr>
        <w:pStyle w:val="ListParagraph"/>
        <w:numPr>
          <w:ilvl w:val="0"/>
          <w:numId w:val="19"/>
        </w:numPr>
        <w:spacing w:after="0" w:line="240" w:lineRule="auto"/>
        <w:jc w:val="both"/>
        <w:rPr>
          <w:rFonts w:ascii="Bookman Old Style" w:eastAsiaTheme="minorEastAsia" w:hAnsi="Bookman Old Style"/>
        </w:rPr>
      </w:pPr>
      <w:r>
        <w:rPr>
          <w:rFonts w:ascii="Bookman Old Style" w:eastAsiaTheme="minorEastAsia" w:hAnsi="Bookman Old Style"/>
        </w:rPr>
        <w:t>Take the result from Step 2 and raise it to the power of 1/</w:t>
      </w:r>
      <w:r>
        <w:rPr>
          <w:rFonts w:ascii="Bookman Old Style" w:eastAsiaTheme="minorEastAsia" w:hAnsi="Bookman Old Style"/>
          <w:i/>
        </w:rPr>
        <w:t>T</w:t>
      </w:r>
    </w:p>
    <w:p w14:paraId="7431E843" w14:textId="77777777" w:rsidR="00C34AC7" w:rsidRPr="00C34AC7" w:rsidRDefault="00C34AC7" w:rsidP="00804DBB">
      <w:pPr>
        <w:pStyle w:val="ListParagraph"/>
        <w:spacing w:after="0" w:line="240" w:lineRule="auto"/>
        <w:rPr>
          <w:rFonts w:ascii="Bookman Old Style" w:eastAsiaTheme="minorEastAsia" w:hAnsi="Bookman Old Style"/>
        </w:rPr>
      </w:pPr>
    </w:p>
    <w:p w14:paraId="25CAE7F8" w14:textId="7BC176B7" w:rsidR="00C34AC7" w:rsidRDefault="00C34AC7" w:rsidP="00804DBB">
      <w:pPr>
        <w:pStyle w:val="ListParagraph"/>
        <w:numPr>
          <w:ilvl w:val="0"/>
          <w:numId w:val="19"/>
        </w:numPr>
        <w:spacing w:after="0" w:line="240" w:lineRule="auto"/>
        <w:jc w:val="both"/>
        <w:rPr>
          <w:rFonts w:ascii="Bookman Old Style" w:eastAsiaTheme="minorEastAsia" w:hAnsi="Bookman Old Style"/>
        </w:rPr>
      </w:pPr>
      <w:r>
        <w:rPr>
          <w:rFonts w:ascii="Bookman Old Style" w:eastAsiaTheme="minorEastAsia" w:hAnsi="Bookman Old Style"/>
        </w:rPr>
        <w:t>Finally, subtract one from the result of Step 3. The result is the geometric average return.</w:t>
      </w:r>
    </w:p>
    <w:p w14:paraId="47F446DC" w14:textId="77777777" w:rsidR="00C34AC7" w:rsidRDefault="00C34AC7" w:rsidP="00804DBB">
      <w:pPr>
        <w:pStyle w:val="ListParagraph"/>
        <w:spacing w:after="0" w:line="240" w:lineRule="auto"/>
        <w:rPr>
          <w:rFonts w:ascii="Bookman Old Style" w:eastAsiaTheme="minorEastAsia" w:hAnsi="Bookman Old Style"/>
        </w:rPr>
      </w:pPr>
    </w:p>
    <w:p w14:paraId="5D37ADF8" w14:textId="77777777" w:rsidR="00804DBB" w:rsidRPr="00C34AC7" w:rsidRDefault="00804DBB" w:rsidP="00804DBB">
      <w:pPr>
        <w:pStyle w:val="ListParagraph"/>
        <w:spacing w:after="0" w:line="240" w:lineRule="auto"/>
        <w:rPr>
          <w:rFonts w:ascii="Bookman Old Style" w:eastAsiaTheme="minorEastAsia" w:hAnsi="Bookman Old Style"/>
        </w:rPr>
      </w:pPr>
    </w:p>
    <w:p w14:paraId="4489F67A" w14:textId="183CF12A" w:rsidR="00C34AC7" w:rsidRDefault="00804DBB" w:rsidP="00804DBB">
      <w:pPr>
        <w:spacing w:after="0" w:line="240" w:lineRule="auto"/>
        <w:jc w:val="both"/>
        <w:rPr>
          <w:rFonts w:ascii="Bookman Old Style" w:eastAsiaTheme="minorEastAsia" w:hAnsi="Bookman Old Style"/>
        </w:rPr>
      </w:pPr>
      <w:r>
        <w:rPr>
          <w:rFonts w:ascii="Bookman Old Style" w:eastAsiaTheme="minorEastAsia" w:hAnsi="Bookman Old Style"/>
        </w:rPr>
        <w:t>One thing you may notice is that the geometric average return seems to be smaller – this will always be true (as long as the returns aren’t all identical, in which case the 2 averages would be the same).</w:t>
      </w:r>
    </w:p>
    <w:p w14:paraId="51B7EE47" w14:textId="77777777" w:rsidR="00804DBB" w:rsidRDefault="00804DBB" w:rsidP="00804DBB">
      <w:pPr>
        <w:spacing w:after="0" w:line="240" w:lineRule="auto"/>
        <w:jc w:val="both"/>
        <w:rPr>
          <w:rFonts w:ascii="Bookman Old Style" w:eastAsiaTheme="minorEastAsia" w:hAnsi="Bookman Old Style"/>
        </w:rPr>
      </w:pPr>
    </w:p>
    <w:p w14:paraId="74FC83CA" w14:textId="77777777" w:rsidR="00804DBB" w:rsidRPr="00C34AC7" w:rsidRDefault="00804DBB" w:rsidP="00804DBB">
      <w:pPr>
        <w:spacing w:after="0" w:line="240" w:lineRule="auto"/>
        <w:jc w:val="both"/>
        <w:rPr>
          <w:rFonts w:ascii="Bookman Old Style" w:eastAsiaTheme="minorEastAsia" w:hAnsi="Bookman Old Style"/>
        </w:rPr>
      </w:pPr>
    </w:p>
    <w:p w14:paraId="7BEA2380" w14:textId="77777777" w:rsidR="00BF01B4" w:rsidRDefault="00BF01B4" w:rsidP="00804DBB">
      <w:pPr>
        <w:spacing w:after="0" w:line="240" w:lineRule="auto"/>
        <w:jc w:val="both"/>
        <w:rPr>
          <w:rFonts w:ascii="Bookman Old Style" w:eastAsiaTheme="minorEastAsia" w:hAnsi="Bookman Old Style"/>
        </w:rPr>
      </w:pPr>
    </w:p>
    <w:p w14:paraId="3C19DD3C" w14:textId="77777777" w:rsidR="00804DBB" w:rsidRDefault="00804DBB" w:rsidP="00804DBB">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9F19BF" w14:paraId="5E473528" w14:textId="77777777" w:rsidTr="009F19BF">
        <w:tc>
          <w:tcPr>
            <w:tcW w:w="9576" w:type="dxa"/>
          </w:tcPr>
          <w:p w14:paraId="6CCF23A2" w14:textId="77777777" w:rsidR="009F19BF" w:rsidRDefault="009F19BF" w:rsidP="00804DBB">
            <w:pPr>
              <w:jc w:val="both"/>
              <w:rPr>
                <w:rFonts w:ascii="Bookman Old Style" w:eastAsiaTheme="minorEastAsia" w:hAnsi="Bookman Old Style"/>
              </w:rPr>
            </w:pPr>
          </w:p>
          <w:p w14:paraId="6196F177" w14:textId="77777777" w:rsidR="009F19BF" w:rsidRDefault="009F19BF" w:rsidP="009F19BF">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w:t>
            </w:r>
          </w:p>
          <w:p w14:paraId="76BA468E" w14:textId="77777777" w:rsidR="009F19BF" w:rsidRDefault="009F19BF" w:rsidP="009F19BF">
            <w:pPr>
              <w:jc w:val="both"/>
              <w:rPr>
                <w:rFonts w:ascii="Bookman Old Style" w:eastAsiaTheme="minorEastAsia" w:hAnsi="Bookman Old Style"/>
              </w:rPr>
            </w:pPr>
            <w:r>
              <w:rPr>
                <w:rFonts w:ascii="Bookman Old Style" w:eastAsiaTheme="minorEastAsia" w:hAnsi="Bookman Old Style"/>
              </w:rPr>
              <w:t>Calculate the geometric average return for S&amp;P 500 large cap stocks for the first 5 years in our previous table, 1948-1952.</w:t>
            </w:r>
          </w:p>
          <w:p w14:paraId="6331BE1A" w14:textId="77777777" w:rsidR="009F19BF" w:rsidRDefault="009F19BF" w:rsidP="009F19BF">
            <w:pPr>
              <w:jc w:val="both"/>
              <w:rPr>
                <w:rFonts w:ascii="Bookman Old Style" w:eastAsiaTheme="minorEastAsia" w:hAnsi="Bookman Old Style"/>
              </w:rPr>
            </w:pPr>
          </w:p>
          <w:p w14:paraId="0656E9DA" w14:textId="77777777" w:rsidR="009F19BF" w:rsidRDefault="009F19BF" w:rsidP="009F19BF">
            <w:pPr>
              <w:jc w:val="both"/>
              <w:rPr>
                <w:rFonts w:ascii="Bookman Old Style" w:eastAsiaTheme="minorEastAsia" w:hAnsi="Bookman Old Style"/>
              </w:rPr>
            </w:pPr>
            <w:r>
              <w:rPr>
                <w:rFonts w:ascii="Bookman Old Style" w:eastAsiaTheme="minorEastAsia" w:hAnsi="Bookman Old Style"/>
              </w:rPr>
              <w:t>First, convert percentages to decimal returns, add one, and then calculate their product:</w:t>
            </w:r>
          </w:p>
          <w:p w14:paraId="4F561414" w14:textId="77777777" w:rsidR="009F19BF" w:rsidRDefault="009F19BF" w:rsidP="009F19BF">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2628"/>
              <w:gridCol w:w="2700"/>
            </w:tblGrid>
            <w:tr w:rsidR="009F19BF" w14:paraId="7EC64A5D" w14:textId="77777777" w:rsidTr="0035742F">
              <w:trPr>
                <w:jc w:val="center"/>
              </w:trPr>
              <w:tc>
                <w:tcPr>
                  <w:tcW w:w="2628" w:type="dxa"/>
                  <w:tcBorders>
                    <w:top w:val="nil"/>
                    <w:left w:val="nil"/>
                    <w:bottom w:val="single" w:sz="4" w:space="0" w:color="auto"/>
                    <w:right w:val="nil"/>
                  </w:tcBorders>
                </w:tcPr>
                <w:p w14:paraId="344D32D6" w14:textId="77777777" w:rsidR="009F19BF" w:rsidRPr="00804DBB" w:rsidRDefault="009F19BF" w:rsidP="0035742F">
                  <w:pPr>
                    <w:jc w:val="center"/>
                    <w:rPr>
                      <w:rFonts w:ascii="Bookman Old Style" w:eastAsiaTheme="minorEastAsia" w:hAnsi="Bookman Old Style"/>
                      <w:b/>
                      <w:sz w:val="20"/>
                    </w:rPr>
                  </w:pPr>
                  <w:r w:rsidRPr="00804DBB">
                    <w:rPr>
                      <w:rFonts w:ascii="Bookman Old Style" w:eastAsiaTheme="minorEastAsia" w:hAnsi="Bookman Old Style"/>
                      <w:b/>
                      <w:sz w:val="20"/>
                    </w:rPr>
                    <w:t>S&amp;P 500 Returns</w:t>
                  </w:r>
                </w:p>
              </w:tc>
              <w:tc>
                <w:tcPr>
                  <w:tcW w:w="2700" w:type="dxa"/>
                  <w:tcBorders>
                    <w:top w:val="nil"/>
                    <w:left w:val="nil"/>
                    <w:bottom w:val="single" w:sz="4" w:space="0" w:color="auto"/>
                    <w:right w:val="nil"/>
                  </w:tcBorders>
                </w:tcPr>
                <w:p w14:paraId="10A400FB" w14:textId="77777777" w:rsidR="009F19BF" w:rsidRPr="00804DBB" w:rsidRDefault="009F19BF" w:rsidP="0035742F">
                  <w:pPr>
                    <w:jc w:val="center"/>
                    <w:rPr>
                      <w:rFonts w:ascii="Bookman Old Style" w:eastAsiaTheme="minorEastAsia" w:hAnsi="Bookman Old Style"/>
                      <w:b/>
                      <w:sz w:val="20"/>
                    </w:rPr>
                  </w:pPr>
                  <w:r w:rsidRPr="00804DBB">
                    <w:rPr>
                      <w:rFonts w:ascii="Bookman Old Style" w:eastAsiaTheme="minorEastAsia" w:hAnsi="Bookman Old Style"/>
                      <w:b/>
                      <w:sz w:val="20"/>
                    </w:rPr>
                    <w:t>Product</w:t>
                  </w:r>
                </w:p>
              </w:tc>
            </w:tr>
            <w:tr w:rsidR="009F19BF" w14:paraId="1157459D" w14:textId="77777777" w:rsidTr="0035742F">
              <w:trPr>
                <w:jc w:val="center"/>
              </w:trPr>
              <w:tc>
                <w:tcPr>
                  <w:tcW w:w="2628" w:type="dxa"/>
                  <w:tcBorders>
                    <w:left w:val="nil"/>
                    <w:bottom w:val="nil"/>
                    <w:right w:val="nil"/>
                  </w:tcBorders>
                </w:tcPr>
                <w:p w14:paraId="181FBFEF"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5.50</w:t>
                  </w:r>
                </w:p>
              </w:tc>
              <w:tc>
                <w:tcPr>
                  <w:tcW w:w="2700" w:type="dxa"/>
                  <w:tcBorders>
                    <w:left w:val="nil"/>
                    <w:bottom w:val="nil"/>
                    <w:right w:val="nil"/>
                  </w:tcBorders>
                </w:tcPr>
                <w:p w14:paraId="1512E7E7"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1.055</w:t>
                  </w:r>
                </w:p>
              </w:tc>
            </w:tr>
            <w:tr w:rsidR="009F19BF" w14:paraId="6CF9DA83" w14:textId="77777777" w:rsidTr="0035742F">
              <w:trPr>
                <w:jc w:val="center"/>
              </w:trPr>
              <w:tc>
                <w:tcPr>
                  <w:tcW w:w="2628" w:type="dxa"/>
                  <w:tcBorders>
                    <w:top w:val="nil"/>
                    <w:left w:val="nil"/>
                    <w:bottom w:val="nil"/>
                    <w:right w:val="nil"/>
                  </w:tcBorders>
                </w:tcPr>
                <w:p w14:paraId="5C165074"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22.15</w:t>
                  </w:r>
                </w:p>
              </w:tc>
              <w:tc>
                <w:tcPr>
                  <w:tcW w:w="2700" w:type="dxa"/>
                  <w:tcBorders>
                    <w:top w:val="nil"/>
                    <w:left w:val="nil"/>
                    <w:bottom w:val="nil"/>
                    <w:right w:val="nil"/>
                  </w:tcBorders>
                </w:tcPr>
                <w:p w14:paraId="5F1969B9"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 1.2215</w:t>
                  </w:r>
                </w:p>
              </w:tc>
            </w:tr>
            <w:tr w:rsidR="009F19BF" w14:paraId="3DE110D9" w14:textId="77777777" w:rsidTr="0035742F">
              <w:trPr>
                <w:jc w:val="center"/>
              </w:trPr>
              <w:tc>
                <w:tcPr>
                  <w:tcW w:w="2628" w:type="dxa"/>
                  <w:tcBorders>
                    <w:top w:val="nil"/>
                    <w:left w:val="nil"/>
                    <w:bottom w:val="nil"/>
                    <w:right w:val="nil"/>
                  </w:tcBorders>
                </w:tcPr>
                <w:p w14:paraId="4840BA8B"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39.18</w:t>
                  </w:r>
                </w:p>
              </w:tc>
              <w:tc>
                <w:tcPr>
                  <w:tcW w:w="2700" w:type="dxa"/>
                  <w:tcBorders>
                    <w:top w:val="nil"/>
                    <w:left w:val="nil"/>
                    <w:bottom w:val="nil"/>
                    <w:right w:val="nil"/>
                  </w:tcBorders>
                </w:tcPr>
                <w:p w14:paraId="76413026"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 1.3918</w:t>
                  </w:r>
                </w:p>
              </w:tc>
            </w:tr>
            <w:tr w:rsidR="009F19BF" w14:paraId="77138B22" w14:textId="77777777" w:rsidTr="0035742F">
              <w:trPr>
                <w:jc w:val="center"/>
              </w:trPr>
              <w:tc>
                <w:tcPr>
                  <w:tcW w:w="2628" w:type="dxa"/>
                  <w:tcBorders>
                    <w:top w:val="nil"/>
                    <w:left w:val="nil"/>
                    <w:bottom w:val="nil"/>
                    <w:right w:val="nil"/>
                  </w:tcBorders>
                </w:tcPr>
                <w:p w14:paraId="7E503629"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15.00</w:t>
                  </w:r>
                </w:p>
              </w:tc>
              <w:tc>
                <w:tcPr>
                  <w:tcW w:w="2700" w:type="dxa"/>
                  <w:tcBorders>
                    <w:top w:val="nil"/>
                    <w:left w:val="nil"/>
                    <w:bottom w:val="nil"/>
                    <w:right w:val="nil"/>
                  </w:tcBorders>
                </w:tcPr>
                <w:p w14:paraId="663AC139"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 1.15</w:t>
                  </w:r>
                </w:p>
              </w:tc>
            </w:tr>
            <w:tr w:rsidR="009F19BF" w14:paraId="6355FD07" w14:textId="77777777" w:rsidTr="0035742F">
              <w:trPr>
                <w:jc w:val="center"/>
              </w:trPr>
              <w:tc>
                <w:tcPr>
                  <w:tcW w:w="2628" w:type="dxa"/>
                  <w:tcBorders>
                    <w:top w:val="nil"/>
                    <w:left w:val="nil"/>
                    <w:bottom w:val="nil"/>
                    <w:right w:val="nil"/>
                  </w:tcBorders>
                </w:tcPr>
                <w:p w14:paraId="43CD98FA"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13.68</w:t>
                  </w:r>
                </w:p>
              </w:tc>
              <w:tc>
                <w:tcPr>
                  <w:tcW w:w="2700" w:type="dxa"/>
                  <w:tcBorders>
                    <w:top w:val="nil"/>
                    <w:left w:val="nil"/>
                    <w:bottom w:val="nil"/>
                    <w:right w:val="nil"/>
                  </w:tcBorders>
                </w:tcPr>
                <w:p w14:paraId="417291F3"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 1.1368</w:t>
                  </w:r>
                </w:p>
              </w:tc>
            </w:tr>
            <w:tr w:rsidR="009F19BF" w14:paraId="1B5A316E" w14:textId="77777777" w:rsidTr="0035742F">
              <w:trPr>
                <w:jc w:val="center"/>
              </w:trPr>
              <w:tc>
                <w:tcPr>
                  <w:tcW w:w="2628" w:type="dxa"/>
                  <w:tcBorders>
                    <w:top w:val="nil"/>
                    <w:left w:val="nil"/>
                    <w:right w:val="nil"/>
                  </w:tcBorders>
                </w:tcPr>
                <w:p w14:paraId="74D8E901" w14:textId="77777777" w:rsidR="009F19BF" w:rsidRPr="00804DBB" w:rsidRDefault="009F19BF" w:rsidP="0035742F">
                  <w:pPr>
                    <w:jc w:val="center"/>
                    <w:rPr>
                      <w:rFonts w:ascii="Bookman Old Style" w:eastAsiaTheme="minorEastAsia" w:hAnsi="Bookman Old Style"/>
                      <w:sz w:val="20"/>
                    </w:rPr>
                  </w:pPr>
                </w:p>
              </w:tc>
              <w:tc>
                <w:tcPr>
                  <w:tcW w:w="2700" w:type="dxa"/>
                  <w:tcBorders>
                    <w:top w:val="nil"/>
                    <w:left w:val="nil"/>
                    <w:right w:val="nil"/>
                  </w:tcBorders>
                </w:tcPr>
                <w:p w14:paraId="406FC80B" w14:textId="77777777" w:rsidR="009F19BF" w:rsidRPr="00804DBB" w:rsidRDefault="009F19BF" w:rsidP="0035742F">
                  <w:pPr>
                    <w:jc w:val="center"/>
                    <w:rPr>
                      <w:rFonts w:ascii="Bookman Old Style" w:eastAsiaTheme="minorEastAsia" w:hAnsi="Bookman Old Style"/>
                      <w:sz w:val="20"/>
                    </w:rPr>
                  </w:pPr>
                  <w:r w:rsidRPr="00804DBB">
                    <w:rPr>
                      <w:rFonts w:ascii="Bookman Old Style" w:eastAsiaTheme="minorEastAsia" w:hAnsi="Bookman Old Style"/>
                      <w:sz w:val="20"/>
                    </w:rPr>
                    <w:t>2.3448</w:t>
                  </w:r>
                </w:p>
              </w:tc>
            </w:tr>
          </w:tbl>
          <w:p w14:paraId="6E26FDDC" w14:textId="77777777" w:rsidR="009F19BF" w:rsidRPr="00804DBB" w:rsidRDefault="009F19BF" w:rsidP="009F19BF">
            <w:pPr>
              <w:jc w:val="both"/>
              <w:rPr>
                <w:rFonts w:ascii="Bookman Old Style" w:eastAsiaTheme="minorEastAsia" w:hAnsi="Bookman Old Style"/>
              </w:rPr>
            </w:pPr>
          </w:p>
          <w:p w14:paraId="68E5C3E6" w14:textId="77777777" w:rsidR="009F19BF" w:rsidRDefault="009F19BF" w:rsidP="009F19BF">
            <w:pPr>
              <w:jc w:val="both"/>
              <w:rPr>
                <w:rFonts w:ascii="Bookman Old Style" w:eastAsiaTheme="minorEastAsia" w:hAnsi="Bookman Old Style"/>
              </w:rPr>
            </w:pPr>
            <w:r>
              <w:rPr>
                <w:rFonts w:ascii="Bookman Old Style" w:eastAsiaTheme="minorEastAsia" w:hAnsi="Bookman Old Style"/>
              </w:rPr>
              <w:t>2.3448 is what our investment is worth after 5 years if we started with a one dollar investment. The geometric average return is then calculated as:</w:t>
            </w:r>
          </w:p>
          <w:p w14:paraId="51994CCF" w14:textId="77777777" w:rsidR="009F19BF" w:rsidRDefault="009F19BF" w:rsidP="009F19BF">
            <w:pPr>
              <w:jc w:val="both"/>
              <w:rPr>
                <w:rFonts w:ascii="Bookman Old Style" w:eastAsiaTheme="minorEastAsia" w:hAnsi="Bookman Old Style"/>
              </w:rPr>
            </w:pPr>
          </w:p>
          <w:p w14:paraId="01247D84" w14:textId="77777777" w:rsidR="009F19BF" w:rsidRPr="00804DBB" w:rsidRDefault="009F19BF" w:rsidP="009F19BF">
            <w:pPr>
              <w:jc w:val="both"/>
              <w:rPr>
                <w:rFonts w:ascii="Bookman Old Style" w:eastAsiaTheme="minorEastAsia" w:hAnsi="Bookman Old Style"/>
              </w:rPr>
            </w:pPr>
            <m:oMathPara>
              <m:oMath>
                <m:sSup>
                  <m:sSupPr>
                    <m:ctrlPr>
                      <w:rPr>
                        <w:rFonts w:ascii="Cambria Math" w:eastAsiaTheme="minorEastAsia" w:hAnsi="Cambria Math"/>
                        <w:i/>
                      </w:rPr>
                    </m:ctrlPr>
                  </m:sSupPr>
                  <m:e>
                    <m:r>
                      <w:rPr>
                        <w:rFonts w:ascii="Cambria Math" w:eastAsiaTheme="minorEastAsia" w:hAnsi="Cambria Math"/>
                      </w:rPr>
                      <m:t>2.3448</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5</m:t>
                        </m:r>
                      </m:den>
                    </m:f>
                  </m:sup>
                </m:sSup>
                <m:r>
                  <w:rPr>
                    <w:rFonts w:ascii="Cambria Math" w:eastAsiaTheme="minorEastAsia" w:hAnsi="Cambria Math"/>
                  </w:rPr>
                  <m:t>-1=0.1858 or 18.58%</m:t>
                </m:r>
              </m:oMath>
            </m:oMathPara>
          </w:p>
          <w:p w14:paraId="072CD72B" w14:textId="77777777" w:rsidR="009F19BF" w:rsidRDefault="009F19BF" w:rsidP="00804DBB">
            <w:pPr>
              <w:jc w:val="both"/>
              <w:rPr>
                <w:rFonts w:ascii="Bookman Old Style" w:eastAsiaTheme="minorEastAsia" w:hAnsi="Bookman Old Style"/>
              </w:rPr>
            </w:pPr>
          </w:p>
        </w:tc>
      </w:tr>
    </w:tbl>
    <w:p w14:paraId="00607023" w14:textId="77777777" w:rsidR="00804DBB" w:rsidRDefault="00804DBB" w:rsidP="00804DBB">
      <w:pPr>
        <w:spacing w:after="0" w:line="240" w:lineRule="auto"/>
        <w:jc w:val="both"/>
        <w:rPr>
          <w:rFonts w:ascii="Bookman Old Style" w:eastAsiaTheme="minorEastAsia" w:hAnsi="Bookman Old Style"/>
        </w:rPr>
      </w:pPr>
    </w:p>
    <w:p w14:paraId="735B6D4D" w14:textId="6DBD90A7" w:rsidR="00BF01B4" w:rsidRDefault="00AF0A0A" w:rsidP="00804DBB">
      <w:pPr>
        <w:spacing w:after="0" w:line="240" w:lineRule="auto"/>
        <w:jc w:val="both"/>
        <w:rPr>
          <w:rFonts w:ascii="Bookman Old Style" w:eastAsiaTheme="minorEastAsia" w:hAnsi="Bookman Old Style"/>
        </w:rPr>
      </w:pPr>
      <w:r>
        <w:rPr>
          <w:rFonts w:ascii="Bookman Old Style" w:eastAsiaTheme="minorEastAsia" w:hAnsi="Bookman Old Style"/>
        </w:rPr>
        <w:t>As the table below shows, geometric averages are smaller, but the magnitude of the difference varies quite a bit – this is because the difference is greater for more volatile investments.</w:t>
      </w:r>
    </w:p>
    <w:p w14:paraId="14FA9F4A" w14:textId="77777777" w:rsidR="00AF0A0A" w:rsidRDefault="00AF0A0A" w:rsidP="00804DBB">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3078"/>
        <w:gridCol w:w="1980"/>
        <w:gridCol w:w="1800"/>
        <w:gridCol w:w="2718"/>
      </w:tblGrid>
      <w:tr w:rsidR="00AF0A0A" w14:paraId="6484B744" w14:textId="77777777" w:rsidTr="00AF0A0A">
        <w:trPr>
          <w:jc w:val="center"/>
        </w:trPr>
        <w:tc>
          <w:tcPr>
            <w:tcW w:w="9576" w:type="dxa"/>
            <w:gridSpan w:val="4"/>
            <w:tcBorders>
              <w:top w:val="nil"/>
              <w:left w:val="nil"/>
              <w:bottom w:val="nil"/>
              <w:right w:val="nil"/>
            </w:tcBorders>
          </w:tcPr>
          <w:p w14:paraId="1488F0A5" w14:textId="3DE372BB" w:rsidR="00AF0A0A" w:rsidRPr="00AF0A0A" w:rsidRDefault="00AF0A0A" w:rsidP="00AF0A0A">
            <w:pPr>
              <w:jc w:val="center"/>
              <w:rPr>
                <w:rFonts w:ascii="Bookman Old Style" w:eastAsiaTheme="minorEastAsia" w:hAnsi="Bookman Old Style"/>
                <w:b/>
                <w:sz w:val="20"/>
                <w:u w:val="single"/>
              </w:rPr>
            </w:pPr>
            <w:r w:rsidRPr="00AF0A0A">
              <w:rPr>
                <w:rFonts w:ascii="Bookman Old Style" w:eastAsiaTheme="minorEastAsia" w:hAnsi="Bookman Old Style"/>
                <w:b/>
                <w:sz w:val="20"/>
                <w:u w:val="single"/>
              </w:rPr>
              <w:t>Geometric VS Arithmetic Average Returns, 1957-2011</w:t>
            </w:r>
          </w:p>
        </w:tc>
      </w:tr>
      <w:tr w:rsidR="00AF0A0A" w14:paraId="0B466FCA" w14:textId="77777777" w:rsidTr="00AF0A0A">
        <w:trPr>
          <w:jc w:val="center"/>
        </w:trPr>
        <w:tc>
          <w:tcPr>
            <w:tcW w:w="3078" w:type="dxa"/>
            <w:tcBorders>
              <w:top w:val="nil"/>
              <w:left w:val="nil"/>
              <w:bottom w:val="nil"/>
              <w:right w:val="nil"/>
            </w:tcBorders>
          </w:tcPr>
          <w:p w14:paraId="527796ED" w14:textId="77777777" w:rsidR="00AF0A0A" w:rsidRPr="00AF0A0A" w:rsidRDefault="00AF0A0A" w:rsidP="00AF0A0A">
            <w:pPr>
              <w:jc w:val="center"/>
              <w:rPr>
                <w:rFonts w:ascii="Bookman Old Style" w:eastAsiaTheme="minorEastAsia" w:hAnsi="Bookman Old Style"/>
                <w:sz w:val="20"/>
              </w:rPr>
            </w:pPr>
          </w:p>
        </w:tc>
        <w:tc>
          <w:tcPr>
            <w:tcW w:w="6498" w:type="dxa"/>
            <w:gridSpan w:val="3"/>
            <w:tcBorders>
              <w:top w:val="nil"/>
              <w:left w:val="nil"/>
              <w:bottom w:val="single" w:sz="4" w:space="0" w:color="auto"/>
              <w:right w:val="nil"/>
            </w:tcBorders>
          </w:tcPr>
          <w:p w14:paraId="65911E5B" w14:textId="7D02A484"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Average Return</w:t>
            </w:r>
          </w:p>
        </w:tc>
      </w:tr>
      <w:tr w:rsidR="00AF0A0A" w14:paraId="5165F8FA" w14:textId="77777777" w:rsidTr="00AF0A0A">
        <w:trPr>
          <w:jc w:val="center"/>
        </w:trPr>
        <w:tc>
          <w:tcPr>
            <w:tcW w:w="3078" w:type="dxa"/>
            <w:tcBorders>
              <w:top w:val="nil"/>
              <w:left w:val="nil"/>
              <w:bottom w:val="single" w:sz="4" w:space="0" w:color="auto"/>
              <w:right w:val="nil"/>
            </w:tcBorders>
          </w:tcPr>
          <w:p w14:paraId="36C932CA" w14:textId="500D6237" w:rsidR="00AF0A0A" w:rsidRPr="00AF0A0A" w:rsidRDefault="00AF0A0A" w:rsidP="00AF0A0A">
            <w:pPr>
              <w:jc w:val="center"/>
              <w:rPr>
                <w:rFonts w:ascii="Bookman Old Style" w:eastAsiaTheme="minorEastAsia" w:hAnsi="Bookman Old Style"/>
                <w:b/>
                <w:sz w:val="20"/>
              </w:rPr>
            </w:pPr>
            <w:r w:rsidRPr="00AF0A0A">
              <w:rPr>
                <w:rFonts w:ascii="Bookman Old Style" w:eastAsiaTheme="minorEastAsia" w:hAnsi="Bookman Old Style"/>
                <w:b/>
                <w:sz w:val="20"/>
              </w:rPr>
              <w:t>Investment</w:t>
            </w:r>
          </w:p>
        </w:tc>
        <w:tc>
          <w:tcPr>
            <w:tcW w:w="1980" w:type="dxa"/>
            <w:tcBorders>
              <w:left w:val="nil"/>
              <w:bottom w:val="single" w:sz="4" w:space="0" w:color="auto"/>
              <w:right w:val="nil"/>
            </w:tcBorders>
          </w:tcPr>
          <w:p w14:paraId="5FAE4014" w14:textId="2C7DB831" w:rsidR="00AF0A0A" w:rsidRPr="00AF0A0A" w:rsidRDefault="00AF0A0A" w:rsidP="00AF0A0A">
            <w:pPr>
              <w:jc w:val="center"/>
              <w:rPr>
                <w:rFonts w:ascii="Bookman Old Style" w:eastAsiaTheme="minorEastAsia" w:hAnsi="Bookman Old Style"/>
                <w:b/>
                <w:sz w:val="20"/>
              </w:rPr>
            </w:pPr>
            <w:r w:rsidRPr="00AF0A0A">
              <w:rPr>
                <w:rFonts w:ascii="Bookman Old Style" w:eastAsiaTheme="minorEastAsia" w:hAnsi="Bookman Old Style"/>
                <w:b/>
                <w:sz w:val="20"/>
              </w:rPr>
              <w:t>Arithmetic (%)</w:t>
            </w:r>
          </w:p>
        </w:tc>
        <w:tc>
          <w:tcPr>
            <w:tcW w:w="1800" w:type="dxa"/>
            <w:tcBorders>
              <w:left w:val="nil"/>
              <w:bottom w:val="single" w:sz="4" w:space="0" w:color="auto"/>
              <w:right w:val="nil"/>
            </w:tcBorders>
          </w:tcPr>
          <w:p w14:paraId="3ADD3128" w14:textId="696E69B7" w:rsidR="00AF0A0A" w:rsidRPr="00AF0A0A" w:rsidRDefault="00AF0A0A" w:rsidP="00AF0A0A">
            <w:pPr>
              <w:jc w:val="center"/>
              <w:rPr>
                <w:rFonts w:ascii="Bookman Old Style" w:eastAsiaTheme="minorEastAsia" w:hAnsi="Bookman Old Style"/>
                <w:b/>
                <w:sz w:val="20"/>
              </w:rPr>
            </w:pPr>
            <w:r w:rsidRPr="00AF0A0A">
              <w:rPr>
                <w:rFonts w:ascii="Bookman Old Style" w:eastAsiaTheme="minorEastAsia" w:hAnsi="Bookman Old Style"/>
                <w:b/>
                <w:sz w:val="20"/>
              </w:rPr>
              <w:t>Geometric (%)</w:t>
            </w:r>
          </w:p>
        </w:tc>
        <w:tc>
          <w:tcPr>
            <w:tcW w:w="2718" w:type="dxa"/>
            <w:tcBorders>
              <w:left w:val="nil"/>
              <w:bottom w:val="single" w:sz="4" w:space="0" w:color="auto"/>
              <w:right w:val="nil"/>
            </w:tcBorders>
          </w:tcPr>
          <w:p w14:paraId="52B3A8F7" w14:textId="718FB71E" w:rsidR="00AF0A0A" w:rsidRPr="00AF0A0A" w:rsidRDefault="00AF0A0A" w:rsidP="00AF0A0A">
            <w:pPr>
              <w:jc w:val="center"/>
              <w:rPr>
                <w:rFonts w:ascii="Bookman Old Style" w:eastAsiaTheme="minorEastAsia" w:hAnsi="Bookman Old Style"/>
                <w:b/>
                <w:sz w:val="20"/>
              </w:rPr>
            </w:pPr>
            <w:r w:rsidRPr="00AF0A0A">
              <w:rPr>
                <w:rFonts w:ascii="Bookman Old Style" w:eastAsiaTheme="minorEastAsia" w:hAnsi="Bookman Old Style"/>
                <w:b/>
                <w:sz w:val="20"/>
              </w:rPr>
              <w:t>Standard Deviation (%)</w:t>
            </w:r>
          </w:p>
        </w:tc>
      </w:tr>
      <w:tr w:rsidR="00AF0A0A" w14:paraId="01252DBE" w14:textId="77777777" w:rsidTr="00AF0A0A">
        <w:trPr>
          <w:jc w:val="center"/>
        </w:trPr>
        <w:tc>
          <w:tcPr>
            <w:tcW w:w="3078" w:type="dxa"/>
            <w:tcBorders>
              <w:left w:val="nil"/>
              <w:bottom w:val="nil"/>
              <w:right w:val="nil"/>
            </w:tcBorders>
          </w:tcPr>
          <w:p w14:paraId="373887B2" w14:textId="0A5879AA" w:rsidR="00AF0A0A" w:rsidRPr="00AF0A0A" w:rsidRDefault="00AF0A0A" w:rsidP="00804DBB">
            <w:pPr>
              <w:jc w:val="both"/>
              <w:rPr>
                <w:rFonts w:ascii="Bookman Old Style" w:eastAsiaTheme="minorEastAsia" w:hAnsi="Bookman Old Style"/>
                <w:sz w:val="20"/>
              </w:rPr>
            </w:pPr>
            <w:r w:rsidRPr="00AF0A0A">
              <w:rPr>
                <w:rFonts w:ascii="Bookman Old Style" w:eastAsiaTheme="minorEastAsia" w:hAnsi="Bookman Old Style"/>
                <w:sz w:val="20"/>
              </w:rPr>
              <w:t>Canadian common stocks</w:t>
            </w:r>
          </w:p>
        </w:tc>
        <w:tc>
          <w:tcPr>
            <w:tcW w:w="1980" w:type="dxa"/>
            <w:tcBorders>
              <w:left w:val="nil"/>
              <w:bottom w:val="nil"/>
              <w:right w:val="nil"/>
            </w:tcBorders>
          </w:tcPr>
          <w:p w14:paraId="0EBA8C90" w14:textId="7F40259A"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10.45</w:t>
            </w:r>
          </w:p>
        </w:tc>
        <w:tc>
          <w:tcPr>
            <w:tcW w:w="1800" w:type="dxa"/>
            <w:tcBorders>
              <w:left w:val="nil"/>
              <w:bottom w:val="nil"/>
              <w:right w:val="nil"/>
            </w:tcBorders>
          </w:tcPr>
          <w:p w14:paraId="25AF1C13" w14:textId="5AEF8F26"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9.10</w:t>
            </w:r>
          </w:p>
        </w:tc>
        <w:tc>
          <w:tcPr>
            <w:tcW w:w="2718" w:type="dxa"/>
            <w:tcBorders>
              <w:left w:val="nil"/>
              <w:bottom w:val="nil"/>
              <w:right w:val="nil"/>
            </w:tcBorders>
          </w:tcPr>
          <w:p w14:paraId="49D4BB60" w14:textId="33539353"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16.93</w:t>
            </w:r>
          </w:p>
        </w:tc>
      </w:tr>
      <w:tr w:rsidR="00AF0A0A" w14:paraId="23E49676" w14:textId="77777777" w:rsidTr="00AF0A0A">
        <w:trPr>
          <w:jc w:val="center"/>
        </w:trPr>
        <w:tc>
          <w:tcPr>
            <w:tcW w:w="3078" w:type="dxa"/>
            <w:tcBorders>
              <w:top w:val="nil"/>
              <w:left w:val="nil"/>
              <w:bottom w:val="nil"/>
              <w:right w:val="nil"/>
            </w:tcBorders>
          </w:tcPr>
          <w:p w14:paraId="3A0F81F0" w14:textId="136CDF99" w:rsidR="00AF0A0A" w:rsidRPr="00AF0A0A" w:rsidRDefault="00AF0A0A" w:rsidP="00804DBB">
            <w:pPr>
              <w:jc w:val="both"/>
              <w:rPr>
                <w:rFonts w:ascii="Bookman Old Style" w:eastAsiaTheme="minorEastAsia" w:hAnsi="Bookman Old Style"/>
                <w:sz w:val="20"/>
              </w:rPr>
            </w:pPr>
            <w:r w:rsidRPr="00AF0A0A">
              <w:rPr>
                <w:rFonts w:ascii="Bookman Old Style" w:eastAsiaTheme="minorEastAsia" w:hAnsi="Bookman Old Style"/>
                <w:sz w:val="20"/>
              </w:rPr>
              <w:t>US common stock (CAD$)</w:t>
            </w:r>
          </w:p>
        </w:tc>
        <w:tc>
          <w:tcPr>
            <w:tcW w:w="1980" w:type="dxa"/>
            <w:tcBorders>
              <w:top w:val="nil"/>
              <w:left w:val="nil"/>
              <w:bottom w:val="nil"/>
              <w:right w:val="nil"/>
            </w:tcBorders>
          </w:tcPr>
          <w:p w14:paraId="7FF8A0FC" w14:textId="52CAA2EF"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11.07</w:t>
            </w:r>
          </w:p>
        </w:tc>
        <w:tc>
          <w:tcPr>
            <w:tcW w:w="1800" w:type="dxa"/>
            <w:tcBorders>
              <w:top w:val="nil"/>
              <w:left w:val="nil"/>
              <w:bottom w:val="nil"/>
              <w:right w:val="nil"/>
            </w:tcBorders>
          </w:tcPr>
          <w:p w14:paraId="0044EAB9" w14:textId="42D98710"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9.76</w:t>
            </w:r>
          </w:p>
        </w:tc>
        <w:tc>
          <w:tcPr>
            <w:tcW w:w="2718" w:type="dxa"/>
            <w:tcBorders>
              <w:top w:val="nil"/>
              <w:left w:val="nil"/>
              <w:bottom w:val="nil"/>
              <w:right w:val="nil"/>
            </w:tcBorders>
          </w:tcPr>
          <w:p w14:paraId="6EED6264" w14:textId="2E1F3B4B"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16.95</w:t>
            </w:r>
          </w:p>
        </w:tc>
      </w:tr>
      <w:tr w:rsidR="00AF0A0A" w14:paraId="722332C2" w14:textId="77777777" w:rsidTr="00AF0A0A">
        <w:trPr>
          <w:jc w:val="center"/>
        </w:trPr>
        <w:tc>
          <w:tcPr>
            <w:tcW w:w="3078" w:type="dxa"/>
            <w:tcBorders>
              <w:top w:val="nil"/>
              <w:left w:val="nil"/>
              <w:bottom w:val="nil"/>
              <w:right w:val="nil"/>
            </w:tcBorders>
          </w:tcPr>
          <w:p w14:paraId="35C521CA" w14:textId="4B5F2813" w:rsidR="00AF0A0A" w:rsidRPr="00AF0A0A" w:rsidRDefault="00AF0A0A" w:rsidP="00804DBB">
            <w:pPr>
              <w:jc w:val="both"/>
              <w:rPr>
                <w:rFonts w:ascii="Bookman Old Style" w:eastAsiaTheme="minorEastAsia" w:hAnsi="Bookman Old Style"/>
                <w:sz w:val="20"/>
              </w:rPr>
            </w:pPr>
            <w:r w:rsidRPr="00AF0A0A">
              <w:rPr>
                <w:rFonts w:ascii="Bookman Old Style" w:eastAsiaTheme="minorEastAsia" w:hAnsi="Bookman Old Style"/>
                <w:sz w:val="20"/>
              </w:rPr>
              <w:t>Long bonds</w:t>
            </w:r>
          </w:p>
        </w:tc>
        <w:tc>
          <w:tcPr>
            <w:tcW w:w="1980" w:type="dxa"/>
            <w:tcBorders>
              <w:top w:val="nil"/>
              <w:left w:val="nil"/>
              <w:bottom w:val="nil"/>
              <w:right w:val="nil"/>
            </w:tcBorders>
          </w:tcPr>
          <w:p w14:paraId="66AE22E3" w14:textId="1C913FFD"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8.74</w:t>
            </w:r>
          </w:p>
        </w:tc>
        <w:tc>
          <w:tcPr>
            <w:tcW w:w="1800" w:type="dxa"/>
            <w:tcBorders>
              <w:top w:val="nil"/>
              <w:left w:val="nil"/>
              <w:bottom w:val="nil"/>
              <w:right w:val="nil"/>
            </w:tcBorders>
          </w:tcPr>
          <w:p w14:paraId="417D5CDE" w14:textId="0B5093A5"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8.33</w:t>
            </w:r>
          </w:p>
        </w:tc>
        <w:tc>
          <w:tcPr>
            <w:tcW w:w="2718" w:type="dxa"/>
            <w:tcBorders>
              <w:top w:val="nil"/>
              <w:left w:val="nil"/>
              <w:bottom w:val="nil"/>
              <w:right w:val="nil"/>
            </w:tcBorders>
          </w:tcPr>
          <w:p w14:paraId="01609AE7" w14:textId="2D3CE667"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9.75</w:t>
            </w:r>
          </w:p>
        </w:tc>
      </w:tr>
      <w:tr w:rsidR="00AF0A0A" w14:paraId="4B7B1E64" w14:textId="77777777" w:rsidTr="00AF0A0A">
        <w:trPr>
          <w:jc w:val="center"/>
        </w:trPr>
        <w:tc>
          <w:tcPr>
            <w:tcW w:w="3078" w:type="dxa"/>
            <w:tcBorders>
              <w:top w:val="nil"/>
              <w:left w:val="nil"/>
              <w:bottom w:val="nil"/>
              <w:right w:val="nil"/>
            </w:tcBorders>
          </w:tcPr>
          <w:p w14:paraId="5643E9AF" w14:textId="5571713D" w:rsidR="00AF0A0A" w:rsidRPr="00AF0A0A" w:rsidRDefault="00AF0A0A" w:rsidP="00AF0A0A">
            <w:pPr>
              <w:jc w:val="both"/>
              <w:rPr>
                <w:rFonts w:ascii="Bookman Old Style" w:eastAsiaTheme="minorEastAsia" w:hAnsi="Bookman Old Style"/>
                <w:sz w:val="20"/>
              </w:rPr>
            </w:pPr>
            <w:r w:rsidRPr="00AF0A0A">
              <w:rPr>
                <w:rFonts w:ascii="Bookman Old Style" w:eastAsiaTheme="minorEastAsia" w:hAnsi="Bookman Old Style"/>
                <w:sz w:val="20"/>
              </w:rPr>
              <w:t>Small stocks</w:t>
            </w:r>
          </w:p>
        </w:tc>
        <w:tc>
          <w:tcPr>
            <w:tcW w:w="1980" w:type="dxa"/>
            <w:tcBorders>
              <w:top w:val="nil"/>
              <w:left w:val="nil"/>
              <w:bottom w:val="nil"/>
              <w:right w:val="nil"/>
            </w:tcBorders>
          </w:tcPr>
          <w:p w14:paraId="0668BBA4" w14:textId="7C120FCB"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13.71</w:t>
            </w:r>
          </w:p>
        </w:tc>
        <w:tc>
          <w:tcPr>
            <w:tcW w:w="1800" w:type="dxa"/>
            <w:tcBorders>
              <w:top w:val="nil"/>
              <w:left w:val="nil"/>
              <w:bottom w:val="nil"/>
              <w:right w:val="nil"/>
            </w:tcBorders>
          </w:tcPr>
          <w:p w14:paraId="7AF3269E" w14:textId="5BF4C865"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10.55</w:t>
            </w:r>
          </w:p>
        </w:tc>
        <w:tc>
          <w:tcPr>
            <w:tcW w:w="2718" w:type="dxa"/>
            <w:tcBorders>
              <w:top w:val="nil"/>
              <w:left w:val="nil"/>
              <w:bottom w:val="nil"/>
              <w:right w:val="nil"/>
            </w:tcBorders>
          </w:tcPr>
          <w:p w14:paraId="5D1D6366" w14:textId="58B8A906"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26.65</w:t>
            </w:r>
          </w:p>
        </w:tc>
      </w:tr>
      <w:tr w:rsidR="00AF0A0A" w14:paraId="3E3261E7" w14:textId="77777777" w:rsidTr="00AF0A0A">
        <w:trPr>
          <w:jc w:val="center"/>
        </w:trPr>
        <w:tc>
          <w:tcPr>
            <w:tcW w:w="3078" w:type="dxa"/>
            <w:tcBorders>
              <w:top w:val="nil"/>
              <w:left w:val="nil"/>
              <w:bottom w:val="nil"/>
              <w:right w:val="nil"/>
            </w:tcBorders>
          </w:tcPr>
          <w:p w14:paraId="6D87D54B" w14:textId="2DE2B9EE" w:rsidR="00AF0A0A" w:rsidRPr="00AF0A0A" w:rsidRDefault="00AF0A0A" w:rsidP="00AF0A0A">
            <w:pPr>
              <w:jc w:val="both"/>
              <w:rPr>
                <w:rFonts w:ascii="Bookman Old Style" w:eastAsiaTheme="minorEastAsia" w:hAnsi="Bookman Old Style"/>
                <w:sz w:val="20"/>
              </w:rPr>
            </w:pPr>
            <w:r w:rsidRPr="00AF0A0A">
              <w:rPr>
                <w:rFonts w:ascii="Bookman Old Style" w:eastAsiaTheme="minorEastAsia" w:hAnsi="Bookman Old Style"/>
                <w:sz w:val="20"/>
              </w:rPr>
              <w:t>TSX Venture stocks</w:t>
            </w:r>
          </w:p>
        </w:tc>
        <w:tc>
          <w:tcPr>
            <w:tcW w:w="1980" w:type="dxa"/>
            <w:tcBorders>
              <w:top w:val="nil"/>
              <w:left w:val="nil"/>
              <w:bottom w:val="nil"/>
              <w:right w:val="nil"/>
            </w:tcBorders>
          </w:tcPr>
          <w:p w14:paraId="0F0EA2F3" w14:textId="6E039F39"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15.68</w:t>
            </w:r>
          </w:p>
        </w:tc>
        <w:tc>
          <w:tcPr>
            <w:tcW w:w="1800" w:type="dxa"/>
            <w:tcBorders>
              <w:top w:val="nil"/>
              <w:left w:val="nil"/>
              <w:bottom w:val="nil"/>
              <w:right w:val="nil"/>
            </w:tcBorders>
          </w:tcPr>
          <w:p w14:paraId="3F8DEBC4" w14:textId="1C003DA7"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3.71</w:t>
            </w:r>
          </w:p>
        </w:tc>
        <w:tc>
          <w:tcPr>
            <w:tcW w:w="2718" w:type="dxa"/>
            <w:tcBorders>
              <w:top w:val="nil"/>
              <w:left w:val="nil"/>
              <w:bottom w:val="nil"/>
              <w:right w:val="nil"/>
            </w:tcBorders>
          </w:tcPr>
          <w:p w14:paraId="429A8D7A" w14:textId="5049F187"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47.65</w:t>
            </w:r>
          </w:p>
        </w:tc>
      </w:tr>
      <w:tr w:rsidR="00AF0A0A" w14:paraId="01409106" w14:textId="77777777" w:rsidTr="00AF0A0A">
        <w:trPr>
          <w:jc w:val="center"/>
        </w:trPr>
        <w:tc>
          <w:tcPr>
            <w:tcW w:w="3078" w:type="dxa"/>
            <w:tcBorders>
              <w:top w:val="nil"/>
              <w:left w:val="nil"/>
              <w:bottom w:val="nil"/>
              <w:right w:val="nil"/>
            </w:tcBorders>
          </w:tcPr>
          <w:p w14:paraId="096A984C" w14:textId="25085558" w:rsidR="00AF0A0A" w:rsidRPr="00AF0A0A" w:rsidRDefault="00AF0A0A" w:rsidP="00AF0A0A">
            <w:pPr>
              <w:jc w:val="both"/>
              <w:rPr>
                <w:rFonts w:ascii="Bookman Old Style" w:eastAsiaTheme="minorEastAsia" w:hAnsi="Bookman Old Style"/>
                <w:sz w:val="20"/>
              </w:rPr>
            </w:pPr>
            <w:r w:rsidRPr="00AF0A0A">
              <w:rPr>
                <w:rFonts w:ascii="Bookman Old Style" w:eastAsiaTheme="minorEastAsia" w:hAnsi="Bookman Old Style"/>
                <w:sz w:val="20"/>
              </w:rPr>
              <w:t>Inflation</w:t>
            </w:r>
          </w:p>
        </w:tc>
        <w:tc>
          <w:tcPr>
            <w:tcW w:w="1980" w:type="dxa"/>
            <w:tcBorders>
              <w:top w:val="nil"/>
              <w:left w:val="nil"/>
              <w:bottom w:val="nil"/>
              <w:right w:val="nil"/>
            </w:tcBorders>
          </w:tcPr>
          <w:p w14:paraId="59616483" w14:textId="4BBED35B"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3.96</w:t>
            </w:r>
          </w:p>
        </w:tc>
        <w:tc>
          <w:tcPr>
            <w:tcW w:w="1800" w:type="dxa"/>
            <w:tcBorders>
              <w:top w:val="nil"/>
              <w:left w:val="nil"/>
              <w:bottom w:val="nil"/>
              <w:right w:val="nil"/>
            </w:tcBorders>
          </w:tcPr>
          <w:p w14:paraId="0859EBAE" w14:textId="72BF2CD9"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3.90</w:t>
            </w:r>
          </w:p>
        </w:tc>
        <w:tc>
          <w:tcPr>
            <w:tcW w:w="2718" w:type="dxa"/>
            <w:tcBorders>
              <w:top w:val="nil"/>
              <w:left w:val="nil"/>
              <w:bottom w:val="nil"/>
              <w:right w:val="nil"/>
            </w:tcBorders>
          </w:tcPr>
          <w:p w14:paraId="7CB32FE0" w14:textId="2B2880D0"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3.13</w:t>
            </w:r>
          </w:p>
        </w:tc>
      </w:tr>
      <w:tr w:rsidR="00AF0A0A" w14:paraId="351248A5" w14:textId="77777777" w:rsidTr="00AF0A0A">
        <w:trPr>
          <w:jc w:val="center"/>
        </w:trPr>
        <w:tc>
          <w:tcPr>
            <w:tcW w:w="3078" w:type="dxa"/>
            <w:tcBorders>
              <w:top w:val="nil"/>
              <w:left w:val="nil"/>
              <w:right w:val="nil"/>
            </w:tcBorders>
          </w:tcPr>
          <w:p w14:paraId="34893D9E" w14:textId="1979B783" w:rsidR="00AF0A0A" w:rsidRPr="00AF0A0A" w:rsidRDefault="00AF0A0A" w:rsidP="00AF0A0A">
            <w:pPr>
              <w:jc w:val="both"/>
              <w:rPr>
                <w:rFonts w:ascii="Bookman Old Style" w:eastAsiaTheme="minorEastAsia" w:hAnsi="Bookman Old Style"/>
                <w:sz w:val="20"/>
              </w:rPr>
            </w:pPr>
            <w:r w:rsidRPr="00AF0A0A">
              <w:rPr>
                <w:rFonts w:ascii="Bookman Old Style" w:eastAsiaTheme="minorEastAsia" w:hAnsi="Bookman Old Style"/>
                <w:sz w:val="20"/>
              </w:rPr>
              <w:t>Treasury bills</w:t>
            </w:r>
          </w:p>
        </w:tc>
        <w:tc>
          <w:tcPr>
            <w:tcW w:w="1980" w:type="dxa"/>
            <w:tcBorders>
              <w:top w:val="nil"/>
              <w:left w:val="nil"/>
              <w:right w:val="nil"/>
            </w:tcBorders>
          </w:tcPr>
          <w:p w14:paraId="100DB1AA" w14:textId="6D81E0B2"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6.15</w:t>
            </w:r>
          </w:p>
        </w:tc>
        <w:tc>
          <w:tcPr>
            <w:tcW w:w="1800" w:type="dxa"/>
            <w:tcBorders>
              <w:top w:val="nil"/>
              <w:left w:val="nil"/>
              <w:right w:val="nil"/>
            </w:tcBorders>
          </w:tcPr>
          <w:p w14:paraId="7865835F" w14:textId="2A961124"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6.09</w:t>
            </w:r>
          </w:p>
        </w:tc>
        <w:tc>
          <w:tcPr>
            <w:tcW w:w="2718" w:type="dxa"/>
            <w:tcBorders>
              <w:top w:val="nil"/>
              <w:left w:val="nil"/>
              <w:right w:val="nil"/>
            </w:tcBorders>
          </w:tcPr>
          <w:p w14:paraId="696DD1B0" w14:textId="5A1C4AF3" w:rsidR="00AF0A0A" w:rsidRPr="00AF0A0A" w:rsidRDefault="00AF0A0A" w:rsidP="00AF0A0A">
            <w:pPr>
              <w:jc w:val="center"/>
              <w:rPr>
                <w:rFonts w:ascii="Bookman Old Style" w:eastAsiaTheme="minorEastAsia" w:hAnsi="Bookman Old Style"/>
                <w:sz w:val="20"/>
              </w:rPr>
            </w:pPr>
            <w:r w:rsidRPr="00AF0A0A">
              <w:rPr>
                <w:rFonts w:ascii="Bookman Old Style" w:eastAsiaTheme="minorEastAsia" w:hAnsi="Bookman Old Style"/>
                <w:sz w:val="20"/>
              </w:rPr>
              <w:t>3.75</w:t>
            </w:r>
          </w:p>
        </w:tc>
      </w:tr>
    </w:tbl>
    <w:p w14:paraId="1093F0A8" w14:textId="77777777" w:rsidR="00AF0A0A" w:rsidRDefault="00AF0A0A" w:rsidP="00804DBB">
      <w:pPr>
        <w:spacing w:after="0" w:line="240" w:lineRule="auto"/>
        <w:jc w:val="both"/>
        <w:rPr>
          <w:rFonts w:ascii="Bookman Old Style" w:eastAsiaTheme="minorEastAsia" w:hAnsi="Bookman Old Style"/>
        </w:rPr>
      </w:pPr>
    </w:p>
    <w:p w14:paraId="1C402E2A" w14:textId="77777777" w:rsidR="00AF0A0A" w:rsidRDefault="00AF0A0A" w:rsidP="00AF0A0A">
      <w:pPr>
        <w:spacing w:after="0" w:line="240" w:lineRule="auto"/>
        <w:jc w:val="both"/>
        <w:rPr>
          <w:rFonts w:ascii="Bookman Old Style" w:eastAsiaTheme="minorEastAsia" w:hAnsi="Bookman Old Style"/>
        </w:rPr>
      </w:pPr>
      <w:r>
        <w:rPr>
          <w:rFonts w:ascii="Bookman Old Style" w:eastAsiaTheme="minorEastAsia" w:hAnsi="Bookman Old Style"/>
        </w:rPr>
        <w:t>There is useful approximation - assuming all the numbers are expressed in decimals (not percentages), the geometric average return is approximately equal to the arithmetic average return minus half the variance.</w:t>
      </w:r>
    </w:p>
    <w:p w14:paraId="314AC3A4" w14:textId="77777777" w:rsidR="00AF0A0A" w:rsidRDefault="00AF0A0A" w:rsidP="00804DBB">
      <w:pPr>
        <w:spacing w:after="0" w:line="240" w:lineRule="auto"/>
        <w:jc w:val="both"/>
        <w:rPr>
          <w:rFonts w:ascii="Bookman Old Style" w:eastAsiaTheme="minorEastAsia" w:hAnsi="Bookman Old Style"/>
        </w:rPr>
      </w:pPr>
    </w:p>
    <w:p w14:paraId="1C8357EC" w14:textId="7E900A25" w:rsidR="00AF0A0A" w:rsidRPr="00AF0A0A" w:rsidRDefault="00AF0A0A"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Looking at the Canadian stocks, the arithmetic average is 0.1045 and the standard deviation is 0.1693, implying that the variance is 0.0288 (0.1693²). The approximate geometric average is thus: </w:t>
      </w:r>
      <m:oMath>
        <m:f>
          <m:fPr>
            <m:ctrlPr>
              <w:rPr>
                <w:rFonts w:ascii="Cambria Math" w:eastAsiaTheme="minorEastAsia" w:hAnsi="Cambria Math"/>
                <w:i/>
              </w:rPr>
            </m:ctrlPr>
          </m:fPr>
          <m:num>
            <m:r>
              <w:rPr>
                <w:rFonts w:ascii="Cambria Math" w:eastAsiaTheme="minorEastAsia" w:hAnsi="Cambria Math"/>
              </w:rPr>
              <m:t>0.1045-0.0288</m:t>
            </m:r>
          </m:num>
          <m:den>
            <m:r>
              <w:rPr>
                <w:rFonts w:ascii="Cambria Math" w:eastAsiaTheme="minorEastAsia" w:hAnsi="Cambria Math"/>
              </w:rPr>
              <m:t>2</m:t>
            </m:r>
          </m:den>
        </m:f>
        <m:r>
          <w:rPr>
            <w:rFonts w:ascii="Cambria Math" w:eastAsiaTheme="minorEastAsia" w:hAnsi="Cambria Math"/>
          </w:rPr>
          <m:t>=0.0901</m:t>
        </m:r>
      </m:oMath>
      <w:r>
        <w:rPr>
          <w:rFonts w:ascii="Bookman Old Style" w:eastAsiaTheme="minorEastAsia" w:hAnsi="Bookman Old Style"/>
        </w:rPr>
        <w:t>, which is quite close to the actual value.</w:t>
      </w:r>
    </w:p>
    <w:p w14:paraId="1AF6B2CF" w14:textId="77777777" w:rsidR="00AF0A0A" w:rsidRDefault="00AF0A0A" w:rsidP="00804DBB">
      <w:pPr>
        <w:spacing w:after="0" w:line="240" w:lineRule="auto"/>
        <w:jc w:val="both"/>
        <w:rPr>
          <w:rFonts w:ascii="Bookman Old Style" w:eastAsiaTheme="minorEastAsia" w:hAnsi="Bookman Old Style"/>
        </w:rPr>
      </w:pPr>
    </w:p>
    <w:p w14:paraId="2D8A1D78" w14:textId="77777777" w:rsidR="00AF0A0A" w:rsidRDefault="00AF0A0A" w:rsidP="00804DBB">
      <w:pPr>
        <w:spacing w:after="0" w:line="240" w:lineRule="auto"/>
        <w:jc w:val="both"/>
        <w:rPr>
          <w:rFonts w:ascii="Bookman Old Style" w:eastAsiaTheme="minorEastAsia" w:hAnsi="Bookman Old Style"/>
        </w:rPr>
      </w:pPr>
    </w:p>
    <w:p w14:paraId="26995A77" w14:textId="43A33106" w:rsidR="00AF0A0A" w:rsidRDefault="00AF0A0A" w:rsidP="00804DBB">
      <w:pPr>
        <w:spacing w:after="0" w:line="240" w:lineRule="auto"/>
        <w:jc w:val="both"/>
        <w:rPr>
          <w:rFonts w:ascii="Bookman Old Style" w:eastAsiaTheme="minorEastAsia" w:hAnsi="Bookman Old Style"/>
        </w:rPr>
      </w:pPr>
      <w:r>
        <w:rPr>
          <w:rFonts w:ascii="Bookman Old Style" w:eastAsiaTheme="minorEastAsia" w:hAnsi="Bookman Old Style"/>
          <w:b/>
          <w:u w:val="single"/>
        </w:rPr>
        <w:t>ARITHMETIC OR GEOMETRIC AVERAGE RETURN?</w:t>
      </w:r>
    </w:p>
    <w:p w14:paraId="669C79C3" w14:textId="5E3BEB8C" w:rsidR="00AF0A0A" w:rsidRDefault="00AF0A0A"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Looking at the historical returns, we can see that the </w:t>
      </w:r>
      <w:r w:rsidRPr="00AF0A0A">
        <w:rPr>
          <w:rFonts w:ascii="Bookman Old Style" w:eastAsiaTheme="minorEastAsia" w:hAnsi="Bookman Old Style"/>
          <w:b/>
          <w:i/>
        </w:rPr>
        <w:t>geometric average</w:t>
      </w:r>
      <w:r>
        <w:rPr>
          <w:rFonts w:ascii="Bookman Old Style" w:eastAsiaTheme="minorEastAsia" w:hAnsi="Bookman Old Style"/>
        </w:rPr>
        <w:t xml:space="preserve"> tells you what you actually earned per year on average, compounded annually. The </w:t>
      </w:r>
      <w:r>
        <w:rPr>
          <w:rFonts w:ascii="Bookman Old Style" w:eastAsiaTheme="minorEastAsia" w:hAnsi="Bookman Old Style"/>
          <w:b/>
          <w:i/>
        </w:rPr>
        <w:t xml:space="preserve">arithmetic </w:t>
      </w:r>
      <w:r>
        <w:rPr>
          <w:rFonts w:ascii="Bookman Old Style" w:eastAsiaTheme="minorEastAsia" w:hAnsi="Bookman Old Style"/>
          <w:b/>
          <w:i/>
        </w:rPr>
        <w:lastRenderedPageBreak/>
        <w:t>average</w:t>
      </w:r>
      <w:r>
        <w:rPr>
          <w:rFonts w:ascii="Bookman Old Style" w:eastAsiaTheme="minorEastAsia" w:hAnsi="Bookman Old Style"/>
        </w:rPr>
        <w:t xml:space="preserve"> tells you what you earned in a typical year. You should use whichever one answers the question you want answered.</w:t>
      </w:r>
    </w:p>
    <w:p w14:paraId="4D5202A2" w14:textId="77777777" w:rsidR="00AF0A0A" w:rsidRDefault="00AF0A0A" w:rsidP="00804DBB">
      <w:pPr>
        <w:spacing w:after="0" w:line="240" w:lineRule="auto"/>
        <w:jc w:val="both"/>
        <w:rPr>
          <w:rFonts w:ascii="Bookman Old Style" w:eastAsiaTheme="minorEastAsia" w:hAnsi="Bookman Old Style"/>
        </w:rPr>
      </w:pPr>
    </w:p>
    <w:p w14:paraId="3BC84CE0" w14:textId="17A56A60" w:rsidR="00AF0A0A" w:rsidRDefault="008C379C"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A trickier question is which average returns to use when forecasting future wealth levels. One thing is important to know </w:t>
      </w:r>
      <w:r w:rsidRPr="008C379C">
        <w:rPr>
          <w:rFonts w:ascii="Bookman Old Style" w:eastAsiaTheme="minorEastAsia" w:hAnsi="Bookman Old Style"/>
        </w:rPr>
        <w:sym w:font="Wingdings" w:char="F0E0"/>
      </w:r>
      <w:r>
        <w:rPr>
          <w:rFonts w:ascii="Bookman Old Style" w:eastAsiaTheme="minorEastAsia" w:hAnsi="Bookman Old Style"/>
        </w:rPr>
        <w:t xml:space="preserve"> If you </w:t>
      </w:r>
      <w:r>
        <w:rPr>
          <w:rFonts w:ascii="Bookman Old Style" w:eastAsiaTheme="minorEastAsia" w:hAnsi="Bookman Old Style"/>
          <w:i/>
        </w:rPr>
        <w:t>know</w:t>
      </w:r>
      <w:r>
        <w:rPr>
          <w:rFonts w:ascii="Bookman Old Style" w:eastAsiaTheme="minorEastAsia" w:hAnsi="Bookman Old Style"/>
        </w:rPr>
        <w:t xml:space="preserve"> the true arithmetic average return, then this what you should use in your forecast.</w:t>
      </w:r>
    </w:p>
    <w:p w14:paraId="5463E718" w14:textId="77777777" w:rsidR="008C379C" w:rsidRDefault="008C379C" w:rsidP="00804DBB">
      <w:pPr>
        <w:spacing w:after="0" w:line="240" w:lineRule="auto"/>
        <w:jc w:val="both"/>
        <w:rPr>
          <w:rFonts w:ascii="Bookman Old Style" w:eastAsiaTheme="minorEastAsia" w:hAnsi="Bookman Old Style"/>
        </w:rPr>
      </w:pPr>
    </w:p>
    <w:p w14:paraId="3FEE9282" w14:textId="476B18EF" w:rsidR="008C379C" w:rsidRDefault="008C379C" w:rsidP="00804DBB">
      <w:pPr>
        <w:spacing w:after="0" w:line="240" w:lineRule="auto"/>
        <w:jc w:val="both"/>
        <w:rPr>
          <w:rFonts w:ascii="Bookman Old Style" w:eastAsiaTheme="minorEastAsia" w:hAnsi="Bookman Old Style"/>
        </w:rPr>
      </w:pPr>
      <w:r>
        <w:rPr>
          <w:rFonts w:ascii="Bookman Old Style" w:eastAsiaTheme="minorEastAsia" w:hAnsi="Bookman Old Style"/>
        </w:rPr>
        <w:t>For example, if you know the arithmetic return is 10%, them your best guess of the value of a $1000 investment in 10 years is the future value of $1000 at 10% for 10 years, or $2593.74.</w:t>
      </w:r>
    </w:p>
    <w:p w14:paraId="30339F18" w14:textId="77777777" w:rsidR="008C379C" w:rsidRDefault="008C379C" w:rsidP="00804DBB">
      <w:pPr>
        <w:spacing w:after="0" w:line="240" w:lineRule="auto"/>
        <w:jc w:val="both"/>
        <w:rPr>
          <w:rFonts w:ascii="Bookman Old Style" w:eastAsiaTheme="minorEastAsia" w:hAnsi="Bookman Old Style"/>
        </w:rPr>
      </w:pPr>
    </w:p>
    <w:p w14:paraId="72A87205" w14:textId="62700869" w:rsidR="008C379C" w:rsidRDefault="008C379C" w:rsidP="00804DBB">
      <w:pPr>
        <w:spacing w:after="0" w:line="240" w:lineRule="auto"/>
        <w:jc w:val="both"/>
        <w:rPr>
          <w:rFonts w:ascii="Bookman Old Style" w:eastAsiaTheme="minorEastAsia" w:hAnsi="Bookman Old Style"/>
        </w:rPr>
      </w:pPr>
      <w:r>
        <w:rPr>
          <w:rFonts w:ascii="Bookman Old Style" w:eastAsiaTheme="minorEastAsia" w:hAnsi="Bookman Old Style"/>
        </w:rPr>
        <w:t>The problem is that we usually only have estimates of the arithmetic and geometric returns, and estimates have errors.</w:t>
      </w:r>
    </w:p>
    <w:p w14:paraId="52D22205" w14:textId="77777777" w:rsidR="008C379C" w:rsidRDefault="008C379C" w:rsidP="00804DBB">
      <w:pPr>
        <w:spacing w:after="0" w:line="240" w:lineRule="auto"/>
        <w:jc w:val="both"/>
        <w:rPr>
          <w:rFonts w:ascii="Bookman Old Style" w:eastAsiaTheme="minorEastAsia" w:hAnsi="Bookman Old Style"/>
        </w:rPr>
      </w:pPr>
    </w:p>
    <w:p w14:paraId="7EFF81E0" w14:textId="544A15D5" w:rsidR="008C379C" w:rsidRDefault="008C379C" w:rsidP="00804DBB">
      <w:pPr>
        <w:spacing w:after="0" w:line="240" w:lineRule="auto"/>
        <w:jc w:val="both"/>
        <w:rPr>
          <w:rFonts w:ascii="Bookman Old Style" w:eastAsiaTheme="minorEastAsia" w:hAnsi="Bookman Old Style"/>
        </w:rPr>
      </w:pPr>
      <w:r>
        <w:rPr>
          <w:rFonts w:ascii="Bookman Old Style" w:eastAsiaTheme="minorEastAsia" w:hAnsi="Bookman Old Style"/>
        </w:rPr>
        <w:t xml:space="preserve">In this case, the arithmetic average return is probably </w:t>
      </w:r>
      <w:r>
        <w:rPr>
          <w:rFonts w:ascii="Bookman Old Style" w:eastAsiaTheme="minorEastAsia" w:hAnsi="Bookman Old Style"/>
          <w:u w:val="single"/>
        </w:rPr>
        <w:t>too high</w:t>
      </w:r>
      <w:r>
        <w:rPr>
          <w:rFonts w:ascii="Bookman Old Style" w:eastAsiaTheme="minorEastAsia" w:hAnsi="Bookman Old Style"/>
        </w:rPr>
        <w:t xml:space="preserve"> for </w:t>
      </w:r>
      <w:r>
        <w:rPr>
          <w:rFonts w:ascii="Bookman Old Style" w:eastAsiaTheme="minorEastAsia" w:hAnsi="Bookman Old Style"/>
          <w:u w:val="single"/>
        </w:rPr>
        <w:t>longer periods</w:t>
      </w:r>
      <w:r>
        <w:rPr>
          <w:rFonts w:ascii="Bookman Old Style" w:eastAsiaTheme="minorEastAsia" w:hAnsi="Bookman Old Style"/>
        </w:rPr>
        <w:t xml:space="preserve"> and the geometric average is probably </w:t>
      </w:r>
      <w:r>
        <w:rPr>
          <w:rFonts w:ascii="Bookman Old Style" w:eastAsiaTheme="minorEastAsia" w:hAnsi="Bookman Old Style"/>
          <w:u w:val="single"/>
        </w:rPr>
        <w:t>too low</w:t>
      </w:r>
      <w:r>
        <w:rPr>
          <w:rFonts w:ascii="Bookman Old Style" w:eastAsiaTheme="minorEastAsia" w:hAnsi="Bookman Old Style"/>
        </w:rPr>
        <w:t xml:space="preserve"> for </w:t>
      </w:r>
      <w:r>
        <w:rPr>
          <w:rFonts w:ascii="Bookman Old Style" w:eastAsiaTheme="minorEastAsia" w:hAnsi="Bookman Old Style"/>
          <w:u w:val="single"/>
        </w:rPr>
        <w:t>shorter periods</w:t>
      </w:r>
      <w:r>
        <w:rPr>
          <w:rFonts w:ascii="Bookman Old Style" w:eastAsiaTheme="minorEastAsia" w:hAnsi="Bookman Old Style"/>
        </w:rPr>
        <w:t>. So you should:</w:t>
      </w:r>
    </w:p>
    <w:p w14:paraId="3873F9FC" w14:textId="77777777" w:rsidR="008C379C" w:rsidRDefault="008C379C" w:rsidP="00804DBB">
      <w:pPr>
        <w:spacing w:after="0" w:line="240" w:lineRule="auto"/>
        <w:jc w:val="both"/>
        <w:rPr>
          <w:rFonts w:ascii="Bookman Old Style" w:eastAsiaTheme="minorEastAsia" w:hAnsi="Bookman Old Style"/>
        </w:rPr>
      </w:pPr>
    </w:p>
    <w:p w14:paraId="39346BB0" w14:textId="3FB1B369" w:rsidR="008C379C" w:rsidRDefault="008C379C" w:rsidP="008C379C">
      <w:pPr>
        <w:pStyle w:val="ListParagraph"/>
        <w:numPr>
          <w:ilvl w:val="0"/>
          <w:numId w:val="21"/>
        </w:numPr>
        <w:spacing w:after="0" w:line="240" w:lineRule="auto"/>
        <w:jc w:val="both"/>
        <w:rPr>
          <w:rFonts w:ascii="Bookman Old Style" w:eastAsiaTheme="minorEastAsia" w:hAnsi="Bookman Old Style"/>
        </w:rPr>
      </w:pPr>
      <w:r>
        <w:rPr>
          <w:rFonts w:ascii="Bookman Old Style" w:eastAsiaTheme="minorEastAsia" w:hAnsi="Bookman Old Style"/>
        </w:rPr>
        <w:t xml:space="preserve">Regard </w:t>
      </w:r>
      <w:r w:rsidRPr="008C379C">
        <w:rPr>
          <w:rFonts w:ascii="Bookman Old Style" w:eastAsiaTheme="minorEastAsia" w:hAnsi="Bookman Old Style"/>
          <w:b/>
          <w:i/>
        </w:rPr>
        <w:t>long-run</w:t>
      </w:r>
      <w:r>
        <w:rPr>
          <w:rFonts w:ascii="Bookman Old Style" w:eastAsiaTheme="minorEastAsia" w:hAnsi="Bookman Old Style"/>
        </w:rPr>
        <w:t xml:space="preserve"> projected wealth levels calculated using </w:t>
      </w:r>
      <w:r>
        <w:rPr>
          <w:rFonts w:ascii="Bookman Old Style" w:eastAsiaTheme="minorEastAsia" w:hAnsi="Bookman Old Style"/>
          <w:b/>
        </w:rPr>
        <w:t>arithmetic averages</w:t>
      </w:r>
      <w:r>
        <w:rPr>
          <w:rFonts w:ascii="Bookman Old Style" w:eastAsiaTheme="minorEastAsia" w:hAnsi="Bookman Old Style"/>
        </w:rPr>
        <w:t xml:space="preserve"> as optimistic</w:t>
      </w:r>
    </w:p>
    <w:p w14:paraId="73708BD7" w14:textId="77777777" w:rsidR="008C379C" w:rsidRDefault="008C379C" w:rsidP="008C379C">
      <w:pPr>
        <w:spacing w:after="0" w:line="240" w:lineRule="auto"/>
        <w:jc w:val="both"/>
        <w:rPr>
          <w:rFonts w:ascii="Bookman Old Style" w:eastAsiaTheme="minorEastAsia" w:hAnsi="Bookman Old Style"/>
        </w:rPr>
      </w:pPr>
    </w:p>
    <w:p w14:paraId="2FA1A399" w14:textId="47CBB0DE" w:rsidR="008C379C" w:rsidRDefault="008C379C" w:rsidP="008C379C">
      <w:pPr>
        <w:pStyle w:val="ListParagraph"/>
        <w:numPr>
          <w:ilvl w:val="0"/>
          <w:numId w:val="21"/>
        </w:numPr>
        <w:spacing w:after="0" w:line="240" w:lineRule="auto"/>
        <w:jc w:val="both"/>
        <w:rPr>
          <w:rFonts w:ascii="Bookman Old Style" w:eastAsiaTheme="minorEastAsia" w:hAnsi="Bookman Old Style"/>
        </w:rPr>
      </w:pPr>
      <w:r>
        <w:rPr>
          <w:rFonts w:ascii="Bookman Old Style" w:eastAsiaTheme="minorEastAsia" w:hAnsi="Bookman Old Style"/>
          <w:b/>
          <w:i/>
        </w:rPr>
        <w:t>Short-run</w:t>
      </w:r>
      <w:r>
        <w:rPr>
          <w:rFonts w:ascii="Bookman Old Style" w:eastAsiaTheme="minorEastAsia" w:hAnsi="Bookman Old Style"/>
        </w:rPr>
        <w:t xml:space="preserve"> projected wealth levels calculated using </w:t>
      </w:r>
      <w:r>
        <w:rPr>
          <w:rFonts w:ascii="Bookman Old Style" w:eastAsiaTheme="minorEastAsia" w:hAnsi="Bookman Old Style"/>
          <w:b/>
        </w:rPr>
        <w:t>geometric averages</w:t>
      </w:r>
      <w:r>
        <w:rPr>
          <w:rFonts w:ascii="Bookman Old Style" w:eastAsiaTheme="minorEastAsia" w:hAnsi="Bookman Old Style"/>
        </w:rPr>
        <w:t xml:space="preserve"> are probably pessimistic</w:t>
      </w:r>
    </w:p>
    <w:p w14:paraId="47B50A4E" w14:textId="77777777" w:rsidR="008C379C" w:rsidRDefault="008C379C" w:rsidP="008C379C">
      <w:pPr>
        <w:spacing w:after="0" w:line="240" w:lineRule="auto"/>
        <w:jc w:val="both"/>
        <w:rPr>
          <w:rFonts w:ascii="Bookman Old Style" w:eastAsiaTheme="minorEastAsia" w:hAnsi="Bookman Old Style"/>
        </w:rPr>
      </w:pPr>
    </w:p>
    <w:p w14:paraId="1D9A1B0C" w14:textId="7830BE72" w:rsidR="008C379C" w:rsidRDefault="008C379C" w:rsidP="008C379C">
      <w:pPr>
        <w:spacing w:after="0" w:line="240" w:lineRule="auto"/>
        <w:jc w:val="both"/>
        <w:rPr>
          <w:rFonts w:ascii="Bookman Old Style" w:eastAsiaTheme="minorEastAsia" w:hAnsi="Bookman Old Style"/>
        </w:rPr>
      </w:pPr>
      <w:r>
        <w:rPr>
          <w:rFonts w:ascii="Bookman Old Style" w:eastAsiaTheme="minorEastAsia" w:hAnsi="Bookman Old Style"/>
        </w:rPr>
        <w:t>If you’re using averages calculated over a logn period of time (like 55 years) to forecast, then you should split the difference between arithmetic and geometric average returns. What this means is calculating the geometric mean market risk premium from our previous table: 9.10% - 6.09% = 3.01%. our revised estimate of the market risk premium then becomes the average of this number and the arithmetic mean risk premium on Canadian common stocks of 4.30%: (3.01% + 4.30%)/2 = 3.66%</w:t>
      </w:r>
    </w:p>
    <w:p w14:paraId="263C73BC" w14:textId="77777777" w:rsidR="008C379C" w:rsidRDefault="008C379C" w:rsidP="008C379C">
      <w:pPr>
        <w:spacing w:after="0" w:line="240" w:lineRule="auto"/>
        <w:jc w:val="both"/>
        <w:rPr>
          <w:rFonts w:ascii="Bookman Old Style" w:eastAsiaTheme="minorEastAsia" w:hAnsi="Bookman Old Style"/>
        </w:rPr>
      </w:pPr>
    </w:p>
    <w:p w14:paraId="010722BD" w14:textId="61DDD736" w:rsidR="008C379C" w:rsidRDefault="008C379C" w:rsidP="008C379C">
      <w:pPr>
        <w:spacing w:after="0" w:line="240" w:lineRule="auto"/>
        <w:jc w:val="both"/>
        <w:rPr>
          <w:rFonts w:ascii="Bookman Old Style" w:eastAsiaTheme="minorEastAsia" w:hAnsi="Bookman Old Style"/>
        </w:rPr>
      </w:pPr>
      <w:r>
        <w:rPr>
          <w:rFonts w:ascii="Bookman Old Style" w:eastAsiaTheme="minorEastAsia" w:hAnsi="Bookman Old Style"/>
        </w:rPr>
        <w:t>In the future, when we say “average return”, we mean arithmetic unless it says otherwise.</w:t>
      </w:r>
    </w:p>
    <w:p w14:paraId="2F3A1253" w14:textId="77777777" w:rsidR="008C379C" w:rsidRDefault="008C379C" w:rsidP="008C379C">
      <w:pPr>
        <w:spacing w:after="0" w:line="240" w:lineRule="auto"/>
        <w:jc w:val="both"/>
        <w:rPr>
          <w:rFonts w:ascii="Bookman Old Style" w:eastAsiaTheme="minorEastAsia" w:hAnsi="Bookman Old Style"/>
        </w:rPr>
      </w:pPr>
    </w:p>
    <w:p w14:paraId="16962363" w14:textId="77777777" w:rsidR="008C379C" w:rsidRDefault="008C379C" w:rsidP="008C379C">
      <w:pPr>
        <w:spacing w:after="0" w:line="240" w:lineRule="auto"/>
        <w:jc w:val="both"/>
        <w:rPr>
          <w:rFonts w:ascii="Bookman Old Style" w:eastAsiaTheme="minorEastAsia" w:hAnsi="Bookman Old Style"/>
        </w:rPr>
      </w:pPr>
    </w:p>
    <w:p w14:paraId="18D84E9B" w14:textId="3D4C4848" w:rsidR="008C379C" w:rsidRDefault="008C379C" w:rsidP="008C379C">
      <w:pPr>
        <w:spacing w:after="0" w:line="240" w:lineRule="auto"/>
        <w:jc w:val="center"/>
        <w:rPr>
          <w:rFonts w:ascii="Bookman Old Style" w:eastAsiaTheme="minorEastAsia" w:hAnsi="Bookman Old Style"/>
        </w:rPr>
      </w:pPr>
      <w:r>
        <w:rPr>
          <w:rFonts w:ascii="Bookman Old Style" w:eastAsiaTheme="minorEastAsia" w:hAnsi="Bookman Old Style"/>
          <w:b/>
          <w:u w:val="single"/>
        </w:rPr>
        <w:t>CAPITAL MARKET EFFICIENCY</w:t>
      </w:r>
    </w:p>
    <w:p w14:paraId="1D38FC22" w14:textId="4D81B258" w:rsidR="008C379C" w:rsidRDefault="008C379C" w:rsidP="008C379C">
      <w:pPr>
        <w:spacing w:after="0" w:line="240" w:lineRule="auto"/>
        <w:jc w:val="both"/>
        <w:rPr>
          <w:rFonts w:ascii="Bookman Old Style" w:eastAsiaTheme="minorEastAsia" w:hAnsi="Bookman Old Style"/>
        </w:rPr>
      </w:pPr>
      <w:r>
        <w:rPr>
          <w:rFonts w:ascii="Bookman Old Style" w:eastAsiaTheme="minorEastAsia" w:hAnsi="Bookman Old Style"/>
        </w:rPr>
        <w:t>Capital market history suggests that the market values of stocks and bond can fluctuate widely from year to year. Why? Part of the answer is that prices change because new information arrives and investors reassess values based on that information.</w:t>
      </w:r>
    </w:p>
    <w:p w14:paraId="71D9D9B4" w14:textId="77777777" w:rsidR="008C379C" w:rsidRDefault="008C379C" w:rsidP="008C379C">
      <w:pPr>
        <w:spacing w:after="0" w:line="240" w:lineRule="auto"/>
        <w:jc w:val="both"/>
        <w:rPr>
          <w:rFonts w:ascii="Bookman Old Style" w:eastAsiaTheme="minorEastAsia" w:hAnsi="Bookman Old Style"/>
        </w:rPr>
      </w:pPr>
    </w:p>
    <w:p w14:paraId="03A3BFCD" w14:textId="2B8FBBE9" w:rsidR="008C379C" w:rsidRDefault="008C379C" w:rsidP="008C379C">
      <w:pPr>
        <w:spacing w:after="0" w:line="240" w:lineRule="auto"/>
        <w:jc w:val="both"/>
        <w:rPr>
          <w:rFonts w:ascii="Bookman Old Style" w:eastAsiaTheme="minorEastAsia" w:hAnsi="Bookman Old Style"/>
        </w:rPr>
      </w:pPr>
      <w:r>
        <w:rPr>
          <w:rFonts w:ascii="Bookman Old Style" w:eastAsiaTheme="minorEastAsia" w:hAnsi="Bookman Old Style"/>
        </w:rPr>
        <w:t>Do prices adjust quickly and correctly when new information arrives?</w:t>
      </w:r>
    </w:p>
    <w:p w14:paraId="3C01C92E" w14:textId="51ED74B9" w:rsidR="008C379C" w:rsidRDefault="008C379C" w:rsidP="008C379C">
      <w:pPr>
        <w:spacing w:after="0" w:line="240" w:lineRule="auto"/>
        <w:jc w:val="both"/>
        <w:rPr>
          <w:rFonts w:ascii="Bookman Old Style" w:eastAsiaTheme="minorEastAsia" w:hAnsi="Bookman Old Style"/>
        </w:rPr>
      </w:pPr>
      <w:r>
        <w:rPr>
          <w:rFonts w:ascii="Bookman Old Style" w:eastAsiaTheme="minorEastAsia" w:hAnsi="Bookman Old Style"/>
        </w:rPr>
        <w:t xml:space="preserve">A market is said to be efficient if this is the case. In an </w:t>
      </w:r>
      <w:r>
        <w:rPr>
          <w:rFonts w:ascii="Bookman Old Style" w:eastAsiaTheme="minorEastAsia" w:hAnsi="Bookman Old Style"/>
          <w:b/>
        </w:rPr>
        <w:t>efficient capital market</w:t>
      </w:r>
      <w:r>
        <w:rPr>
          <w:rFonts w:ascii="Bookman Old Style" w:eastAsiaTheme="minorEastAsia" w:hAnsi="Bookman Old Style"/>
        </w:rPr>
        <w:t>, current market prices fully reflect available information. This means that based on the information available, there’s no reason to believe that prices are too low or too high.</w:t>
      </w:r>
    </w:p>
    <w:p w14:paraId="1741C9F5" w14:textId="77777777" w:rsidR="008C379C" w:rsidRDefault="008C379C" w:rsidP="008C379C">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34781" w14:paraId="054C7D7F" w14:textId="77777777" w:rsidTr="00E34781">
        <w:tc>
          <w:tcPr>
            <w:tcW w:w="9576" w:type="dxa"/>
          </w:tcPr>
          <w:p w14:paraId="627736F8" w14:textId="03A2116C" w:rsidR="00E34781" w:rsidRDefault="00E34781" w:rsidP="008C379C">
            <w:pPr>
              <w:jc w:val="both"/>
              <w:rPr>
                <w:rFonts w:ascii="Bookman Old Style" w:eastAsiaTheme="minorEastAsia" w:hAnsi="Bookman Old Style"/>
              </w:rPr>
            </w:pPr>
          </w:p>
          <w:p w14:paraId="0E202E6F" w14:textId="77777777" w:rsidR="00E34781" w:rsidRDefault="00E34781" w:rsidP="008C379C">
            <w:pPr>
              <w:jc w:val="both"/>
              <w:rPr>
                <w:rFonts w:ascii="Bookman Old Style" w:eastAsiaTheme="minorEastAsia" w:hAnsi="Bookman Old Style"/>
              </w:rPr>
            </w:pPr>
            <w:r>
              <w:rPr>
                <w:rFonts w:ascii="Bookman Old Style" w:eastAsiaTheme="minorEastAsia" w:hAnsi="Bookman Old Style"/>
                <w:b/>
              </w:rPr>
              <w:t>Efficient Capital Market</w:t>
            </w:r>
            <w:r>
              <w:rPr>
                <w:rFonts w:ascii="Bookman Old Style" w:eastAsiaTheme="minorEastAsia" w:hAnsi="Bookman Old Style"/>
              </w:rPr>
              <w:t xml:space="preserve"> – Market in which security prices reflect available information.</w:t>
            </w:r>
          </w:p>
          <w:p w14:paraId="39F4F44A" w14:textId="65627B47" w:rsidR="00E34781" w:rsidRPr="00E34781" w:rsidRDefault="00E34781" w:rsidP="008C379C">
            <w:pPr>
              <w:jc w:val="both"/>
              <w:rPr>
                <w:rFonts w:ascii="Bookman Old Style" w:eastAsiaTheme="minorEastAsia" w:hAnsi="Bookman Old Style"/>
              </w:rPr>
            </w:pPr>
          </w:p>
        </w:tc>
      </w:tr>
    </w:tbl>
    <w:p w14:paraId="1DA3CA4E" w14:textId="0806528F" w:rsidR="008C379C" w:rsidRDefault="00592B18" w:rsidP="008C379C">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lastRenderedPageBreak/>
        <w:t>PRICE BEHAVIOR IN AN EFFICIENT MARKET</w:t>
      </w:r>
    </w:p>
    <w:p w14:paraId="644361A8" w14:textId="46C2893D"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To show how prices behave in an efficient market – suppose the 3D TV Corporation has developed a TV that projects TV programs into a 3D field that doesn’t require someone to wear glasses.</w:t>
      </w:r>
    </w:p>
    <w:p w14:paraId="30FBCBB4" w14:textId="77777777" w:rsidR="00592B18" w:rsidRDefault="00592B18" w:rsidP="008C379C">
      <w:pPr>
        <w:spacing w:after="0" w:line="240" w:lineRule="auto"/>
        <w:jc w:val="both"/>
        <w:rPr>
          <w:rFonts w:ascii="Bookman Old Style" w:eastAsiaTheme="minorEastAsia" w:hAnsi="Bookman Old Style"/>
        </w:rPr>
      </w:pPr>
    </w:p>
    <w:p w14:paraId="3017C2A0" w14:textId="5033F49E"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3DT’s capital budgeting analysis suggests that launching the new 3D TV is a highly profitable move – the NPV appears to be positive and substantial. They haven’t released any information so the product’s existence is only inside information.</w:t>
      </w:r>
    </w:p>
    <w:p w14:paraId="743C2AA3" w14:textId="77777777" w:rsidR="00592B18" w:rsidRDefault="00592B18" w:rsidP="008C379C">
      <w:pPr>
        <w:spacing w:after="0" w:line="240" w:lineRule="auto"/>
        <w:jc w:val="both"/>
        <w:rPr>
          <w:rFonts w:ascii="Bookman Old Style" w:eastAsiaTheme="minorEastAsia" w:hAnsi="Bookman Old Style"/>
        </w:rPr>
      </w:pPr>
    </w:p>
    <w:p w14:paraId="433C95DE" w14:textId="47DAC26A"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Now consider a share of stock in 3DT. In an efficient market, its price reflects what’s known about 3DT’s current operations and profitability, and it reflect market opinion about 3DT’s potential for future growth and profits. The value of their new 3D TV isn’t reflected because the market isn’t aware of its existence.</w:t>
      </w:r>
    </w:p>
    <w:p w14:paraId="17C61C2B" w14:textId="77777777" w:rsidR="00592B18" w:rsidRDefault="00592B18" w:rsidP="008C379C">
      <w:pPr>
        <w:spacing w:after="0" w:line="240" w:lineRule="auto"/>
        <w:jc w:val="both"/>
        <w:rPr>
          <w:rFonts w:ascii="Bookman Old Style" w:eastAsiaTheme="minorEastAsia" w:hAnsi="Bookman Old Style"/>
        </w:rPr>
      </w:pPr>
    </w:p>
    <w:p w14:paraId="2E614615" w14:textId="44CDEDD7"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If the market agrees with 3DT’s assessment of the value of the new project, 3DT’s stock price rises when the decision to launch is made public.</w:t>
      </w:r>
    </w:p>
    <w:p w14:paraId="351013A2" w14:textId="77777777" w:rsidR="00592B18" w:rsidRDefault="00592B18" w:rsidP="008C379C">
      <w:pPr>
        <w:spacing w:after="0" w:line="240" w:lineRule="auto"/>
        <w:jc w:val="both"/>
        <w:rPr>
          <w:rFonts w:ascii="Bookman Old Style" w:eastAsiaTheme="minorEastAsia" w:hAnsi="Bookman Old Style"/>
        </w:rPr>
      </w:pPr>
    </w:p>
    <w:p w14:paraId="2B2A2F97" w14:textId="08422AEA"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Assume the announcement is made in a press release on Wednesday morning. In an efficient market, the price of their shares adjusts quickly to this new information. Investors shouldn’t be able to buy stock on Wednesday afternoon and make a profit on Thursday – this would imply that it took the stock market of full day to realize the implication of the 3DT press release.</w:t>
      </w:r>
    </w:p>
    <w:p w14:paraId="3C97025B" w14:textId="77777777" w:rsidR="00592B18" w:rsidRDefault="00592B18" w:rsidP="008C379C">
      <w:pPr>
        <w:spacing w:after="0" w:line="240" w:lineRule="auto"/>
        <w:jc w:val="both"/>
        <w:rPr>
          <w:rFonts w:ascii="Bookman Old Style" w:eastAsiaTheme="minorEastAsia" w:hAnsi="Bookman Old Style"/>
        </w:rPr>
      </w:pPr>
    </w:p>
    <w:p w14:paraId="6D74FBEB" w14:textId="06C963E8"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If the market is efficient, on Wednesday afternoon the price of 3DT shares already reflect the information in that press release.</w:t>
      </w:r>
    </w:p>
    <w:p w14:paraId="5582677F" w14:textId="77777777" w:rsidR="00592B18" w:rsidRDefault="00592B18" w:rsidP="008C379C">
      <w:pPr>
        <w:spacing w:after="0" w:line="240" w:lineRule="auto"/>
        <w:jc w:val="both"/>
        <w:rPr>
          <w:rFonts w:ascii="Bookman Old Style" w:eastAsiaTheme="minorEastAsia" w:hAnsi="Bookman Old Style"/>
        </w:rPr>
      </w:pPr>
    </w:p>
    <w:p w14:paraId="770A7CEA" w14:textId="4FBACD66"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The figure below presents 3 possible stock price adjustments for 3DT.</w:t>
      </w:r>
    </w:p>
    <w:p w14:paraId="4C66B43F" w14:textId="77777777" w:rsidR="00592B18" w:rsidRDefault="00592B18" w:rsidP="008C379C">
      <w:pPr>
        <w:spacing w:after="0" w:line="240" w:lineRule="auto"/>
        <w:jc w:val="both"/>
        <w:rPr>
          <w:rFonts w:ascii="Bookman Old Style" w:eastAsiaTheme="minorEastAsia" w:hAnsi="Bookman Old Style"/>
        </w:rPr>
      </w:pPr>
    </w:p>
    <w:p w14:paraId="2D70F34F" w14:textId="4E00CA8A" w:rsidR="0035742F" w:rsidRDefault="00647AC5" w:rsidP="00647AC5">
      <w:pPr>
        <w:spacing w:after="0" w:line="240" w:lineRule="auto"/>
        <w:jc w:val="center"/>
        <w:rPr>
          <w:rFonts w:ascii="Bookman Old Style" w:eastAsiaTheme="minorEastAsia" w:hAnsi="Bookman Old Style"/>
        </w:rPr>
      </w:pPr>
      <w:r>
        <w:rPr>
          <w:rFonts w:ascii="Bookman Old Style" w:eastAsiaTheme="minorEastAsia" w:hAnsi="Bookman Old Style"/>
          <w:noProof/>
        </w:rPr>
        <w:drawing>
          <wp:inline distT="0" distB="0" distL="0" distR="0" wp14:anchorId="580BC9AE" wp14:editId="39B5A015">
            <wp:extent cx="5943600" cy="2896569"/>
            <wp:effectExtent l="0" t="0" r="0" b="0"/>
            <wp:docPr id="3" name="Picture 3" descr="C:\Users\adomes\AppData\Local\Microsoft\Windows\INetCache\IE\XYG1R7UI\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omes\AppData\Local\Microsoft\Windows\INetCache\IE\XYG1R7UI\phot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896569"/>
                    </a:xfrm>
                    <a:prstGeom prst="rect">
                      <a:avLst/>
                    </a:prstGeom>
                    <a:noFill/>
                    <a:ln>
                      <a:noFill/>
                    </a:ln>
                  </pic:spPr>
                </pic:pic>
              </a:graphicData>
            </a:graphic>
          </wp:inline>
        </w:drawing>
      </w:r>
    </w:p>
    <w:p w14:paraId="6132F404" w14:textId="77777777" w:rsidR="0035742F" w:rsidRDefault="0035742F" w:rsidP="008C379C">
      <w:pPr>
        <w:spacing w:after="0" w:line="240" w:lineRule="auto"/>
        <w:jc w:val="both"/>
        <w:rPr>
          <w:rFonts w:ascii="Bookman Old Style" w:eastAsiaTheme="minorEastAsia" w:hAnsi="Bookman Old Style"/>
        </w:rPr>
      </w:pPr>
    </w:p>
    <w:p w14:paraId="1B1DA7D6" w14:textId="69AE837A"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Day 0 represents the announcement day. Before the announcement, 3DT’s stock sells for $140 per share. The NPV per share of the system is, say, $40, so the new price would be $180 once the value of the new project is fully reflected.</w:t>
      </w:r>
    </w:p>
    <w:p w14:paraId="66F6D5C8" w14:textId="69E25720"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solid line in the figure represents the path taken by the stock price in an efficient market. Price adjusts immediately to the new information and no more changes in the price of the stock occur.</w:t>
      </w:r>
    </w:p>
    <w:p w14:paraId="0E518EDC" w14:textId="77777777" w:rsidR="00592B18" w:rsidRDefault="00592B18" w:rsidP="008C379C">
      <w:pPr>
        <w:spacing w:after="0" w:line="240" w:lineRule="auto"/>
        <w:jc w:val="both"/>
        <w:rPr>
          <w:rFonts w:ascii="Bookman Old Style" w:eastAsiaTheme="minorEastAsia" w:hAnsi="Bookman Old Style"/>
        </w:rPr>
      </w:pPr>
    </w:p>
    <w:p w14:paraId="2B355239" w14:textId="694C756C" w:rsidR="00592B18" w:rsidRDefault="00592B18" w:rsidP="008C379C">
      <w:pPr>
        <w:spacing w:after="0" w:line="240" w:lineRule="auto"/>
        <w:jc w:val="both"/>
        <w:rPr>
          <w:rFonts w:ascii="Bookman Old Style" w:eastAsiaTheme="minorEastAsia" w:hAnsi="Bookman Old Style"/>
        </w:rPr>
      </w:pPr>
      <w:r>
        <w:rPr>
          <w:rFonts w:ascii="Bookman Old Style" w:eastAsiaTheme="minorEastAsia" w:hAnsi="Bookman Old Style"/>
        </w:rPr>
        <w:t>The broken line shows a delayed reaction. Here it takes the market 8 days or so to fully absorb the information.</w:t>
      </w:r>
    </w:p>
    <w:p w14:paraId="0598E828" w14:textId="77777777" w:rsidR="00FE46F6" w:rsidRDefault="00FE46F6" w:rsidP="008C379C">
      <w:pPr>
        <w:spacing w:after="0" w:line="240" w:lineRule="auto"/>
        <w:jc w:val="both"/>
        <w:rPr>
          <w:rFonts w:ascii="Bookman Old Style" w:eastAsiaTheme="minorEastAsia" w:hAnsi="Bookman Old Style"/>
        </w:rPr>
      </w:pPr>
    </w:p>
    <w:p w14:paraId="560F010D" w14:textId="157520B4" w:rsidR="00FE46F6" w:rsidRDefault="00FE46F6" w:rsidP="008C379C">
      <w:pPr>
        <w:spacing w:after="0" w:line="240" w:lineRule="auto"/>
        <w:jc w:val="both"/>
        <w:rPr>
          <w:rFonts w:ascii="Bookman Old Style" w:eastAsiaTheme="minorEastAsia" w:hAnsi="Bookman Old Style"/>
        </w:rPr>
      </w:pPr>
      <w:r>
        <w:rPr>
          <w:rFonts w:ascii="Bookman Old Style" w:eastAsiaTheme="minorEastAsia" w:hAnsi="Bookman Old Style"/>
        </w:rPr>
        <w:t>The dotted line shows an overreaction and subsequent adjustments to the correct price.</w:t>
      </w:r>
    </w:p>
    <w:p w14:paraId="00B21DE4" w14:textId="77777777" w:rsidR="0035742F" w:rsidRDefault="0035742F" w:rsidP="008C379C">
      <w:pPr>
        <w:spacing w:after="0" w:line="240" w:lineRule="auto"/>
        <w:jc w:val="both"/>
        <w:rPr>
          <w:rFonts w:ascii="Bookman Old Style" w:eastAsiaTheme="minorEastAsia" w:hAnsi="Bookman Old Style"/>
        </w:rPr>
      </w:pPr>
    </w:p>
    <w:p w14:paraId="4C3161E9" w14:textId="526951B8" w:rsidR="0035742F" w:rsidRDefault="0035742F" w:rsidP="008C379C">
      <w:pPr>
        <w:spacing w:after="0" w:line="240" w:lineRule="auto"/>
        <w:jc w:val="both"/>
        <w:rPr>
          <w:rFonts w:ascii="Bookman Old Style" w:eastAsiaTheme="minorEastAsia" w:hAnsi="Bookman Old Style"/>
        </w:rPr>
      </w:pPr>
      <w:r>
        <w:rPr>
          <w:rFonts w:ascii="Bookman Old Style" w:eastAsiaTheme="minorEastAsia" w:hAnsi="Bookman Old Style"/>
        </w:rPr>
        <w:t>The broken line &amp; the dotted line show paths that the stock price might take in an efficient market. If, for example, stock prices don’t adjust immediately to new information (the broken line), buying stock immediately after the release of new information and then selling it several days later would be a positive NPV activity because the price is too low for several days after the announcement.</w:t>
      </w:r>
    </w:p>
    <w:p w14:paraId="11A06C59" w14:textId="77777777" w:rsidR="0035742F" w:rsidRDefault="0035742F" w:rsidP="008C379C">
      <w:pPr>
        <w:spacing w:after="0" w:line="240" w:lineRule="auto"/>
        <w:jc w:val="both"/>
        <w:rPr>
          <w:rFonts w:ascii="Bookman Old Style" w:eastAsiaTheme="minorEastAsia" w:hAnsi="Bookman Old Style"/>
        </w:rPr>
      </w:pPr>
    </w:p>
    <w:p w14:paraId="43E39AB8" w14:textId="20860000" w:rsidR="00592B18" w:rsidRDefault="00592B18" w:rsidP="008C379C">
      <w:pPr>
        <w:spacing w:after="0" w:line="240" w:lineRule="auto"/>
        <w:jc w:val="both"/>
        <w:rPr>
          <w:rFonts w:ascii="Bookman Old Style" w:eastAsiaTheme="minorEastAsia" w:hAnsi="Bookman Old Style"/>
        </w:rPr>
      </w:pPr>
    </w:p>
    <w:p w14:paraId="1A3F37CF" w14:textId="0A467537" w:rsidR="00592B18" w:rsidRDefault="00030B77" w:rsidP="008C379C">
      <w:pPr>
        <w:spacing w:after="0" w:line="240" w:lineRule="auto"/>
        <w:jc w:val="both"/>
        <w:rPr>
          <w:rFonts w:ascii="Bookman Old Style" w:eastAsiaTheme="minorEastAsia" w:hAnsi="Bookman Old Style"/>
        </w:rPr>
      </w:pPr>
      <w:r>
        <w:rPr>
          <w:rFonts w:ascii="Bookman Old Style" w:eastAsiaTheme="minorEastAsia" w:hAnsi="Bookman Old Style"/>
          <w:b/>
          <w:u w:val="single"/>
        </w:rPr>
        <w:t>THE EFFICIENT MARKET HYPOTHESIS</w:t>
      </w:r>
    </w:p>
    <w:p w14:paraId="4C0B71EE" w14:textId="6FA81018" w:rsidR="00030B77" w:rsidRDefault="00030B77" w:rsidP="008C379C">
      <w:pPr>
        <w:spacing w:after="0" w:line="240" w:lineRule="auto"/>
        <w:jc w:val="both"/>
        <w:rPr>
          <w:rFonts w:ascii="Bookman Old Style" w:eastAsiaTheme="minorEastAsia" w:hAnsi="Bookman Old Style"/>
        </w:rPr>
      </w:pPr>
      <w:r>
        <w:rPr>
          <w:rFonts w:ascii="Bookman Old Style" w:eastAsiaTheme="minorEastAsia" w:hAnsi="Bookman Old Style"/>
        </w:rPr>
        <w:t xml:space="preserve">The </w:t>
      </w:r>
      <w:r>
        <w:rPr>
          <w:rFonts w:ascii="Bookman Old Style" w:eastAsiaTheme="minorEastAsia" w:hAnsi="Bookman Old Style"/>
          <w:b/>
        </w:rPr>
        <w:t>efficient market hypothesis</w:t>
      </w:r>
      <w:r>
        <w:rPr>
          <w:rFonts w:ascii="Bookman Old Style" w:eastAsiaTheme="minorEastAsia" w:hAnsi="Bookman Old Style"/>
        </w:rPr>
        <w:t xml:space="preserve"> asserts that well-organized capital markets such as the TSX and the NYSE are efficient markets, at least as a practical matter. In other words, inefficiencies might exist, but they’re relatively small and not common.</w:t>
      </w:r>
    </w:p>
    <w:p w14:paraId="17F6BC72" w14:textId="77777777" w:rsidR="00030B77" w:rsidRDefault="00030B77" w:rsidP="008C379C">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30B77" w14:paraId="0BCC1502" w14:textId="77777777" w:rsidTr="00030B77">
        <w:tc>
          <w:tcPr>
            <w:tcW w:w="9576" w:type="dxa"/>
          </w:tcPr>
          <w:p w14:paraId="2F4EA27A" w14:textId="77777777" w:rsidR="00030B77" w:rsidRDefault="00030B77" w:rsidP="008C379C">
            <w:pPr>
              <w:jc w:val="both"/>
              <w:rPr>
                <w:rFonts w:ascii="Bookman Old Style" w:eastAsiaTheme="minorEastAsia" w:hAnsi="Bookman Old Style"/>
              </w:rPr>
            </w:pPr>
          </w:p>
          <w:p w14:paraId="14768DD2" w14:textId="77777777" w:rsidR="00030B77" w:rsidRDefault="00030B77" w:rsidP="008C379C">
            <w:pPr>
              <w:jc w:val="both"/>
              <w:rPr>
                <w:rFonts w:ascii="Bookman Old Style" w:eastAsiaTheme="minorEastAsia" w:hAnsi="Bookman Old Style"/>
              </w:rPr>
            </w:pPr>
            <w:r>
              <w:rPr>
                <w:rFonts w:ascii="Bookman Old Style" w:eastAsiaTheme="minorEastAsia" w:hAnsi="Bookman Old Style"/>
                <w:b/>
              </w:rPr>
              <w:t>Efficient Market Hypothesis</w:t>
            </w:r>
            <w:r>
              <w:rPr>
                <w:rFonts w:ascii="Bookman Old Style" w:eastAsiaTheme="minorEastAsia" w:hAnsi="Bookman Old Style"/>
              </w:rPr>
              <w:t xml:space="preserve"> </w:t>
            </w:r>
            <w:r w:rsidRPr="00030B77">
              <w:rPr>
                <w:rFonts w:ascii="Bookman Old Style" w:eastAsiaTheme="minorEastAsia" w:hAnsi="Bookman Old Style"/>
                <w:b/>
              </w:rPr>
              <w:t>(EMH)</w:t>
            </w:r>
            <w:r>
              <w:rPr>
                <w:rFonts w:ascii="Bookman Old Style" w:eastAsiaTheme="minorEastAsia" w:hAnsi="Bookman Old Style"/>
              </w:rPr>
              <w:t xml:space="preserve"> – The hypothesis is that actual capital markets, like the TSC, are efficient.</w:t>
            </w:r>
          </w:p>
          <w:p w14:paraId="69A576D1" w14:textId="04177F2D" w:rsidR="00030B77" w:rsidRPr="00030B77" w:rsidRDefault="00030B77" w:rsidP="008C379C">
            <w:pPr>
              <w:jc w:val="both"/>
              <w:rPr>
                <w:rFonts w:ascii="Bookman Old Style" w:eastAsiaTheme="minorEastAsia" w:hAnsi="Bookman Old Style"/>
              </w:rPr>
            </w:pPr>
          </w:p>
        </w:tc>
      </w:tr>
    </w:tbl>
    <w:p w14:paraId="1D7E48C7" w14:textId="77777777" w:rsidR="00030B77" w:rsidRDefault="00030B77" w:rsidP="008C379C">
      <w:pPr>
        <w:spacing w:after="0" w:line="240" w:lineRule="auto"/>
        <w:jc w:val="both"/>
        <w:rPr>
          <w:rFonts w:ascii="Bookman Old Style" w:eastAsiaTheme="minorEastAsia" w:hAnsi="Bookman Old Style"/>
        </w:rPr>
      </w:pPr>
    </w:p>
    <w:p w14:paraId="232B706B" w14:textId="7A91AAB8" w:rsidR="00030B77" w:rsidRDefault="00030B77" w:rsidP="008C379C">
      <w:pPr>
        <w:spacing w:after="0" w:line="240" w:lineRule="auto"/>
        <w:jc w:val="both"/>
        <w:rPr>
          <w:rFonts w:ascii="Bookman Old Style" w:eastAsiaTheme="minorEastAsia" w:hAnsi="Bookman Old Style"/>
        </w:rPr>
      </w:pPr>
      <w:r>
        <w:rPr>
          <w:rFonts w:ascii="Bookman Old Style" w:eastAsiaTheme="minorEastAsia" w:hAnsi="Bookman Old Style"/>
        </w:rPr>
        <w:t xml:space="preserve">When markets are efficient, there’s an important implication for market participants: </w:t>
      </w:r>
      <w:r w:rsidRPr="00030B77">
        <w:rPr>
          <w:rFonts w:ascii="Bookman Old Style" w:eastAsiaTheme="minorEastAsia" w:hAnsi="Bookman Old Style"/>
          <w:i/>
        </w:rPr>
        <w:t>All investments in an efficient market are zero NPV investment</w:t>
      </w:r>
      <w:r>
        <w:rPr>
          <w:rFonts w:ascii="Bookman Old Style" w:eastAsiaTheme="minorEastAsia" w:hAnsi="Bookman Old Style"/>
          <w:i/>
        </w:rPr>
        <w:t>s</w:t>
      </w:r>
      <w:r>
        <w:rPr>
          <w:rFonts w:ascii="Bookman Old Style" w:eastAsiaTheme="minorEastAsia" w:hAnsi="Bookman Old Style"/>
        </w:rPr>
        <w:t>. Why? If prices are neither too low or too high, the difference between the market value of an investment its cost is zero; hence, the NPV is zero.</w:t>
      </w:r>
    </w:p>
    <w:p w14:paraId="19A56EA0" w14:textId="77777777" w:rsidR="00030B77" w:rsidRDefault="00030B77" w:rsidP="008C379C">
      <w:pPr>
        <w:spacing w:after="0" w:line="240" w:lineRule="auto"/>
        <w:jc w:val="both"/>
        <w:rPr>
          <w:rFonts w:ascii="Bookman Old Style" w:eastAsiaTheme="minorEastAsia" w:hAnsi="Bookman Old Style"/>
        </w:rPr>
      </w:pPr>
    </w:p>
    <w:p w14:paraId="414F4756" w14:textId="67D69CF7" w:rsidR="00030B77" w:rsidRDefault="00030B77" w:rsidP="008C379C">
      <w:pPr>
        <w:spacing w:after="0" w:line="240" w:lineRule="auto"/>
        <w:jc w:val="both"/>
        <w:rPr>
          <w:rFonts w:ascii="Bookman Old Style" w:eastAsiaTheme="minorEastAsia" w:hAnsi="Bookman Old Style"/>
        </w:rPr>
      </w:pPr>
      <w:r>
        <w:rPr>
          <w:rFonts w:ascii="Bookman Old Style" w:eastAsiaTheme="minorEastAsia" w:hAnsi="Bookman Old Style"/>
        </w:rPr>
        <w:t>As a result, in an efficient market, investors get exactly what they pay for when they buy securities, and firms get exactly what their stocks and bonds are worth when they sell them.</w:t>
      </w:r>
    </w:p>
    <w:p w14:paraId="6481EFBA" w14:textId="77777777" w:rsidR="00030B77" w:rsidRDefault="00030B77" w:rsidP="008C379C">
      <w:pPr>
        <w:spacing w:after="0" w:line="240" w:lineRule="auto"/>
        <w:jc w:val="both"/>
        <w:rPr>
          <w:rFonts w:ascii="Bookman Old Style" w:eastAsiaTheme="minorEastAsia" w:hAnsi="Bookman Old Style"/>
        </w:rPr>
      </w:pPr>
    </w:p>
    <w:p w14:paraId="2F50AD3D" w14:textId="7A7C3E76" w:rsidR="00030B77" w:rsidRDefault="00030B77" w:rsidP="008C379C">
      <w:pPr>
        <w:spacing w:after="0" w:line="240" w:lineRule="auto"/>
        <w:jc w:val="both"/>
        <w:rPr>
          <w:rFonts w:ascii="Bookman Old Style" w:eastAsiaTheme="minorEastAsia" w:hAnsi="Bookman Old Style"/>
        </w:rPr>
      </w:pPr>
      <w:r>
        <w:rPr>
          <w:rFonts w:ascii="Bookman Old Style" w:eastAsiaTheme="minorEastAsia" w:hAnsi="Bookman Old Style"/>
        </w:rPr>
        <w:t>What makes a market efficient is competition among investors.</w:t>
      </w:r>
    </w:p>
    <w:p w14:paraId="4512BA27" w14:textId="77777777" w:rsidR="00030B77" w:rsidRDefault="00030B77" w:rsidP="008C379C">
      <w:pPr>
        <w:spacing w:after="0" w:line="240" w:lineRule="auto"/>
        <w:jc w:val="both"/>
        <w:rPr>
          <w:rFonts w:ascii="Bookman Old Style" w:eastAsiaTheme="minorEastAsia" w:hAnsi="Bookman Old Style"/>
        </w:rPr>
      </w:pPr>
    </w:p>
    <w:p w14:paraId="0B751BF9" w14:textId="3438733E" w:rsidR="00030B77" w:rsidRDefault="00030B77" w:rsidP="008C379C">
      <w:pPr>
        <w:spacing w:after="0" w:line="240" w:lineRule="auto"/>
        <w:jc w:val="both"/>
        <w:rPr>
          <w:rFonts w:ascii="Bookman Old Style" w:eastAsiaTheme="minorEastAsia" w:hAnsi="Bookman Old Style"/>
        </w:rPr>
      </w:pPr>
      <w:r>
        <w:rPr>
          <w:rFonts w:ascii="Bookman Old Style" w:eastAsiaTheme="minorEastAsia" w:hAnsi="Bookman Old Style"/>
        </w:rPr>
        <w:t>Many people spend time trying to find misprices stocks. For any stock, they study what’s happened to the stock price and its dividends in the past; they learn what a company’s earnings have been, how much they owe creditors, what taxes they pay, what businesses they’re in, what new investments are planned, how sensitive it is to changes in the economy and so on.</w:t>
      </w:r>
    </w:p>
    <w:p w14:paraId="7AE81347" w14:textId="77777777" w:rsidR="00030B77" w:rsidRDefault="00030B77" w:rsidP="008C379C">
      <w:pPr>
        <w:spacing w:after="0" w:line="240" w:lineRule="auto"/>
        <w:jc w:val="both"/>
        <w:rPr>
          <w:rFonts w:ascii="Bookman Old Style" w:eastAsiaTheme="minorEastAsia" w:hAnsi="Bookman Old Style"/>
        </w:rPr>
      </w:pPr>
    </w:p>
    <w:p w14:paraId="74A9F374" w14:textId="16A09C92" w:rsidR="00030B77" w:rsidRDefault="00030B77" w:rsidP="008C379C">
      <w:pPr>
        <w:spacing w:after="0" w:line="240" w:lineRule="auto"/>
        <w:jc w:val="both"/>
        <w:rPr>
          <w:rFonts w:ascii="Bookman Old Style" w:eastAsiaTheme="minorEastAsia" w:hAnsi="Bookman Old Style"/>
        </w:rPr>
      </w:pPr>
      <w:r>
        <w:rPr>
          <w:rFonts w:ascii="Bookman Old Style" w:eastAsiaTheme="minorEastAsia" w:hAnsi="Bookman Old Style"/>
        </w:rPr>
        <w:t>There’s a lot to know about any particular company, but there’s also a powerful incentive for knowing it – mainly the profit motive. If you know more about some company than other investors in the marketplace, you can profit from that knowledge by investing if you have good news and selling if you have bad.</w:t>
      </w:r>
    </w:p>
    <w:p w14:paraId="73D3924D" w14:textId="77777777" w:rsidR="00030B77" w:rsidRDefault="00030B77" w:rsidP="008C379C">
      <w:pPr>
        <w:spacing w:after="0" w:line="240" w:lineRule="auto"/>
        <w:jc w:val="both"/>
        <w:rPr>
          <w:rFonts w:ascii="Bookman Old Style" w:eastAsiaTheme="minorEastAsia" w:hAnsi="Bookman Old Style"/>
        </w:rPr>
      </w:pPr>
    </w:p>
    <w:p w14:paraId="2AA3459D" w14:textId="3434B378" w:rsidR="00030B77" w:rsidRDefault="00D513CA" w:rsidP="008C379C">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The consequence of all this information being gathered and analyzed is that mispriced stocks will become less and less. So, because of competition between investors, the market is becoming more efficient. </w:t>
      </w:r>
    </w:p>
    <w:p w14:paraId="7D9C5483" w14:textId="77777777" w:rsidR="00D513CA" w:rsidRDefault="00D513CA" w:rsidP="008C379C">
      <w:pPr>
        <w:spacing w:after="0" w:line="240" w:lineRule="auto"/>
        <w:jc w:val="both"/>
        <w:rPr>
          <w:rFonts w:ascii="Bookman Old Style" w:eastAsiaTheme="minorEastAsia" w:hAnsi="Bookman Old Style"/>
        </w:rPr>
      </w:pPr>
    </w:p>
    <w:p w14:paraId="71632F15" w14:textId="451B585C" w:rsidR="00D513CA" w:rsidRDefault="00D513CA" w:rsidP="008C379C">
      <w:pPr>
        <w:spacing w:after="0" w:line="240" w:lineRule="auto"/>
        <w:jc w:val="both"/>
        <w:rPr>
          <w:rFonts w:ascii="Bookman Old Style" w:eastAsiaTheme="minorEastAsia" w:hAnsi="Bookman Old Style"/>
        </w:rPr>
      </w:pPr>
      <w:r>
        <w:rPr>
          <w:rFonts w:ascii="Bookman Old Style" w:eastAsiaTheme="minorEastAsia" w:hAnsi="Bookman Old Style"/>
        </w:rPr>
        <w:t>Some markets are more efficient than other. For example, financial markets on the whole are probably more efficient than real asset markets.</w:t>
      </w:r>
    </w:p>
    <w:p w14:paraId="31026CF9" w14:textId="77777777" w:rsidR="00D513CA" w:rsidRDefault="00D513CA" w:rsidP="008C379C">
      <w:pPr>
        <w:spacing w:after="0" w:line="240" w:lineRule="auto"/>
        <w:jc w:val="both"/>
        <w:rPr>
          <w:rFonts w:ascii="Bookman Old Style" w:eastAsiaTheme="minorEastAsia" w:hAnsi="Bookman Old Style"/>
        </w:rPr>
      </w:pPr>
    </w:p>
    <w:p w14:paraId="45199B56" w14:textId="5E13AF19" w:rsidR="00D513CA" w:rsidRDefault="00D513CA" w:rsidP="008C379C">
      <w:pPr>
        <w:spacing w:after="0" w:line="240" w:lineRule="auto"/>
        <w:jc w:val="both"/>
        <w:rPr>
          <w:rFonts w:ascii="Bookman Old Style" w:eastAsiaTheme="minorEastAsia" w:hAnsi="Bookman Old Style"/>
        </w:rPr>
      </w:pPr>
      <w:r>
        <w:rPr>
          <w:rFonts w:ascii="Bookman Old Style" w:eastAsiaTheme="minorEastAsia" w:hAnsi="Bookman Old Style"/>
        </w:rPr>
        <w:t>Efficiency doesn’t mean that the price a firm obtains when it sells a share of its stock is a fair price in the sense that it reflects the value of that stock given the information available about it. Shareholders don’t have to worry about paying too much for a stock with a low dividend or some other characteristic because the market has already incorporated that into the price.</w:t>
      </w:r>
    </w:p>
    <w:p w14:paraId="0BC34AA7" w14:textId="77777777" w:rsidR="00D513CA" w:rsidRDefault="00D513CA" w:rsidP="008C379C">
      <w:pPr>
        <w:spacing w:after="0" w:line="240" w:lineRule="auto"/>
        <w:jc w:val="both"/>
        <w:rPr>
          <w:rFonts w:ascii="Bookman Old Style" w:eastAsiaTheme="minorEastAsia" w:hAnsi="Bookman Old Style"/>
        </w:rPr>
      </w:pPr>
    </w:p>
    <w:p w14:paraId="34314865" w14:textId="7786D617" w:rsidR="00D513CA" w:rsidRDefault="003D6F63" w:rsidP="008C379C">
      <w:pPr>
        <w:spacing w:after="0" w:line="240" w:lineRule="auto"/>
        <w:jc w:val="both"/>
        <w:rPr>
          <w:rFonts w:ascii="Bookman Old Style" w:eastAsiaTheme="minorEastAsia" w:hAnsi="Bookman Old Style"/>
        </w:rPr>
      </w:pPr>
      <w:r>
        <w:rPr>
          <w:rFonts w:ascii="Bookman Old Style" w:eastAsiaTheme="minorEastAsia" w:hAnsi="Bookman Old Style"/>
        </w:rPr>
        <w:t>It sometimes argued that the market can’t be efficient because stock prices fluctuate from day to day. If the prices are right, then why do they change so much and so often? These price movements aren’t inconsistent with efficiency. Investors are bombarded with information every day - the fact that prices fluctuate is a reflection, in part, of the information flow.</w:t>
      </w:r>
    </w:p>
    <w:p w14:paraId="085D1F4F" w14:textId="77777777" w:rsidR="003D6F63" w:rsidRDefault="003D6F63" w:rsidP="008C379C">
      <w:pPr>
        <w:spacing w:after="0" w:line="240" w:lineRule="auto"/>
        <w:jc w:val="both"/>
        <w:rPr>
          <w:rFonts w:ascii="Bookman Old Style" w:eastAsiaTheme="minorEastAsia" w:hAnsi="Bookman Old Style"/>
        </w:rPr>
      </w:pPr>
    </w:p>
    <w:p w14:paraId="0AD019A2" w14:textId="77777777" w:rsidR="003D6F63" w:rsidRDefault="003D6F63" w:rsidP="008C379C">
      <w:pPr>
        <w:spacing w:after="0" w:line="240" w:lineRule="auto"/>
        <w:jc w:val="both"/>
        <w:rPr>
          <w:rFonts w:ascii="Bookman Old Style" w:eastAsiaTheme="minorEastAsia" w:hAnsi="Bookman Old Style"/>
        </w:rPr>
      </w:pPr>
    </w:p>
    <w:p w14:paraId="6CD857D2" w14:textId="4079FEB9" w:rsidR="0058397F" w:rsidRDefault="0058397F" w:rsidP="008C379C">
      <w:pPr>
        <w:spacing w:after="0" w:line="240" w:lineRule="auto"/>
        <w:jc w:val="both"/>
        <w:rPr>
          <w:rFonts w:ascii="Bookman Old Style" w:eastAsiaTheme="minorEastAsia" w:hAnsi="Bookman Old Style"/>
        </w:rPr>
      </w:pPr>
      <w:r>
        <w:rPr>
          <w:rFonts w:ascii="Bookman Old Style" w:eastAsiaTheme="minorEastAsia" w:hAnsi="Bookman Old Style"/>
          <w:b/>
          <w:u w:val="single"/>
        </w:rPr>
        <w:t>MARKET EFFICIENCY – FORMS &amp; EVIDENCE</w:t>
      </w:r>
    </w:p>
    <w:p w14:paraId="232DD288" w14:textId="32EC58F9" w:rsidR="0058397F" w:rsidRDefault="0058397F" w:rsidP="008C379C">
      <w:pPr>
        <w:spacing w:after="0" w:line="240" w:lineRule="auto"/>
        <w:jc w:val="both"/>
        <w:rPr>
          <w:rFonts w:ascii="Bookman Old Style" w:eastAsiaTheme="minorEastAsia" w:hAnsi="Bookman Old Style"/>
        </w:rPr>
      </w:pPr>
      <w:r>
        <w:rPr>
          <w:rFonts w:ascii="Bookman Old Style" w:eastAsiaTheme="minorEastAsia" w:hAnsi="Bookman Old Style"/>
        </w:rPr>
        <w:t>It’s common to distinguish among 3 forms of market efficiency – depending on the degree of efficiency; we say that markets are either:</w:t>
      </w:r>
    </w:p>
    <w:p w14:paraId="638B0F54" w14:textId="77777777" w:rsidR="0058397F" w:rsidRDefault="0058397F" w:rsidP="008C379C">
      <w:pPr>
        <w:spacing w:after="0" w:line="240" w:lineRule="auto"/>
        <w:jc w:val="both"/>
        <w:rPr>
          <w:rFonts w:ascii="Bookman Old Style" w:eastAsiaTheme="minorEastAsia" w:hAnsi="Bookman Old Style"/>
        </w:rPr>
      </w:pPr>
    </w:p>
    <w:p w14:paraId="42728F98" w14:textId="301E07D9" w:rsidR="0058397F" w:rsidRDefault="0058397F" w:rsidP="0058397F">
      <w:pPr>
        <w:pStyle w:val="ListParagraph"/>
        <w:numPr>
          <w:ilvl w:val="0"/>
          <w:numId w:val="23"/>
        </w:numPr>
        <w:spacing w:after="0" w:line="240" w:lineRule="auto"/>
        <w:jc w:val="both"/>
        <w:rPr>
          <w:rFonts w:ascii="Bookman Old Style" w:eastAsiaTheme="minorEastAsia" w:hAnsi="Bookman Old Style"/>
        </w:rPr>
      </w:pPr>
      <w:r>
        <w:rPr>
          <w:rFonts w:ascii="Bookman Old Style" w:eastAsiaTheme="minorEastAsia" w:hAnsi="Bookman Old Style"/>
        </w:rPr>
        <w:t>Weak form efficient</w:t>
      </w:r>
    </w:p>
    <w:p w14:paraId="062B0F28" w14:textId="606B9324" w:rsidR="0058397F" w:rsidRDefault="0058397F" w:rsidP="0058397F">
      <w:pPr>
        <w:pStyle w:val="ListParagraph"/>
        <w:numPr>
          <w:ilvl w:val="0"/>
          <w:numId w:val="23"/>
        </w:numPr>
        <w:spacing w:after="0" w:line="240" w:lineRule="auto"/>
        <w:jc w:val="both"/>
        <w:rPr>
          <w:rFonts w:ascii="Bookman Old Style" w:eastAsiaTheme="minorEastAsia" w:hAnsi="Bookman Old Style"/>
        </w:rPr>
      </w:pPr>
      <w:r>
        <w:rPr>
          <w:rFonts w:ascii="Bookman Old Style" w:eastAsiaTheme="minorEastAsia" w:hAnsi="Bookman Old Style"/>
        </w:rPr>
        <w:t>Semi-strong form efficient</w:t>
      </w:r>
    </w:p>
    <w:p w14:paraId="19F8AF83" w14:textId="51174364" w:rsidR="0058397F" w:rsidRDefault="0058397F" w:rsidP="0058397F">
      <w:pPr>
        <w:pStyle w:val="ListParagraph"/>
        <w:numPr>
          <w:ilvl w:val="0"/>
          <w:numId w:val="23"/>
        </w:numPr>
        <w:spacing w:after="0" w:line="240" w:lineRule="auto"/>
        <w:jc w:val="both"/>
        <w:rPr>
          <w:rFonts w:ascii="Bookman Old Style" w:eastAsiaTheme="minorEastAsia" w:hAnsi="Bookman Old Style"/>
        </w:rPr>
      </w:pPr>
      <w:r>
        <w:rPr>
          <w:rFonts w:ascii="Bookman Old Style" w:eastAsiaTheme="minorEastAsia" w:hAnsi="Bookman Old Style"/>
        </w:rPr>
        <w:t>Strong form efficient</w:t>
      </w:r>
    </w:p>
    <w:p w14:paraId="7471E97D" w14:textId="77777777" w:rsidR="0058397F" w:rsidRDefault="0058397F" w:rsidP="0058397F">
      <w:pPr>
        <w:spacing w:after="0" w:line="240" w:lineRule="auto"/>
        <w:jc w:val="both"/>
        <w:rPr>
          <w:rFonts w:ascii="Bookman Old Style" w:eastAsiaTheme="minorEastAsia" w:hAnsi="Bookman Old Style"/>
        </w:rPr>
      </w:pPr>
    </w:p>
    <w:p w14:paraId="29F58E3F" w14:textId="73579135" w:rsidR="0058397F" w:rsidRDefault="0058397F" w:rsidP="0058397F">
      <w:pPr>
        <w:spacing w:after="0" w:line="240" w:lineRule="auto"/>
        <w:jc w:val="both"/>
        <w:rPr>
          <w:rFonts w:ascii="Bookman Old Style" w:eastAsiaTheme="minorEastAsia" w:hAnsi="Bookman Old Style"/>
        </w:rPr>
      </w:pPr>
      <w:r>
        <w:rPr>
          <w:rFonts w:ascii="Bookman Old Style" w:eastAsiaTheme="minorEastAsia" w:hAnsi="Bookman Old Style"/>
          <w:b/>
        </w:rPr>
        <w:t>Strong Form Efficient</w:t>
      </w:r>
      <w:r>
        <w:rPr>
          <w:rFonts w:ascii="Bookman Old Style" w:eastAsiaTheme="minorEastAsia" w:hAnsi="Bookman Old Style"/>
        </w:rPr>
        <w:t xml:space="preserve"> – All information of every kind is reflected in stock prices. In this type of market, there’s no such thing as inside information.</w:t>
      </w:r>
    </w:p>
    <w:p w14:paraId="1D2D7112" w14:textId="77777777" w:rsidR="0058397F" w:rsidRDefault="0058397F" w:rsidP="0058397F">
      <w:pPr>
        <w:spacing w:after="0" w:line="240" w:lineRule="auto"/>
        <w:jc w:val="both"/>
        <w:rPr>
          <w:rFonts w:ascii="Bookman Old Style" w:eastAsiaTheme="minorEastAsia" w:hAnsi="Bookman Old Style"/>
        </w:rPr>
      </w:pPr>
    </w:p>
    <w:p w14:paraId="016A9E03" w14:textId="32730C20" w:rsidR="0058397F" w:rsidRDefault="0058397F" w:rsidP="0058397F">
      <w:pPr>
        <w:spacing w:after="0" w:line="240" w:lineRule="auto"/>
        <w:jc w:val="both"/>
        <w:rPr>
          <w:rFonts w:ascii="Bookman Old Style" w:eastAsiaTheme="minorEastAsia" w:hAnsi="Bookman Old Style"/>
        </w:rPr>
      </w:pPr>
      <w:r>
        <w:rPr>
          <w:rFonts w:ascii="Bookman Old Style" w:eastAsiaTheme="minorEastAsia" w:hAnsi="Bookman Old Style"/>
        </w:rPr>
        <w:t>Casual observation suggests that inside information exists and it can be valuable to have. Whether it’s lawful or ethical to use that information is another issue. We conclude that private information about a particular stock may exist that isn’t currently reflected in the price of the stock.</w:t>
      </w:r>
    </w:p>
    <w:p w14:paraId="18D80636" w14:textId="77777777" w:rsidR="0058397F" w:rsidRDefault="0058397F" w:rsidP="0058397F">
      <w:pPr>
        <w:spacing w:after="0" w:line="240" w:lineRule="auto"/>
        <w:jc w:val="both"/>
        <w:rPr>
          <w:rFonts w:ascii="Bookman Old Style" w:eastAsiaTheme="minorEastAsia" w:hAnsi="Bookman Old Style"/>
        </w:rPr>
      </w:pPr>
    </w:p>
    <w:p w14:paraId="02A4FE8C" w14:textId="068F2E9F" w:rsidR="0058397F" w:rsidRDefault="0058397F" w:rsidP="0058397F">
      <w:pPr>
        <w:spacing w:after="0" w:line="240" w:lineRule="auto"/>
        <w:jc w:val="both"/>
        <w:rPr>
          <w:rFonts w:ascii="Bookman Old Style" w:eastAsiaTheme="minorEastAsia" w:hAnsi="Bookman Old Style"/>
        </w:rPr>
      </w:pPr>
      <w:r>
        <w:rPr>
          <w:rFonts w:ascii="Bookman Old Style" w:eastAsiaTheme="minorEastAsia" w:hAnsi="Bookman Old Style"/>
          <w:b/>
        </w:rPr>
        <w:t>Semi-Strong Efficiency</w:t>
      </w:r>
      <w:r>
        <w:rPr>
          <w:rFonts w:ascii="Bookman Old Style" w:eastAsiaTheme="minorEastAsia" w:hAnsi="Bookman Old Style"/>
        </w:rPr>
        <w:t xml:space="preserve"> – This is the most controversial. In a market that’s semi-strong efficient, all public information is reflected in the stock price. The reason it’s controversial is that it implies that a security analyst who tries to identify mispriced stocks using, for example, financial statement information, is wasting time because that information is already reflected in the current price.</w:t>
      </w:r>
    </w:p>
    <w:p w14:paraId="1EA3A21E" w14:textId="77777777" w:rsidR="0058397F" w:rsidRDefault="0058397F" w:rsidP="0058397F">
      <w:pPr>
        <w:spacing w:after="0" w:line="240" w:lineRule="auto"/>
        <w:jc w:val="both"/>
        <w:rPr>
          <w:rFonts w:ascii="Bookman Old Style" w:eastAsiaTheme="minorEastAsia" w:hAnsi="Bookman Old Style"/>
        </w:rPr>
      </w:pPr>
    </w:p>
    <w:p w14:paraId="3DFC3572" w14:textId="04D064D1" w:rsidR="0058397F" w:rsidRDefault="0058397F" w:rsidP="0058397F">
      <w:pPr>
        <w:spacing w:after="0" w:line="240" w:lineRule="auto"/>
        <w:jc w:val="both"/>
        <w:rPr>
          <w:rFonts w:ascii="Bookman Old Style" w:eastAsiaTheme="minorEastAsia" w:hAnsi="Bookman Old Style"/>
        </w:rPr>
      </w:pPr>
      <w:r>
        <w:rPr>
          <w:rFonts w:ascii="Bookman Old Style" w:eastAsiaTheme="minorEastAsia" w:hAnsi="Bookman Old Style"/>
        </w:rPr>
        <w:t xml:space="preserve">Studies of semi-strong efficiency include event studies that measure whether prices adjust quickly to new information. Announcements of mergers, dividends, earnings, capital expenditures and new issues of securities are a few examples. </w:t>
      </w:r>
    </w:p>
    <w:p w14:paraId="49B86205" w14:textId="77777777" w:rsidR="0058397F" w:rsidRDefault="0058397F" w:rsidP="0058397F">
      <w:pPr>
        <w:spacing w:after="0" w:line="240" w:lineRule="auto"/>
        <w:jc w:val="both"/>
        <w:rPr>
          <w:rFonts w:ascii="Bookman Old Style" w:eastAsiaTheme="minorEastAsia" w:hAnsi="Bookman Old Style"/>
        </w:rPr>
      </w:pPr>
    </w:p>
    <w:p w14:paraId="41952738" w14:textId="6FA06B99" w:rsidR="0058397F" w:rsidRDefault="0058397F" w:rsidP="0058397F">
      <w:pPr>
        <w:spacing w:after="0" w:line="240" w:lineRule="auto"/>
        <w:jc w:val="both"/>
        <w:rPr>
          <w:rFonts w:ascii="Bookman Old Style" w:eastAsiaTheme="minorEastAsia" w:hAnsi="Bookman Old Style"/>
        </w:rPr>
      </w:pPr>
      <w:r>
        <w:rPr>
          <w:rFonts w:ascii="Bookman Old Style" w:eastAsiaTheme="minorEastAsia" w:hAnsi="Bookman Old Style"/>
        </w:rPr>
        <w:t>There are exceptions, but studies show that for major exchanges including TSX, NYSE and Nasdaq generally support the view that these markets are semi-strong efficient with respect to the arrival of new information.</w:t>
      </w:r>
    </w:p>
    <w:p w14:paraId="784CC523" w14:textId="77777777" w:rsidR="0058397F" w:rsidRDefault="0058397F" w:rsidP="0058397F">
      <w:pPr>
        <w:spacing w:after="0" w:line="240" w:lineRule="auto"/>
        <w:jc w:val="both"/>
        <w:rPr>
          <w:rFonts w:ascii="Bookman Old Style" w:eastAsiaTheme="minorEastAsia" w:hAnsi="Bookman Old Style"/>
        </w:rPr>
      </w:pPr>
    </w:p>
    <w:p w14:paraId="3433D9F5" w14:textId="26E5F966" w:rsidR="0058397F" w:rsidRDefault="0058397F" w:rsidP="0058397F">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market is mainly efficient but there are exceptions.</w:t>
      </w:r>
    </w:p>
    <w:p w14:paraId="0DA5A635" w14:textId="77777777" w:rsidR="0058397F" w:rsidRDefault="0058397F" w:rsidP="0058397F">
      <w:pPr>
        <w:spacing w:after="0" w:line="240" w:lineRule="auto"/>
        <w:jc w:val="both"/>
        <w:rPr>
          <w:rFonts w:ascii="Bookman Old Style" w:eastAsiaTheme="minorEastAsia" w:hAnsi="Bookman Old Style"/>
        </w:rPr>
      </w:pPr>
    </w:p>
    <w:p w14:paraId="5F9D9618" w14:textId="77777777" w:rsidR="0058397F" w:rsidRPr="0058397F" w:rsidRDefault="0058397F" w:rsidP="0058397F">
      <w:pPr>
        <w:spacing w:after="0" w:line="240" w:lineRule="auto"/>
        <w:jc w:val="both"/>
        <w:rPr>
          <w:rFonts w:ascii="Bookman Old Style" w:eastAsiaTheme="minorEastAsia" w:hAnsi="Bookman Old Style"/>
        </w:rPr>
      </w:pPr>
      <w:bookmarkStart w:id="0" w:name="_GoBack"/>
      <w:bookmarkEnd w:id="0"/>
    </w:p>
    <w:sectPr w:rsidR="0058397F" w:rsidRPr="005839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CFE"/>
    <w:multiLevelType w:val="hybridMultilevel"/>
    <w:tmpl w:val="4B044D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E6E70"/>
    <w:multiLevelType w:val="hybridMultilevel"/>
    <w:tmpl w:val="89A4BE22"/>
    <w:lvl w:ilvl="0" w:tplc="72C8D62A">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64B62"/>
    <w:multiLevelType w:val="hybridMultilevel"/>
    <w:tmpl w:val="4E0202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2267F"/>
    <w:multiLevelType w:val="hybridMultilevel"/>
    <w:tmpl w:val="17905C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2B358A"/>
    <w:multiLevelType w:val="hybridMultilevel"/>
    <w:tmpl w:val="3DDED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077B3"/>
    <w:multiLevelType w:val="hybridMultilevel"/>
    <w:tmpl w:val="3556A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123C67"/>
    <w:multiLevelType w:val="hybridMultilevel"/>
    <w:tmpl w:val="9CB8D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2A129A"/>
    <w:multiLevelType w:val="hybridMultilevel"/>
    <w:tmpl w:val="5CC4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CD2823"/>
    <w:multiLevelType w:val="hybridMultilevel"/>
    <w:tmpl w:val="E56AD88A"/>
    <w:lvl w:ilvl="0" w:tplc="2ED4084E">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BB64A0"/>
    <w:multiLevelType w:val="hybridMultilevel"/>
    <w:tmpl w:val="3E048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DE3D41"/>
    <w:multiLevelType w:val="hybridMultilevel"/>
    <w:tmpl w:val="5D2273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F97018"/>
    <w:multiLevelType w:val="hybridMultilevel"/>
    <w:tmpl w:val="F98CFB58"/>
    <w:lvl w:ilvl="0" w:tplc="6484A0F2">
      <w:start w:val="3"/>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56778C"/>
    <w:multiLevelType w:val="hybridMultilevel"/>
    <w:tmpl w:val="5D1C5296"/>
    <w:lvl w:ilvl="0" w:tplc="2DB6E9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C45977"/>
    <w:multiLevelType w:val="hybridMultilevel"/>
    <w:tmpl w:val="18EC7476"/>
    <w:lvl w:ilvl="0" w:tplc="10946528">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E53C71"/>
    <w:multiLevelType w:val="hybridMultilevel"/>
    <w:tmpl w:val="91A27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756246"/>
    <w:multiLevelType w:val="hybridMultilevel"/>
    <w:tmpl w:val="A3CC7BAA"/>
    <w:lvl w:ilvl="0" w:tplc="89224B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151CC9"/>
    <w:multiLevelType w:val="hybridMultilevel"/>
    <w:tmpl w:val="12966826"/>
    <w:lvl w:ilvl="0" w:tplc="AC0A79DA">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5C5230"/>
    <w:multiLevelType w:val="hybridMultilevel"/>
    <w:tmpl w:val="C79A1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E26782"/>
    <w:multiLevelType w:val="hybridMultilevel"/>
    <w:tmpl w:val="11C86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501FB1"/>
    <w:multiLevelType w:val="hybridMultilevel"/>
    <w:tmpl w:val="F8F6B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4A5580"/>
    <w:multiLevelType w:val="hybridMultilevel"/>
    <w:tmpl w:val="BD2817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8C257A"/>
    <w:multiLevelType w:val="hybridMultilevel"/>
    <w:tmpl w:val="418C1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D06979"/>
    <w:multiLevelType w:val="hybridMultilevel"/>
    <w:tmpl w:val="34F63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7"/>
  </w:num>
  <w:num w:numId="3">
    <w:abstractNumId w:val="7"/>
  </w:num>
  <w:num w:numId="4">
    <w:abstractNumId w:val="3"/>
  </w:num>
  <w:num w:numId="5">
    <w:abstractNumId w:val="10"/>
  </w:num>
  <w:num w:numId="6">
    <w:abstractNumId w:val="14"/>
  </w:num>
  <w:num w:numId="7">
    <w:abstractNumId w:val="21"/>
  </w:num>
  <w:num w:numId="8">
    <w:abstractNumId w:val="8"/>
  </w:num>
  <w:num w:numId="9">
    <w:abstractNumId w:val="22"/>
  </w:num>
  <w:num w:numId="10">
    <w:abstractNumId w:val="9"/>
  </w:num>
  <w:num w:numId="11">
    <w:abstractNumId w:val="6"/>
  </w:num>
  <w:num w:numId="12">
    <w:abstractNumId w:val="19"/>
  </w:num>
  <w:num w:numId="13">
    <w:abstractNumId w:val="1"/>
  </w:num>
  <w:num w:numId="14">
    <w:abstractNumId w:val="0"/>
  </w:num>
  <w:num w:numId="15">
    <w:abstractNumId w:val="13"/>
  </w:num>
  <w:num w:numId="16">
    <w:abstractNumId w:val="20"/>
  </w:num>
  <w:num w:numId="17">
    <w:abstractNumId w:val="5"/>
  </w:num>
  <w:num w:numId="18">
    <w:abstractNumId w:val="12"/>
  </w:num>
  <w:num w:numId="19">
    <w:abstractNumId w:val="18"/>
  </w:num>
  <w:num w:numId="20">
    <w:abstractNumId w:val="11"/>
  </w:num>
  <w:num w:numId="21">
    <w:abstractNumId w:val="15"/>
  </w:num>
  <w:num w:numId="22">
    <w:abstractNumId w:val="16"/>
  </w:num>
  <w:num w:numId="2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137D6"/>
    <w:rsid w:val="00030B77"/>
    <w:rsid w:val="00043B35"/>
    <w:rsid w:val="000450B2"/>
    <w:rsid w:val="0004552A"/>
    <w:rsid w:val="00050D96"/>
    <w:rsid w:val="00053932"/>
    <w:rsid w:val="000743C1"/>
    <w:rsid w:val="00082014"/>
    <w:rsid w:val="00085AF7"/>
    <w:rsid w:val="000865CA"/>
    <w:rsid w:val="000867BD"/>
    <w:rsid w:val="00095171"/>
    <w:rsid w:val="000A0BDB"/>
    <w:rsid w:val="000B5BD5"/>
    <w:rsid w:val="000D3D37"/>
    <w:rsid w:val="000D64B9"/>
    <w:rsid w:val="000E7341"/>
    <w:rsid w:val="000F2146"/>
    <w:rsid w:val="000F45ED"/>
    <w:rsid w:val="00112CB0"/>
    <w:rsid w:val="00127CD6"/>
    <w:rsid w:val="00130014"/>
    <w:rsid w:val="00135DCA"/>
    <w:rsid w:val="00150FCD"/>
    <w:rsid w:val="00160779"/>
    <w:rsid w:val="00162A97"/>
    <w:rsid w:val="00166C75"/>
    <w:rsid w:val="0017434D"/>
    <w:rsid w:val="001801B4"/>
    <w:rsid w:val="001935C9"/>
    <w:rsid w:val="001A2702"/>
    <w:rsid w:val="001A39CF"/>
    <w:rsid w:val="001A7861"/>
    <w:rsid w:val="001B27A2"/>
    <w:rsid w:val="001B52F6"/>
    <w:rsid w:val="001C5003"/>
    <w:rsid w:val="001D0501"/>
    <w:rsid w:val="001D31E8"/>
    <w:rsid w:val="001E2C6E"/>
    <w:rsid w:val="001E31A6"/>
    <w:rsid w:val="001E34FB"/>
    <w:rsid w:val="001E3ECC"/>
    <w:rsid w:val="00206244"/>
    <w:rsid w:val="002146E2"/>
    <w:rsid w:val="00227792"/>
    <w:rsid w:val="00231906"/>
    <w:rsid w:val="00241C2C"/>
    <w:rsid w:val="00274AF5"/>
    <w:rsid w:val="00286AC7"/>
    <w:rsid w:val="00296DFF"/>
    <w:rsid w:val="002A38C3"/>
    <w:rsid w:val="002A6A13"/>
    <w:rsid w:val="002B2D30"/>
    <w:rsid w:val="002B4C00"/>
    <w:rsid w:val="002B5431"/>
    <w:rsid w:val="002C317F"/>
    <w:rsid w:val="002D045E"/>
    <w:rsid w:val="002D6249"/>
    <w:rsid w:val="002E6628"/>
    <w:rsid w:val="002F5B54"/>
    <w:rsid w:val="00324282"/>
    <w:rsid w:val="003262D8"/>
    <w:rsid w:val="003364A3"/>
    <w:rsid w:val="00345D0F"/>
    <w:rsid w:val="003555E1"/>
    <w:rsid w:val="0035742F"/>
    <w:rsid w:val="0038081B"/>
    <w:rsid w:val="003869E2"/>
    <w:rsid w:val="003C6440"/>
    <w:rsid w:val="003D6F63"/>
    <w:rsid w:val="003E04C0"/>
    <w:rsid w:val="003E4309"/>
    <w:rsid w:val="003F7150"/>
    <w:rsid w:val="003F7226"/>
    <w:rsid w:val="00407E05"/>
    <w:rsid w:val="00407F62"/>
    <w:rsid w:val="00420F88"/>
    <w:rsid w:val="00443711"/>
    <w:rsid w:val="00456C34"/>
    <w:rsid w:val="00457F0C"/>
    <w:rsid w:val="00475D59"/>
    <w:rsid w:val="004942A8"/>
    <w:rsid w:val="0049782B"/>
    <w:rsid w:val="004A0E2C"/>
    <w:rsid w:val="004D0503"/>
    <w:rsid w:val="004D39A1"/>
    <w:rsid w:val="004D5709"/>
    <w:rsid w:val="004E3BC3"/>
    <w:rsid w:val="004E6F43"/>
    <w:rsid w:val="0051134C"/>
    <w:rsid w:val="00521234"/>
    <w:rsid w:val="00522293"/>
    <w:rsid w:val="00522542"/>
    <w:rsid w:val="00527F68"/>
    <w:rsid w:val="00531FE5"/>
    <w:rsid w:val="005451CD"/>
    <w:rsid w:val="00552AF2"/>
    <w:rsid w:val="00562B40"/>
    <w:rsid w:val="0056739B"/>
    <w:rsid w:val="00572648"/>
    <w:rsid w:val="00573B12"/>
    <w:rsid w:val="0058397F"/>
    <w:rsid w:val="005840DD"/>
    <w:rsid w:val="00592B18"/>
    <w:rsid w:val="005A4019"/>
    <w:rsid w:val="005A71F2"/>
    <w:rsid w:val="005B6F9F"/>
    <w:rsid w:val="005C42E6"/>
    <w:rsid w:val="005C4C23"/>
    <w:rsid w:val="005D2064"/>
    <w:rsid w:val="005E2395"/>
    <w:rsid w:val="00603F3D"/>
    <w:rsid w:val="00644DAF"/>
    <w:rsid w:val="00647AC5"/>
    <w:rsid w:val="00666B7D"/>
    <w:rsid w:val="00671272"/>
    <w:rsid w:val="00673661"/>
    <w:rsid w:val="00673DA7"/>
    <w:rsid w:val="00675943"/>
    <w:rsid w:val="0069482C"/>
    <w:rsid w:val="006978AE"/>
    <w:rsid w:val="006A47F6"/>
    <w:rsid w:val="006B1FD6"/>
    <w:rsid w:val="006C2882"/>
    <w:rsid w:val="006E2B76"/>
    <w:rsid w:val="006F2D3A"/>
    <w:rsid w:val="007214D7"/>
    <w:rsid w:val="00722018"/>
    <w:rsid w:val="00731A20"/>
    <w:rsid w:val="0074421F"/>
    <w:rsid w:val="00751599"/>
    <w:rsid w:val="00756F18"/>
    <w:rsid w:val="0078016B"/>
    <w:rsid w:val="00781219"/>
    <w:rsid w:val="007856EA"/>
    <w:rsid w:val="00786345"/>
    <w:rsid w:val="007978EB"/>
    <w:rsid w:val="007A3069"/>
    <w:rsid w:val="007A6FF0"/>
    <w:rsid w:val="007C309D"/>
    <w:rsid w:val="007C4295"/>
    <w:rsid w:val="007C7CDA"/>
    <w:rsid w:val="007D2311"/>
    <w:rsid w:val="007E2AB7"/>
    <w:rsid w:val="007F08FF"/>
    <w:rsid w:val="008001CA"/>
    <w:rsid w:val="00804768"/>
    <w:rsid w:val="00804DBB"/>
    <w:rsid w:val="00805586"/>
    <w:rsid w:val="00805926"/>
    <w:rsid w:val="008120BC"/>
    <w:rsid w:val="00820988"/>
    <w:rsid w:val="00822249"/>
    <w:rsid w:val="008250CD"/>
    <w:rsid w:val="00830328"/>
    <w:rsid w:val="0083090D"/>
    <w:rsid w:val="00837A05"/>
    <w:rsid w:val="008419A3"/>
    <w:rsid w:val="008530A3"/>
    <w:rsid w:val="00884F6B"/>
    <w:rsid w:val="0089276B"/>
    <w:rsid w:val="008A171A"/>
    <w:rsid w:val="008A2F17"/>
    <w:rsid w:val="008A7F56"/>
    <w:rsid w:val="008B3149"/>
    <w:rsid w:val="008B6189"/>
    <w:rsid w:val="008B725D"/>
    <w:rsid w:val="008C2B41"/>
    <w:rsid w:val="008C379C"/>
    <w:rsid w:val="008C3D84"/>
    <w:rsid w:val="008D6A64"/>
    <w:rsid w:val="00904467"/>
    <w:rsid w:val="00916ED4"/>
    <w:rsid w:val="00922519"/>
    <w:rsid w:val="00922B24"/>
    <w:rsid w:val="00923D8E"/>
    <w:rsid w:val="0092457E"/>
    <w:rsid w:val="00930F34"/>
    <w:rsid w:val="00934F38"/>
    <w:rsid w:val="00936ACD"/>
    <w:rsid w:val="00950CCD"/>
    <w:rsid w:val="009550BA"/>
    <w:rsid w:val="00960D1F"/>
    <w:rsid w:val="00964B18"/>
    <w:rsid w:val="009A78B3"/>
    <w:rsid w:val="009B4EAC"/>
    <w:rsid w:val="009C2F80"/>
    <w:rsid w:val="009C39D2"/>
    <w:rsid w:val="009C4033"/>
    <w:rsid w:val="009D3DFC"/>
    <w:rsid w:val="009D467B"/>
    <w:rsid w:val="009D577E"/>
    <w:rsid w:val="009E10A1"/>
    <w:rsid w:val="009E28C1"/>
    <w:rsid w:val="009E36DC"/>
    <w:rsid w:val="009F19BF"/>
    <w:rsid w:val="009F51FE"/>
    <w:rsid w:val="00A00559"/>
    <w:rsid w:val="00A12228"/>
    <w:rsid w:val="00A2567D"/>
    <w:rsid w:val="00A67530"/>
    <w:rsid w:val="00A75A0E"/>
    <w:rsid w:val="00A762F1"/>
    <w:rsid w:val="00A83AA1"/>
    <w:rsid w:val="00A84BCD"/>
    <w:rsid w:val="00A86709"/>
    <w:rsid w:val="00A911EA"/>
    <w:rsid w:val="00A92B06"/>
    <w:rsid w:val="00A9723A"/>
    <w:rsid w:val="00AA5EC6"/>
    <w:rsid w:val="00AB63EC"/>
    <w:rsid w:val="00AC1BF3"/>
    <w:rsid w:val="00AD0DAE"/>
    <w:rsid w:val="00AE06E8"/>
    <w:rsid w:val="00AE730F"/>
    <w:rsid w:val="00AF0166"/>
    <w:rsid w:val="00AF0A0A"/>
    <w:rsid w:val="00B20672"/>
    <w:rsid w:val="00B20CFD"/>
    <w:rsid w:val="00B265B1"/>
    <w:rsid w:val="00B2707B"/>
    <w:rsid w:val="00B279DF"/>
    <w:rsid w:val="00B27B9D"/>
    <w:rsid w:val="00B42ADB"/>
    <w:rsid w:val="00B54FDE"/>
    <w:rsid w:val="00B617A6"/>
    <w:rsid w:val="00B66019"/>
    <w:rsid w:val="00B72C33"/>
    <w:rsid w:val="00B86ED0"/>
    <w:rsid w:val="00BA5DD9"/>
    <w:rsid w:val="00BD25CE"/>
    <w:rsid w:val="00BD431F"/>
    <w:rsid w:val="00BD659F"/>
    <w:rsid w:val="00BE311A"/>
    <w:rsid w:val="00BF01B4"/>
    <w:rsid w:val="00C17ADF"/>
    <w:rsid w:val="00C22463"/>
    <w:rsid w:val="00C320E5"/>
    <w:rsid w:val="00C34AC7"/>
    <w:rsid w:val="00C403EB"/>
    <w:rsid w:val="00C43310"/>
    <w:rsid w:val="00C44ED8"/>
    <w:rsid w:val="00C57D93"/>
    <w:rsid w:val="00C60BAC"/>
    <w:rsid w:val="00C628DD"/>
    <w:rsid w:val="00C63B7C"/>
    <w:rsid w:val="00C70A72"/>
    <w:rsid w:val="00C70AF4"/>
    <w:rsid w:val="00C84978"/>
    <w:rsid w:val="00CC3FB6"/>
    <w:rsid w:val="00CD595C"/>
    <w:rsid w:val="00CD75D5"/>
    <w:rsid w:val="00CE29FC"/>
    <w:rsid w:val="00CE7F30"/>
    <w:rsid w:val="00CF1C67"/>
    <w:rsid w:val="00CF32D5"/>
    <w:rsid w:val="00CF48DB"/>
    <w:rsid w:val="00CF64CB"/>
    <w:rsid w:val="00D06B9C"/>
    <w:rsid w:val="00D15BD4"/>
    <w:rsid w:val="00D35666"/>
    <w:rsid w:val="00D513CA"/>
    <w:rsid w:val="00D54E35"/>
    <w:rsid w:val="00D679B9"/>
    <w:rsid w:val="00D778FD"/>
    <w:rsid w:val="00D841D7"/>
    <w:rsid w:val="00D97605"/>
    <w:rsid w:val="00DA129F"/>
    <w:rsid w:val="00DA23ED"/>
    <w:rsid w:val="00DB24DA"/>
    <w:rsid w:val="00DB6316"/>
    <w:rsid w:val="00DC229A"/>
    <w:rsid w:val="00DD6984"/>
    <w:rsid w:val="00DF1ED5"/>
    <w:rsid w:val="00DF3A11"/>
    <w:rsid w:val="00E1518E"/>
    <w:rsid w:val="00E322B3"/>
    <w:rsid w:val="00E34781"/>
    <w:rsid w:val="00E373BB"/>
    <w:rsid w:val="00E47DCF"/>
    <w:rsid w:val="00E516AC"/>
    <w:rsid w:val="00E63F39"/>
    <w:rsid w:val="00E74969"/>
    <w:rsid w:val="00E80091"/>
    <w:rsid w:val="00E83A2B"/>
    <w:rsid w:val="00EA3BAF"/>
    <w:rsid w:val="00EB3231"/>
    <w:rsid w:val="00EB615E"/>
    <w:rsid w:val="00EC5838"/>
    <w:rsid w:val="00EC7C59"/>
    <w:rsid w:val="00ED085F"/>
    <w:rsid w:val="00ED2503"/>
    <w:rsid w:val="00EE09D2"/>
    <w:rsid w:val="00EF6336"/>
    <w:rsid w:val="00EF7FCA"/>
    <w:rsid w:val="00F06AED"/>
    <w:rsid w:val="00F25DB5"/>
    <w:rsid w:val="00F44E50"/>
    <w:rsid w:val="00F65B22"/>
    <w:rsid w:val="00F66B97"/>
    <w:rsid w:val="00F70134"/>
    <w:rsid w:val="00F83EAA"/>
    <w:rsid w:val="00FA28AC"/>
    <w:rsid w:val="00FA6EA6"/>
    <w:rsid w:val="00FB1659"/>
    <w:rsid w:val="00FB2029"/>
    <w:rsid w:val="00FB3790"/>
    <w:rsid w:val="00FC67C8"/>
    <w:rsid w:val="00FE4594"/>
    <w:rsid w:val="00FE46F6"/>
    <w:rsid w:val="00FE5350"/>
    <w:rsid w:val="00FE73AB"/>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40970">
      <w:bodyDiv w:val="1"/>
      <w:marLeft w:val="0"/>
      <w:marRight w:val="0"/>
      <w:marTop w:val="0"/>
      <w:marBottom w:val="0"/>
      <w:divBdr>
        <w:top w:val="none" w:sz="0" w:space="0" w:color="auto"/>
        <w:left w:val="none" w:sz="0" w:space="0" w:color="auto"/>
        <w:bottom w:val="none" w:sz="0" w:space="0" w:color="auto"/>
        <w:right w:val="none" w:sz="0" w:space="0" w:color="auto"/>
      </w:divBdr>
    </w:div>
    <w:div w:id="3541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a:t>Frequency Distribution of Returns on Canadian Common Stocks</a:t>
            </a:r>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numRef>
              <c:f>Sheet1!$A$2:$A$19</c:f>
              <c:numCache>
                <c:formatCode>General</c:formatCode>
                <c:ptCount val="18"/>
                <c:pt idx="0">
                  <c:v>-30</c:v>
                </c:pt>
                <c:pt idx="1">
                  <c:v>-25</c:v>
                </c:pt>
                <c:pt idx="2">
                  <c:v>-20</c:v>
                </c:pt>
                <c:pt idx="3">
                  <c:v>-15</c:v>
                </c:pt>
                <c:pt idx="4">
                  <c:v>-10</c:v>
                </c:pt>
                <c:pt idx="5">
                  <c:v>-5</c:v>
                </c:pt>
                <c:pt idx="6">
                  <c:v>0</c:v>
                </c:pt>
                <c:pt idx="7">
                  <c:v>5</c:v>
                </c:pt>
                <c:pt idx="8">
                  <c:v>10</c:v>
                </c:pt>
                <c:pt idx="9">
                  <c:v>15</c:v>
                </c:pt>
                <c:pt idx="10">
                  <c:v>20</c:v>
                </c:pt>
                <c:pt idx="11">
                  <c:v>25</c:v>
                </c:pt>
                <c:pt idx="12">
                  <c:v>30</c:v>
                </c:pt>
                <c:pt idx="13">
                  <c:v>35</c:v>
                </c:pt>
                <c:pt idx="14">
                  <c:v>40</c:v>
                </c:pt>
                <c:pt idx="15">
                  <c:v>45</c:v>
                </c:pt>
                <c:pt idx="16">
                  <c:v>50</c:v>
                </c:pt>
                <c:pt idx="17">
                  <c:v>55</c:v>
                </c:pt>
              </c:numCache>
            </c:numRef>
          </c:cat>
          <c:val>
            <c:numRef>
              <c:f>Sheet1!$B$2:$B$19</c:f>
              <c:numCache>
                <c:formatCode>General</c:formatCode>
                <c:ptCount val="18"/>
                <c:pt idx="0">
                  <c:v>1</c:v>
                </c:pt>
                <c:pt idx="1">
                  <c:v>1</c:v>
                </c:pt>
                <c:pt idx="2">
                  <c:v>1</c:v>
                </c:pt>
                <c:pt idx="3">
                  <c:v>0</c:v>
                </c:pt>
                <c:pt idx="4">
                  <c:v>4</c:v>
                </c:pt>
                <c:pt idx="5">
                  <c:v>3</c:v>
                </c:pt>
                <c:pt idx="6">
                  <c:v>6</c:v>
                </c:pt>
                <c:pt idx="7">
                  <c:v>5</c:v>
                </c:pt>
                <c:pt idx="8">
                  <c:v>7</c:v>
                </c:pt>
                <c:pt idx="9">
                  <c:v>9</c:v>
                </c:pt>
                <c:pt idx="10">
                  <c:v>5</c:v>
                </c:pt>
                <c:pt idx="11">
                  <c:v>4</c:v>
                </c:pt>
                <c:pt idx="12">
                  <c:v>8</c:v>
                </c:pt>
                <c:pt idx="13">
                  <c:v>6</c:v>
                </c:pt>
                <c:pt idx="14">
                  <c:v>2</c:v>
                </c:pt>
                <c:pt idx="15">
                  <c:v>1</c:v>
                </c:pt>
                <c:pt idx="16">
                  <c:v>0</c:v>
                </c:pt>
                <c:pt idx="17">
                  <c:v>1</c:v>
                </c:pt>
              </c:numCache>
            </c:numRef>
          </c:val>
        </c:ser>
        <c:dLbls>
          <c:showLegendKey val="0"/>
          <c:showVal val="0"/>
          <c:showCatName val="0"/>
          <c:showSerName val="0"/>
          <c:showPercent val="0"/>
          <c:showBubbleSize val="0"/>
        </c:dLbls>
        <c:gapWidth val="150"/>
        <c:axId val="77321216"/>
        <c:axId val="140108352"/>
      </c:barChart>
      <c:catAx>
        <c:axId val="77321216"/>
        <c:scaling>
          <c:orientation val="minMax"/>
        </c:scaling>
        <c:delete val="0"/>
        <c:axPos val="b"/>
        <c:numFmt formatCode="General" sourceLinked="1"/>
        <c:majorTickMark val="none"/>
        <c:minorTickMark val="none"/>
        <c:tickLblPos val="nextTo"/>
        <c:crossAx val="140108352"/>
        <c:crosses val="autoZero"/>
        <c:auto val="1"/>
        <c:lblAlgn val="ctr"/>
        <c:lblOffset val="100"/>
        <c:noMultiLvlLbl val="0"/>
      </c:catAx>
      <c:valAx>
        <c:axId val="140108352"/>
        <c:scaling>
          <c:orientation val="minMax"/>
        </c:scaling>
        <c:delete val="0"/>
        <c:axPos val="l"/>
        <c:majorGridlines/>
        <c:numFmt formatCode="General" sourceLinked="1"/>
        <c:majorTickMark val="none"/>
        <c:minorTickMark val="none"/>
        <c:tickLblPos val="nextTo"/>
        <c:crossAx val="7732121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B96FD-B033-4027-9B3C-810B66063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1237</TotalTime>
  <Pages>24</Pages>
  <Words>6206</Words>
  <Characters>35376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Domes</dc:creator>
  <cp:lastModifiedBy>Andrea Domes</cp:lastModifiedBy>
  <cp:revision>4</cp:revision>
  <dcterms:created xsi:type="dcterms:W3CDTF">2014-11-04T16:56:00Z</dcterms:created>
  <dcterms:modified xsi:type="dcterms:W3CDTF">2014-11-07T21:46:00Z</dcterms:modified>
</cp:coreProperties>
</file>