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AB501F" w14:textId="2CE49A1B" w:rsidR="00043B35" w:rsidRDefault="00D35666" w:rsidP="005451CD">
      <w:pPr>
        <w:spacing w:after="0" w:line="240" w:lineRule="auto"/>
        <w:contextualSpacing/>
        <w:jc w:val="center"/>
        <w:rPr>
          <w:rFonts w:ascii="Bookman Old Style" w:hAnsi="Bookman Old Style"/>
          <w:b/>
          <w:sz w:val="24"/>
          <w:u w:val="single"/>
        </w:rPr>
      </w:pPr>
      <w:r>
        <w:rPr>
          <w:rFonts w:ascii="Bookman Old Style" w:hAnsi="Bookman Old Style"/>
          <w:b/>
          <w:sz w:val="24"/>
          <w:u w:val="single"/>
        </w:rPr>
        <w:t xml:space="preserve">CHAPTER </w:t>
      </w:r>
      <w:r w:rsidR="00AF0166">
        <w:rPr>
          <w:rFonts w:ascii="Bookman Old Style" w:hAnsi="Bookman Old Style"/>
          <w:b/>
          <w:sz w:val="24"/>
          <w:u w:val="single"/>
        </w:rPr>
        <w:t>9</w:t>
      </w:r>
    </w:p>
    <w:p w14:paraId="4503D167" w14:textId="380A2924" w:rsidR="00552AF2" w:rsidRDefault="00B2707B" w:rsidP="005451CD">
      <w:pPr>
        <w:spacing w:after="0" w:line="240" w:lineRule="auto"/>
        <w:contextualSpacing/>
        <w:jc w:val="center"/>
        <w:rPr>
          <w:rFonts w:ascii="Bookman Old Style" w:hAnsi="Bookman Old Style"/>
          <w:b/>
          <w:sz w:val="24"/>
          <w:u w:val="single"/>
        </w:rPr>
      </w:pPr>
      <w:r>
        <w:rPr>
          <w:rFonts w:ascii="Bookman Old Style" w:hAnsi="Bookman Old Style"/>
          <w:b/>
          <w:sz w:val="24"/>
          <w:u w:val="single"/>
        </w:rPr>
        <w:t>Net Present Value &amp; Other Investment Criteria</w:t>
      </w:r>
    </w:p>
    <w:p w14:paraId="3FDDB8DF" w14:textId="77777777" w:rsidR="00B2707B" w:rsidRDefault="00B2707B" w:rsidP="005451CD">
      <w:pPr>
        <w:spacing w:after="0" w:line="240" w:lineRule="auto"/>
        <w:contextualSpacing/>
        <w:jc w:val="center"/>
        <w:rPr>
          <w:rFonts w:ascii="Bookman Old Style" w:hAnsi="Bookman Old Style"/>
          <w:b/>
          <w:sz w:val="24"/>
          <w:u w:val="single"/>
        </w:rPr>
      </w:pPr>
    </w:p>
    <w:p w14:paraId="78D913A8" w14:textId="68580B99" w:rsidR="00B2707B" w:rsidRDefault="00B2707B" w:rsidP="005451CD">
      <w:pPr>
        <w:spacing w:after="0" w:line="240" w:lineRule="auto"/>
        <w:contextualSpacing/>
        <w:jc w:val="both"/>
        <w:rPr>
          <w:rFonts w:ascii="Bookman Old Style" w:hAnsi="Bookman Old Style"/>
        </w:rPr>
      </w:pPr>
      <w:r>
        <w:rPr>
          <w:rFonts w:ascii="Bookman Old Style" w:hAnsi="Bookman Old Style"/>
        </w:rPr>
        <w:t xml:space="preserve">We looked at areas of concern for a financial manager – one of them being deciding which fixed assets to buy; the </w:t>
      </w:r>
      <w:r>
        <w:rPr>
          <w:rFonts w:ascii="Bookman Old Style" w:hAnsi="Bookman Old Style"/>
          <w:b/>
        </w:rPr>
        <w:t>capital budgeting decision</w:t>
      </w:r>
      <w:r>
        <w:rPr>
          <w:rFonts w:ascii="Bookman Old Style" w:hAnsi="Bookman Old Style"/>
        </w:rPr>
        <w:t xml:space="preserve">. </w:t>
      </w:r>
    </w:p>
    <w:p w14:paraId="7090B733" w14:textId="77777777" w:rsidR="00B2707B" w:rsidRDefault="00B2707B" w:rsidP="005451CD">
      <w:pPr>
        <w:spacing w:after="0" w:line="240" w:lineRule="auto"/>
        <w:contextualSpacing/>
        <w:jc w:val="both"/>
        <w:rPr>
          <w:rFonts w:ascii="Bookman Old Style" w:hAnsi="Bookman Old Style"/>
        </w:rPr>
      </w:pPr>
    </w:p>
    <w:p w14:paraId="14C1DB07" w14:textId="23F2D104" w:rsidR="00B2707B" w:rsidRDefault="00B2707B" w:rsidP="005451CD">
      <w:pPr>
        <w:spacing w:after="0" w:line="240" w:lineRule="auto"/>
        <w:contextualSpacing/>
        <w:jc w:val="both"/>
        <w:rPr>
          <w:rFonts w:ascii="Bookman Old Style" w:hAnsi="Bookman Old Style"/>
        </w:rPr>
      </w:pPr>
      <w:r>
        <w:rPr>
          <w:rFonts w:ascii="Bookman Old Style" w:hAnsi="Bookman Old Style"/>
        </w:rPr>
        <w:t>The process of allocating or budgeting capital is usually more involved than just deciding whether or not to buy a particular fixed asset. Should we launch a new product or enter a new market? These decisions determine the nature a firm’s operations and products for years to come, mainly because fixed asset investments are generally long-lived and not easily reversed once made.</w:t>
      </w:r>
    </w:p>
    <w:p w14:paraId="496ADED1" w14:textId="77777777" w:rsidR="00B2707B" w:rsidRDefault="00B2707B" w:rsidP="005451CD">
      <w:pPr>
        <w:spacing w:after="0" w:line="240" w:lineRule="auto"/>
        <w:contextualSpacing/>
        <w:jc w:val="both"/>
        <w:rPr>
          <w:rFonts w:ascii="Bookman Old Style" w:hAnsi="Bookman Old Style"/>
        </w:rPr>
      </w:pPr>
    </w:p>
    <w:p w14:paraId="35495F2B" w14:textId="2043F696" w:rsidR="00B2707B" w:rsidRDefault="00B2707B" w:rsidP="005451CD">
      <w:pPr>
        <w:spacing w:after="0" w:line="240" w:lineRule="auto"/>
        <w:contextualSpacing/>
        <w:jc w:val="both"/>
        <w:rPr>
          <w:rFonts w:ascii="Bookman Old Style" w:hAnsi="Bookman Old Style"/>
        </w:rPr>
      </w:pPr>
      <w:r>
        <w:rPr>
          <w:rFonts w:ascii="Bookman Old Style" w:hAnsi="Bookman Old Style"/>
        </w:rPr>
        <w:t xml:space="preserve">The most fundamental decision that a business can make concerns its </w:t>
      </w:r>
      <w:r>
        <w:rPr>
          <w:rFonts w:ascii="Bookman Old Style" w:hAnsi="Bookman Old Style"/>
          <w:u w:val="single"/>
        </w:rPr>
        <w:t>product line</w:t>
      </w:r>
      <w:r>
        <w:rPr>
          <w:rFonts w:ascii="Bookman Old Style" w:hAnsi="Bookman Old Style"/>
        </w:rPr>
        <w:t>. What services will we offer, what will we sell? In what markets will we compete?</w:t>
      </w:r>
    </w:p>
    <w:p w14:paraId="6A578E83" w14:textId="77777777" w:rsidR="00B2707B" w:rsidRDefault="00B2707B" w:rsidP="005451CD">
      <w:pPr>
        <w:spacing w:after="0" w:line="240" w:lineRule="auto"/>
        <w:contextualSpacing/>
        <w:jc w:val="both"/>
        <w:rPr>
          <w:rFonts w:ascii="Bookman Old Style" w:hAnsi="Bookman Old Style"/>
        </w:rPr>
      </w:pPr>
    </w:p>
    <w:p w14:paraId="3C03365E" w14:textId="5CA342FB" w:rsidR="00B2707B" w:rsidRDefault="00B2707B" w:rsidP="005451CD">
      <w:pPr>
        <w:spacing w:after="0" w:line="240" w:lineRule="auto"/>
        <w:contextualSpacing/>
        <w:jc w:val="both"/>
        <w:rPr>
          <w:rFonts w:ascii="Bookman Old Style" w:hAnsi="Bookman Old Style"/>
        </w:rPr>
      </w:pPr>
      <w:r>
        <w:rPr>
          <w:rFonts w:ascii="Bookman Old Style" w:hAnsi="Bookman Old Style"/>
        </w:rPr>
        <w:t xml:space="preserve">All these strategic issues fall under the general heading of capital budgeting – so the process of capital budgeting can be given a more descriptive name: </w:t>
      </w:r>
      <w:r>
        <w:rPr>
          <w:rFonts w:ascii="Bookman Old Style" w:hAnsi="Bookman Old Style"/>
          <w:b/>
        </w:rPr>
        <w:t>strategic asset allocation</w:t>
      </w:r>
      <w:r>
        <w:rPr>
          <w:rFonts w:ascii="Bookman Old Style" w:hAnsi="Bookman Old Style"/>
        </w:rPr>
        <w:t>.</w:t>
      </w:r>
    </w:p>
    <w:p w14:paraId="2C79EDC4" w14:textId="77777777" w:rsidR="00B2707B" w:rsidRDefault="00B2707B" w:rsidP="005451CD">
      <w:pPr>
        <w:spacing w:after="0" w:line="240" w:lineRule="auto"/>
        <w:contextualSpacing/>
        <w:jc w:val="both"/>
        <w:rPr>
          <w:rFonts w:ascii="Bookman Old Style" w:hAnsi="Bookman Old Style"/>
        </w:rPr>
      </w:pPr>
    </w:p>
    <w:p w14:paraId="7E4D7BA9" w14:textId="29CC4045" w:rsidR="00B2707B" w:rsidRDefault="00B2707B" w:rsidP="005451CD">
      <w:pPr>
        <w:spacing w:after="0" w:line="240" w:lineRule="auto"/>
        <w:contextualSpacing/>
        <w:jc w:val="both"/>
        <w:rPr>
          <w:rFonts w:ascii="Bookman Old Style" w:hAnsi="Bookman Old Style"/>
        </w:rPr>
      </w:pPr>
      <w:r>
        <w:rPr>
          <w:rFonts w:ascii="Bookman Old Style" w:hAnsi="Bookman Old Style"/>
        </w:rPr>
        <w:t>How a firm chooses to finance its operations (the capital structure question) and how a firm manages its short-term operating activities (the working capital question) are issues of concern – but fixed assets define the business of a firm.</w:t>
      </w:r>
    </w:p>
    <w:p w14:paraId="051FA366" w14:textId="77777777" w:rsidR="00B2707B" w:rsidRDefault="00B2707B" w:rsidP="005451CD">
      <w:pPr>
        <w:spacing w:after="0" w:line="240" w:lineRule="auto"/>
        <w:contextualSpacing/>
        <w:jc w:val="both"/>
        <w:rPr>
          <w:rFonts w:ascii="Bookman Old Style" w:hAnsi="Bookman Old Style"/>
        </w:rPr>
      </w:pPr>
    </w:p>
    <w:p w14:paraId="1BCA6418" w14:textId="3931BFBA" w:rsidR="00B2707B" w:rsidRDefault="00B2707B" w:rsidP="005451CD">
      <w:pPr>
        <w:spacing w:after="0" w:line="240" w:lineRule="auto"/>
        <w:contextualSpacing/>
        <w:jc w:val="both"/>
        <w:rPr>
          <w:rFonts w:ascii="Bookman Old Style" w:hAnsi="Bookman Old Style"/>
        </w:rPr>
      </w:pPr>
      <w:r>
        <w:rPr>
          <w:rFonts w:ascii="Bookman Old Style" w:hAnsi="Bookman Old Style"/>
        </w:rPr>
        <w:t>The essence of successful financial management is learning to identify which investments are valuable to the firm.</w:t>
      </w:r>
    </w:p>
    <w:p w14:paraId="3E6EBC11" w14:textId="77777777" w:rsidR="00B2707B" w:rsidRDefault="00B2707B" w:rsidP="005451CD">
      <w:pPr>
        <w:spacing w:after="0" w:line="240" w:lineRule="auto"/>
        <w:contextualSpacing/>
        <w:jc w:val="both"/>
        <w:rPr>
          <w:rFonts w:ascii="Bookman Old Style" w:hAnsi="Bookman Old Style"/>
        </w:rPr>
      </w:pPr>
    </w:p>
    <w:p w14:paraId="44951D75" w14:textId="4232D634" w:rsidR="00B2707B" w:rsidRDefault="00B2707B" w:rsidP="005451CD">
      <w:pPr>
        <w:spacing w:after="0" w:line="240" w:lineRule="auto"/>
        <w:contextualSpacing/>
        <w:jc w:val="both"/>
        <w:rPr>
          <w:rFonts w:ascii="Bookman Old Style" w:hAnsi="Bookman Old Style"/>
        </w:rPr>
      </w:pPr>
      <w:r>
        <w:rPr>
          <w:rFonts w:ascii="Bookman Old Style" w:hAnsi="Bookman Old Style"/>
        </w:rPr>
        <w:t xml:space="preserve">We look at different procedures and approaches; the most important concept being the idea of </w:t>
      </w:r>
      <w:r>
        <w:rPr>
          <w:rFonts w:ascii="Bookman Old Style" w:hAnsi="Bookman Old Style"/>
          <w:u w:val="single"/>
        </w:rPr>
        <w:t>net present value</w:t>
      </w:r>
      <w:r>
        <w:rPr>
          <w:rFonts w:ascii="Bookman Old Style" w:hAnsi="Bookman Old Style"/>
        </w:rPr>
        <w:t>. When evaluating each method and deciding which to use, it’s important to look at 3 important criteria and ask the following questions:</w:t>
      </w:r>
    </w:p>
    <w:p w14:paraId="6DD291DE" w14:textId="77777777" w:rsidR="00B2707B" w:rsidRDefault="00B2707B" w:rsidP="005451CD">
      <w:pPr>
        <w:spacing w:after="0" w:line="240" w:lineRule="auto"/>
        <w:contextualSpacing/>
        <w:jc w:val="both"/>
        <w:rPr>
          <w:rFonts w:ascii="Bookman Old Style" w:hAnsi="Bookman Old Style"/>
        </w:rPr>
      </w:pPr>
    </w:p>
    <w:p w14:paraId="335059BD" w14:textId="46715A8B" w:rsidR="00B2707B" w:rsidRDefault="00B2707B" w:rsidP="005451CD">
      <w:pPr>
        <w:pStyle w:val="ListParagraph"/>
        <w:numPr>
          <w:ilvl w:val="0"/>
          <w:numId w:val="32"/>
        </w:numPr>
        <w:spacing w:after="0" w:line="240" w:lineRule="auto"/>
        <w:jc w:val="both"/>
        <w:rPr>
          <w:rFonts w:ascii="Bookman Old Style" w:hAnsi="Bookman Old Style"/>
        </w:rPr>
      </w:pPr>
      <w:r>
        <w:rPr>
          <w:rFonts w:ascii="Bookman Old Style" w:hAnsi="Bookman Old Style"/>
        </w:rPr>
        <w:t>Does the decision rule adjust for the time value of money?</w:t>
      </w:r>
    </w:p>
    <w:p w14:paraId="4FB3F957" w14:textId="19E0BD53" w:rsidR="00B2707B" w:rsidRDefault="00B2707B" w:rsidP="005451CD">
      <w:pPr>
        <w:pStyle w:val="ListParagraph"/>
        <w:numPr>
          <w:ilvl w:val="0"/>
          <w:numId w:val="32"/>
        </w:numPr>
        <w:spacing w:after="0" w:line="240" w:lineRule="auto"/>
        <w:jc w:val="both"/>
        <w:rPr>
          <w:rFonts w:ascii="Bookman Old Style" w:hAnsi="Bookman Old Style"/>
        </w:rPr>
      </w:pPr>
      <w:r>
        <w:rPr>
          <w:rFonts w:ascii="Bookman Old Style" w:hAnsi="Bookman Old Style"/>
        </w:rPr>
        <w:t>Does the decision rule adjust for risk?</w:t>
      </w:r>
    </w:p>
    <w:p w14:paraId="05AB5B78" w14:textId="33AA0D79" w:rsidR="00B2707B" w:rsidRDefault="00B2707B" w:rsidP="005451CD">
      <w:pPr>
        <w:pStyle w:val="ListParagraph"/>
        <w:numPr>
          <w:ilvl w:val="0"/>
          <w:numId w:val="32"/>
        </w:numPr>
        <w:spacing w:after="0" w:line="240" w:lineRule="auto"/>
        <w:jc w:val="both"/>
        <w:rPr>
          <w:rFonts w:ascii="Bookman Old Style" w:hAnsi="Bookman Old Style"/>
        </w:rPr>
      </w:pPr>
      <w:r>
        <w:rPr>
          <w:rFonts w:ascii="Bookman Old Style" w:hAnsi="Bookman Old Style"/>
        </w:rPr>
        <w:t>Does the decision rule provide information on whether we’re creating value for the firm?</w:t>
      </w:r>
    </w:p>
    <w:p w14:paraId="73BCA3B6" w14:textId="77777777" w:rsidR="00B2707B" w:rsidRDefault="00B2707B" w:rsidP="005451CD">
      <w:pPr>
        <w:spacing w:after="0" w:line="240" w:lineRule="auto"/>
        <w:jc w:val="both"/>
        <w:rPr>
          <w:rFonts w:ascii="Bookman Old Style" w:hAnsi="Bookman Old Style"/>
        </w:rPr>
      </w:pPr>
    </w:p>
    <w:p w14:paraId="1F059176" w14:textId="30D14FB0" w:rsidR="00B2707B" w:rsidRDefault="00B2707B" w:rsidP="005451CD">
      <w:pPr>
        <w:spacing w:after="0" w:line="240" w:lineRule="auto"/>
        <w:jc w:val="both"/>
        <w:rPr>
          <w:rFonts w:ascii="Bookman Old Style" w:hAnsi="Bookman Old Style"/>
        </w:rPr>
      </w:pPr>
      <w:r>
        <w:rPr>
          <w:rFonts w:ascii="Bookman Old Style" w:hAnsi="Bookman Old Style"/>
        </w:rPr>
        <w:t>A good decision rule will adjust for both the time value of money and risk, and will determine whether value has been created for the firm and for shareholders.</w:t>
      </w:r>
    </w:p>
    <w:p w14:paraId="26E16AF7" w14:textId="77777777" w:rsidR="00B2707B" w:rsidRDefault="00B2707B" w:rsidP="005451CD">
      <w:pPr>
        <w:spacing w:after="0" w:line="240" w:lineRule="auto"/>
        <w:jc w:val="both"/>
        <w:rPr>
          <w:rFonts w:ascii="Bookman Old Style" w:hAnsi="Bookman Old Style"/>
        </w:rPr>
      </w:pPr>
    </w:p>
    <w:p w14:paraId="6EA30E36" w14:textId="77777777" w:rsidR="00837A05" w:rsidRDefault="00837A05" w:rsidP="005451CD">
      <w:pPr>
        <w:spacing w:after="0" w:line="240" w:lineRule="auto"/>
        <w:jc w:val="both"/>
        <w:rPr>
          <w:rFonts w:ascii="Bookman Old Style" w:hAnsi="Bookman Old Style"/>
        </w:rPr>
      </w:pPr>
    </w:p>
    <w:p w14:paraId="00650F41" w14:textId="4006D7CD" w:rsidR="00837A05" w:rsidRPr="00837A05" w:rsidRDefault="00837A05" w:rsidP="005451CD">
      <w:pPr>
        <w:spacing w:after="0" w:line="240" w:lineRule="auto"/>
        <w:jc w:val="center"/>
        <w:rPr>
          <w:rFonts w:ascii="Bookman Old Style" w:hAnsi="Bookman Old Style"/>
          <w:b/>
          <w:u w:val="single"/>
        </w:rPr>
      </w:pPr>
      <w:r>
        <w:rPr>
          <w:rFonts w:ascii="Bookman Old Style" w:hAnsi="Bookman Old Style"/>
          <w:b/>
          <w:u w:val="single"/>
        </w:rPr>
        <w:t>NET PRESENT VALUE</w:t>
      </w:r>
    </w:p>
    <w:p w14:paraId="68EAD120" w14:textId="77777777" w:rsidR="00B2707B" w:rsidRDefault="00B2707B" w:rsidP="005451CD">
      <w:pPr>
        <w:spacing w:after="0" w:line="240" w:lineRule="auto"/>
        <w:jc w:val="both"/>
        <w:rPr>
          <w:rFonts w:ascii="Bookman Old Style" w:hAnsi="Bookman Old Style"/>
        </w:rPr>
      </w:pPr>
    </w:p>
    <w:p w14:paraId="6191AD3D" w14:textId="6A21066C" w:rsidR="00837A05" w:rsidRDefault="00837A05" w:rsidP="005451CD">
      <w:pPr>
        <w:spacing w:after="0" w:line="240" w:lineRule="auto"/>
        <w:jc w:val="both"/>
        <w:rPr>
          <w:rFonts w:ascii="Bookman Old Style" w:hAnsi="Bookman Old Style"/>
        </w:rPr>
      </w:pPr>
      <w:r>
        <w:rPr>
          <w:rFonts w:ascii="Bookman Old Style" w:hAnsi="Bookman Old Style"/>
        </w:rPr>
        <w:t>An investment is worth undertaking if it creates value for its owners – value is created by identifying an investment that’s worth more in the marketplace than it costs us to acquire.</w:t>
      </w:r>
    </w:p>
    <w:p w14:paraId="30256596" w14:textId="77777777" w:rsidR="00FA6EA6" w:rsidRDefault="00FA6EA6" w:rsidP="005451CD">
      <w:pPr>
        <w:spacing w:after="0" w:line="240" w:lineRule="auto"/>
        <w:jc w:val="both"/>
        <w:rPr>
          <w:rFonts w:ascii="Bookman Old Style" w:hAnsi="Bookman Old Style"/>
        </w:rPr>
      </w:pPr>
    </w:p>
    <w:p w14:paraId="25B6E7A9" w14:textId="1E7A3233" w:rsidR="00FA6EA6" w:rsidRDefault="00FA6EA6" w:rsidP="005451CD">
      <w:pPr>
        <w:spacing w:after="0" w:line="240" w:lineRule="auto"/>
        <w:jc w:val="both"/>
        <w:rPr>
          <w:rFonts w:ascii="Bookman Old Style" w:hAnsi="Bookman Old Style"/>
        </w:rPr>
      </w:pPr>
      <w:r>
        <w:rPr>
          <w:rFonts w:ascii="Bookman Old Style" w:hAnsi="Bookman Old Style"/>
        </w:rPr>
        <w:t xml:space="preserve">The difference between an investment’s market value and its cost is called the </w:t>
      </w:r>
      <w:r>
        <w:rPr>
          <w:rFonts w:ascii="Bookman Old Style" w:hAnsi="Bookman Old Style"/>
          <w:b/>
        </w:rPr>
        <w:t>net present value (NPV)</w:t>
      </w:r>
      <w:r>
        <w:rPr>
          <w:rFonts w:ascii="Bookman Old Style" w:hAnsi="Bookman Old Style"/>
        </w:rPr>
        <w:t xml:space="preserve"> of the investment.</w:t>
      </w:r>
    </w:p>
    <w:p w14:paraId="01BEFB1E" w14:textId="77777777" w:rsidR="00FA6EA6" w:rsidRDefault="00FA6EA6" w:rsidP="005451CD">
      <w:pPr>
        <w:spacing w:after="0" w:line="240" w:lineRule="auto"/>
        <w:jc w:val="both"/>
        <w:rPr>
          <w:rFonts w:ascii="Bookman Old Style" w:hAnsi="Bookman Old Style"/>
        </w:rPr>
      </w:pPr>
    </w:p>
    <w:p w14:paraId="2F63B096" w14:textId="77777777" w:rsidR="00FA6EA6" w:rsidRDefault="00FA6EA6" w:rsidP="005451CD">
      <w:pPr>
        <w:spacing w:after="0" w:line="240" w:lineRule="auto"/>
        <w:jc w:val="both"/>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FA6EA6" w14:paraId="5497C96A" w14:textId="77777777" w:rsidTr="00FA6EA6">
        <w:tc>
          <w:tcPr>
            <w:tcW w:w="9576" w:type="dxa"/>
          </w:tcPr>
          <w:p w14:paraId="5E16CED5" w14:textId="77777777" w:rsidR="00FA6EA6" w:rsidRDefault="00FA6EA6" w:rsidP="005451CD">
            <w:pPr>
              <w:jc w:val="both"/>
              <w:rPr>
                <w:rFonts w:ascii="Bookman Old Style" w:hAnsi="Bookman Old Style"/>
              </w:rPr>
            </w:pPr>
          </w:p>
          <w:p w14:paraId="16B45730" w14:textId="77777777" w:rsidR="00FA6EA6" w:rsidRDefault="00FA6EA6" w:rsidP="005451CD">
            <w:pPr>
              <w:jc w:val="both"/>
              <w:rPr>
                <w:rFonts w:ascii="Bookman Old Style" w:hAnsi="Bookman Old Style"/>
              </w:rPr>
            </w:pPr>
            <w:r>
              <w:rPr>
                <w:rFonts w:ascii="Bookman Old Style" w:hAnsi="Bookman Old Style"/>
                <w:b/>
              </w:rPr>
              <w:t>Net Present Value</w:t>
            </w:r>
            <w:r>
              <w:rPr>
                <w:rFonts w:ascii="Bookman Old Style" w:hAnsi="Bookman Old Style"/>
              </w:rPr>
              <w:t xml:space="preserve"> – The difference between an investment’s market value and its cost.</w:t>
            </w:r>
          </w:p>
          <w:p w14:paraId="6E552C77" w14:textId="4A4CDCCA" w:rsidR="00FA6EA6" w:rsidRPr="00FA6EA6" w:rsidRDefault="00FA6EA6" w:rsidP="005451CD">
            <w:pPr>
              <w:jc w:val="both"/>
              <w:rPr>
                <w:rFonts w:ascii="Bookman Old Style" w:hAnsi="Bookman Old Style"/>
              </w:rPr>
            </w:pPr>
          </w:p>
        </w:tc>
      </w:tr>
    </w:tbl>
    <w:p w14:paraId="50E4A1D9" w14:textId="77777777" w:rsidR="00FA6EA6" w:rsidRPr="00FA6EA6" w:rsidRDefault="00FA6EA6" w:rsidP="005451CD">
      <w:pPr>
        <w:spacing w:after="0" w:line="240" w:lineRule="auto"/>
        <w:jc w:val="both"/>
        <w:rPr>
          <w:rFonts w:ascii="Bookman Old Style" w:hAnsi="Bookman Old Style"/>
        </w:rPr>
      </w:pPr>
    </w:p>
    <w:p w14:paraId="428561F5" w14:textId="5A3133B3" w:rsidR="00837A05" w:rsidRDefault="00FA6EA6" w:rsidP="005451CD">
      <w:pPr>
        <w:spacing w:after="0" w:line="240" w:lineRule="auto"/>
        <w:jc w:val="both"/>
        <w:rPr>
          <w:rFonts w:ascii="Bookman Old Style" w:hAnsi="Bookman Old Style"/>
        </w:rPr>
      </w:pPr>
      <w:r>
        <w:rPr>
          <w:rFonts w:ascii="Bookman Old Style" w:hAnsi="Bookman Old Style"/>
        </w:rPr>
        <w:t>NPV is a measure of how much value is created or added today by undertaking an investment. Our goal is to create value for shareholders, so the capital budgeting process can be seen as a search for investments with positive NPVs.</w:t>
      </w:r>
    </w:p>
    <w:p w14:paraId="04520908" w14:textId="77777777" w:rsidR="00FA6EA6" w:rsidRDefault="00FA6EA6" w:rsidP="005451CD">
      <w:pPr>
        <w:spacing w:after="0" w:line="240" w:lineRule="auto"/>
        <w:jc w:val="both"/>
        <w:rPr>
          <w:rFonts w:ascii="Bookman Old Style" w:hAnsi="Bookman Old Style"/>
        </w:rPr>
      </w:pPr>
    </w:p>
    <w:p w14:paraId="2C9931EB" w14:textId="4482C2E9" w:rsidR="00FA6EA6" w:rsidRDefault="00EA3BAF" w:rsidP="005451CD">
      <w:pPr>
        <w:spacing w:after="0" w:line="240" w:lineRule="auto"/>
        <w:jc w:val="both"/>
        <w:rPr>
          <w:rFonts w:ascii="Bookman Old Style" w:hAnsi="Bookman Old Style"/>
        </w:rPr>
      </w:pPr>
      <w:r>
        <w:rPr>
          <w:rFonts w:ascii="Bookman Old Style" w:hAnsi="Bookman Old Style"/>
        </w:rPr>
        <w:t>Investment decisions are simplified when there’s a market for assets similar to the investment we’re considering. Capital budgeting becomes much harder when we can’t observe the market price for at least roughly comparable investments. We’re then faced with the problem of estimating the value of an investment using on indirect market information – this is precisely the situation the financial manager usually encounters.</w:t>
      </w:r>
    </w:p>
    <w:p w14:paraId="0BEE0000" w14:textId="77777777" w:rsidR="00EA3BAF" w:rsidRDefault="00EA3BAF" w:rsidP="005451CD">
      <w:pPr>
        <w:spacing w:after="0" w:line="240" w:lineRule="auto"/>
        <w:jc w:val="both"/>
        <w:rPr>
          <w:rFonts w:ascii="Bookman Old Style" w:hAnsi="Bookman Old Style"/>
        </w:rPr>
      </w:pPr>
    </w:p>
    <w:p w14:paraId="677C4659" w14:textId="77777777" w:rsidR="00EA3BAF" w:rsidRDefault="00EA3BAF" w:rsidP="005451CD">
      <w:pPr>
        <w:spacing w:after="0" w:line="240" w:lineRule="auto"/>
        <w:jc w:val="both"/>
        <w:rPr>
          <w:rFonts w:ascii="Bookman Old Style" w:hAnsi="Bookman Old Style"/>
        </w:rPr>
      </w:pPr>
    </w:p>
    <w:p w14:paraId="25A3BF24" w14:textId="15E896C1" w:rsidR="00EA3BAF" w:rsidRDefault="00EA3BAF" w:rsidP="005451CD">
      <w:pPr>
        <w:spacing w:after="0" w:line="240" w:lineRule="auto"/>
        <w:jc w:val="both"/>
        <w:rPr>
          <w:rFonts w:ascii="Bookman Old Style" w:hAnsi="Bookman Old Style"/>
        </w:rPr>
      </w:pPr>
      <w:r>
        <w:rPr>
          <w:rFonts w:ascii="Bookman Old Style" w:hAnsi="Bookman Old Style"/>
          <w:b/>
          <w:u w:val="single"/>
        </w:rPr>
        <w:t>ESTIMATING NET PRESENT VALUE</w:t>
      </w:r>
    </w:p>
    <w:p w14:paraId="16EC3951" w14:textId="6AEA51EF" w:rsidR="00EA3BAF" w:rsidRDefault="00EA3BAF" w:rsidP="005451CD">
      <w:pPr>
        <w:spacing w:after="0" w:line="240" w:lineRule="auto"/>
        <w:jc w:val="both"/>
        <w:rPr>
          <w:rFonts w:ascii="Bookman Old Style" w:hAnsi="Bookman Old Style"/>
        </w:rPr>
      </w:pPr>
      <w:r>
        <w:rPr>
          <w:rFonts w:ascii="Bookman Old Style" w:hAnsi="Bookman Old Style"/>
        </w:rPr>
        <w:t>Imagine that we’re thinking of starting a business to produce and sell a new product, organic fertilizer. We can estimate the start-up costs with reasonable accuracy because we know what we’d need to buy to start production. Would this be a good investment?</w:t>
      </w:r>
    </w:p>
    <w:p w14:paraId="745B3AC3" w14:textId="77777777" w:rsidR="00EA3BAF" w:rsidRDefault="00EA3BAF" w:rsidP="005451CD">
      <w:pPr>
        <w:spacing w:after="0" w:line="240" w:lineRule="auto"/>
        <w:jc w:val="both"/>
        <w:rPr>
          <w:rFonts w:ascii="Bookman Old Style" w:hAnsi="Bookman Old Style"/>
        </w:rPr>
      </w:pPr>
    </w:p>
    <w:p w14:paraId="3A562AD8" w14:textId="4423B714" w:rsidR="00EA3BAF" w:rsidRDefault="00EA3BAF" w:rsidP="005451CD">
      <w:pPr>
        <w:spacing w:after="0" w:line="240" w:lineRule="auto"/>
        <w:jc w:val="both"/>
        <w:rPr>
          <w:rFonts w:ascii="Bookman Old Style" w:hAnsi="Bookman Old Style"/>
        </w:rPr>
      </w:pPr>
      <w:r>
        <w:rPr>
          <w:rFonts w:ascii="Bookman Old Style" w:hAnsi="Bookman Old Style"/>
        </w:rPr>
        <w:t>The answer depends on whether the value of the new business exceeds the cost of starting it. Does this investment have a positive NPV?</w:t>
      </w:r>
    </w:p>
    <w:p w14:paraId="3FA1FAEA" w14:textId="77777777" w:rsidR="00EA3BAF" w:rsidRDefault="00EA3BAF" w:rsidP="005451CD">
      <w:pPr>
        <w:spacing w:after="0" w:line="240" w:lineRule="auto"/>
        <w:jc w:val="both"/>
        <w:rPr>
          <w:rFonts w:ascii="Bookman Old Style" w:hAnsi="Bookman Old Style"/>
        </w:rPr>
      </w:pPr>
    </w:p>
    <w:p w14:paraId="29334C77" w14:textId="10F422DF" w:rsidR="00EA3BAF" w:rsidRDefault="00EA3BAF" w:rsidP="005451CD">
      <w:pPr>
        <w:spacing w:after="0" w:line="240" w:lineRule="auto"/>
        <w:jc w:val="both"/>
        <w:rPr>
          <w:rFonts w:ascii="Bookman Old Style" w:hAnsi="Bookman Old Style"/>
        </w:rPr>
      </w:pPr>
      <w:r>
        <w:rPr>
          <w:rFonts w:ascii="Bookman Old Style" w:hAnsi="Bookman Old Style"/>
        </w:rPr>
        <w:t>You might be able to estimate the value of our fertilizer business. We start by trying to estimate future cash flows that we expect the new business to produce. We then apply our basic discounted cash flow procedure to estimate the PV of those cash flows.</w:t>
      </w:r>
    </w:p>
    <w:p w14:paraId="6E7B72E8" w14:textId="77777777" w:rsidR="00EA3BAF" w:rsidRDefault="00EA3BAF" w:rsidP="005451CD">
      <w:pPr>
        <w:spacing w:after="0" w:line="240" w:lineRule="auto"/>
        <w:jc w:val="both"/>
        <w:rPr>
          <w:rFonts w:ascii="Bookman Old Style" w:hAnsi="Bookman Old Style"/>
        </w:rPr>
      </w:pPr>
    </w:p>
    <w:p w14:paraId="00EA90C5" w14:textId="126143B0" w:rsidR="00EA3BAF" w:rsidRDefault="00EA3BAF" w:rsidP="005451CD">
      <w:pPr>
        <w:spacing w:after="0" w:line="240" w:lineRule="auto"/>
        <w:jc w:val="both"/>
        <w:rPr>
          <w:rFonts w:ascii="Bookman Old Style" w:hAnsi="Bookman Old Style"/>
        </w:rPr>
      </w:pPr>
      <w:r>
        <w:rPr>
          <w:rFonts w:ascii="Bookman Old Style" w:hAnsi="Bookman Old Style"/>
        </w:rPr>
        <w:t xml:space="preserve">Once we have this number, we estimate NPV as the difference between the PV of the future cash flows and the cost of the investment. This procedure is called the </w:t>
      </w:r>
      <w:r>
        <w:rPr>
          <w:rFonts w:ascii="Bookman Old Style" w:hAnsi="Bookman Old Style"/>
          <w:b/>
        </w:rPr>
        <w:t>discounted cash flow (DCF) valuation</w:t>
      </w:r>
      <w:r>
        <w:rPr>
          <w:rFonts w:ascii="Bookman Old Style" w:hAnsi="Bookman Old Style"/>
        </w:rPr>
        <w:t>.</w:t>
      </w:r>
    </w:p>
    <w:p w14:paraId="21A35785" w14:textId="77777777" w:rsidR="00EA3BAF" w:rsidRDefault="00EA3BAF" w:rsidP="005451CD">
      <w:pPr>
        <w:spacing w:after="0" w:line="240" w:lineRule="auto"/>
        <w:jc w:val="both"/>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EA3BAF" w14:paraId="75F70BBD" w14:textId="77777777" w:rsidTr="00EA3BAF">
        <w:tc>
          <w:tcPr>
            <w:tcW w:w="9576" w:type="dxa"/>
          </w:tcPr>
          <w:p w14:paraId="218A4DF8" w14:textId="2C6D8156" w:rsidR="00EA3BAF" w:rsidRDefault="00EA3BAF" w:rsidP="005451CD">
            <w:pPr>
              <w:jc w:val="both"/>
              <w:rPr>
                <w:rFonts w:ascii="Bookman Old Style" w:hAnsi="Bookman Old Style"/>
              </w:rPr>
            </w:pPr>
          </w:p>
          <w:p w14:paraId="40342B4A" w14:textId="77777777" w:rsidR="00EA3BAF" w:rsidRDefault="00EA3BAF" w:rsidP="005451CD">
            <w:pPr>
              <w:jc w:val="both"/>
              <w:rPr>
                <w:rFonts w:ascii="Bookman Old Style" w:hAnsi="Bookman Old Style"/>
              </w:rPr>
            </w:pPr>
            <w:r>
              <w:rPr>
                <w:rFonts w:ascii="Bookman Old Style" w:hAnsi="Bookman Old Style"/>
                <w:b/>
              </w:rPr>
              <w:t xml:space="preserve">Discounted Cash Flow (DCF) Valuation </w:t>
            </w:r>
            <w:r>
              <w:rPr>
                <w:rFonts w:ascii="Bookman Old Style" w:hAnsi="Bookman Old Style"/>
              </w:rPr>
              <w:t>– The process of valuing an investment by discounting its future cash flows.</w:t>
            </w:r>
          </w:p>
          <w:p w14:paraId="7E3FF06A" w14:textId="786B1C93" w:rsidR="00EA3BAF" w:rsidRPr="00EA3BAF" w:rsidRDefault="00EA3BAF" w:rsidP="005451CD">
            <w:pPr>
              <w:jc w:val="both"/>
              <w:rPr>
                <w:rFonts w:ascii="Bookman Old Style" w:hAnsi="Bookman Old Style"/>
              </w:rPr>
            </w:pPr>
          </w:p>
        </w:tc>
      </w:tr>
    </w:tbl>
    <w:p w14:paraId="386E7D85" w14:textId="77777777" w:rsidR="00EA3BAF" w:rsidRPr="00EA3BAF" w:rsidRDefault="00EA3BAF" w:rsidP="005451CD">
      <w:pPr>
        <w:spacing w:after="0" w:line="240" w:lineRule="auto"/>
        <w:jc w:val="both"/>
        <w:rPr>
          <w:rFonts w:ascii="Bookman Old Style" w:hAnsi="Bookman Old Style"/>
        </w:rPr>
      </w:pPr>
    </w:p>
    <w:p w14:paraId="43567F22" w14:textId="228053F3" w:rsidR="00B2707B" w:rsidRDefault="00EA3BAF" w:rsidP="005451CD">
      <w:pPr>
        <w:spacing w:after="0" w:line="240" w:lineRule="auto"/>
        <w:contextualSpacing/>
        <w:jc w:val="both"/>
        <w:rPr>
          <w:rFonts w:ascii="Bookman Old Style" w:hAnsi="Bookman Old Style"/>
        </w:rPr>
      </w:pPr>
      <w:r>
        <w:rPr>
          <w:rFonts w:ascii="Bookman Old Style" w:hAnsi="Bookman Old Style"/>
        </w:rPr>
        <w:t>Suppose we believe that the cash revenues from our fertilizer business will be $20,000 per year, assuming everything goes as expected. Cash costs (including taxes) will be $14,000 per year. We’ll wind down the business in 8 years.</w:t>
      </w:r>
    </w:p>
    <w:p w14:paraId="468CCC24" w14:textId="77777777" w:rsidR="00EA3BAF" w:rsidRDefault="00EA3BAF" w:rsidP="005451CD">
      <w:pPr>
        <w:spacing w:after="0" w:line="240" w:lineRule="auto"/>
        <w:contextualSpacing/>
        <w:jc w:val="both"/>
        <w:rPr>
          <w:rFonts w:ascii="Bookman Old Style" w:hAnsi="Bookman Old Style"/>
        </w:rPr>
      </w:pPr>
    </w:p>
    <w:p w14:paraId="30216712" w14:textId="0AAE7756" w:rsidR="00EA3BAF" w:rsidRDefault="00EA3BAF" w:rsidP="005451CD">
      <w:pPr>
        <w:spacing w:after="0" w:line="240" w:lineRule="auto"/>
        <w:contextualSpacing/>
        <w:jc w:val="both"/>
        <w:rPr>
          <w:rFonts w:ascii="Bookman Old Style" w:hAnsi="Bookman Old Style"/>
        </w:rPr>
      </w:pPr>
      <w:r>
        <w:rPr>
          <w:rFonts w:ascii="Bookman Old Style" w:hAnsi="Bookman Old Style"/>
        </w:rPr>
        <w:t xml:space="preserve">The plant, property and equipment will be worth $2000 as salvage at that time. </w:t>
      </w:r>
    </w:p>
    <w:p w14:paraId="6224D83C" w14:textId="77777777" w:rsidR="00EA3BAF" w:rsidRDefault="00EA3BAF" w:rsidP="005451CD">
      <w:pPr>
        <w:spacing w:after="0" w:line="240" w:lineRule="auto"/>
        <w:contextualSpacing/>
        <w:jc w:val="both"/>
        <w:rPr>
          <w:rFonts w:ascii="Bookman Old Style" w:hAnsi="Bookman Old Style"/>
        </w:rPr>
      </w:pPr>
    </w:p>
    <w:p w14:paraId="3A886644" w14:textId="246DBF05" w:rsidR="00EA3BAF" w:rsidRDefault="00EA3BAF" w:rsidP="005451CD">
      <w:pPr>
        <w:spacing w:after="0" w:line="240" w:lineRule="auto"/>
        <w:contextualSpacing/>
        <w:jc w:val="both"/>
        <w:rPr>
          <w:rFonts w:ascii="Bookman Old Style" w:hAnsi="Bookman Old Style"/>
        </w:rPr>
      </w:pPr>
      <w:r>
        <w:rPr>
          <w:rFonts w:ascii="Bookman Old Style" w:hAnsi="Bookman Old Style"/>
        </w:rPr>
        <w:t>The project costs $30,000 to launch.</w:t>
      </w:r>
    </w:p>
    <w:p w14:paraId="2145F936" w14:textId="77777777" w:rsidR="00EA3BAF" w:rsidRDefault="00EA3BAF" w:rsidP="005451CD">
      <w:pPr>
        <w:spacing w:after="0" w:line="240" w:lineRule="auto"/>
        <w:contextualSpacing/>
        <w:jc w:val="both"/>
        <w:rPr>
          <w:rFonts w:ascii="Bookman Old Style" w:hAnsi="Bookman Old Style"/>
        </w:rPr>
      </w:pPr>
    </w:p>
    <w:p w14:paraId="147650A8" w14:textId="1A00EDD0" w:rsidR="00EA3BAF" w:rsidRDefault="00EA3BAF" w:rsidP="005451CD">
      <w:pPr>
        <w:spacing w:after="0" w:line="240" w:lineRule="auto"/>
        <w:contextualSpacing/>
        <w:jc w:val="both"/>
        <w:rPr>
          <w:rFonts w:ascii="Bookman Old Style" w:hAnsi="Bookman Old Style"/>
        </w:rPr>
      </w:pPr>
      <w:r>
        <w:rPr>
          <w:rFonts w:ascii="Bookman Old Style" w:hAnsi="Bookman Old Style"/>
        </w:rPr>
        <w:t>We use a 15% discount rate on new projects such as this one.</w:t>
      </w:r>
    </w:p>
    <w:p w14:paraId="6B3878E1" w14:textId="44011B9C" w:rsidR="00EA3BAF" w:rsidRDefault="00EA3BAF" w:rsidP="005451CD">
      <w:pPr>
        <w:spacing w:after="0" w:line="240" w:lineRule="auto"/>
        <w:contextualSpacing/>
        <w:jc w:val="both"/>
        <w:rPr>
          <w:rFonts w:ascii="Bookman Old Style" w:hAnsi="Bookman Old Style"/>
        </w:rPr>
      </w:pPr>
      <w:r>
        <w:rPr>
          <w:rFonts w:ascii="Bookman Old Style" w:hAnsi="Bookman Old Style"/>
        </w:rPr>
        <w:lastRenderedPageBreak/>
        <w:t>Is this a good investment?</w:t>
      </w:r>
      <w:r w:rsidR="004D0503">
        <w:rPr>
          <w:rFonts w:ascii="Bookman Old Style" w:hAnsi="Bookman Old Style"/>
        </w:rPr>
        <w:t xml:space="preserve"> If there are 1000 shares of stock outstanding, what will be the effect on the price per share from taking it?</w:t>
      </w:r>
    </w:p>
    <w:p w14:paraId="7247B53F" w14:textId="77777777" w:rsidR="004D0503" w:rsidRDefault="004D0503" w:rsidP="005451CD">
      <w:pPr>
        <w:spacing w:after="0" w:line="240" w:lineRule="auto"/>
        <w:contextualSpacing/>
        <w:jc w:val="both"/>
        <w:rPr>
          <w:rFonts w:ascii="Bookman Old Style" w:hAnsi="Bookman Old Style"/>
        </w:rPr>
      </w:pPr>
    </w:p>
    <w:p w14:paraId="798D14E6" w14:textId="55AB21B8" w:rsidR="004D0503" w:rsidRDefault="004D0503" w:rsidP="005451CD">
      <w:pPr>
        <w:spacing w:after="0" w:line="240" w:lineRule="auto"/>
        <w:contextualSpacing/>
        <w:jc w:val="both"/>
        <w:rPr>
          <w:rFonts w:ascii="Bookman Old Style" w:hAnsi="Bookman Old Style"/>
        </w:rPr>
      </w:pPr>
      <w:r>
        <w:rPr>
          <w:rFonts w:ascii="Bookman Old Style" w:hAnsi="Bookman Old Style"/>
        </w:rPr>
        <w:t>We need to calculate the PV of the future cash flows at 15%. The net cash inflow will be $20,000 cash income less $14,000 in costs per year for 8 years.</w:t>
      </w:r>
    </w:p>
    <w:p w14:paraId="07229B44" w14:textId="77777777" w:rsidR="004D0503" w:rsidRDefault="004D0503" w:rsidP="005451CD">
      <w:pPr>
        <w:spacing w:after="0" w:line="240" w:lineRule="auto"/>
        <w:contextualSpacing/>
        <w:jc w:val="both"/>
        <w:rPr>
          <w:rFonts w:ascii="Bookman Old Style" w:hAnsi="Bookman Old Style"/>
        </w:rPr>
      </w:pPr>
    </w:p>
    <w:p w14:paraId="21397B85" w14:textId="5C2383BF" w:rsidR="004D0503" w:rsidRDefault="004D0503" w:rsidP="005451CD">
      <w:pPr>
        <w:spacing w:after="0" w:line="240" w:lineRule="auto"/>
        <w:contextualSpacing/>
        <w:jc w:val="both"/>
        <w:rPr>
          <w:rFonts w:ascii="Bookman Old Style" w:hAnsi="Bookman Old Style"/>
        </w:rPr>
      </w:pPr>
      <w:r>
        <w:rPr>
          <w:rFonts w:ascii="Bookman Old Style" w:hAnsi="Bookman Old Style"/>
        </w:rPr>
        <w:t>So, we effectively have an 8 year annuity of $20,000 - $14,000 = $6000 per year along with a single lump sum inflow of $2000 in 8 years. The total PV is:</w:t>
      </w:r>
    </w:p>
    <w:p w14:paraId="78A13963" w14:textId="77777777" w:rsidR="004D0503" w:rsidRDefault="004D0503" w:rsidP="005451CD">
      <w:pPr>
        <w:spacing w:after="0" w:line="240" w:lineRule="auto"/>
        <w:contextualSpacing/>
        <w:jc w:val="both"/>
        <w:rPr>
          <w:rFonts w:ascii="Bookman Old Style" w:hAnsi="Bookman Old Style"/>
        </w:rPr>
      </w:pPr>
    </w:p>
    <w:p w14:paraId="59822F18" w14:textId="5986875D" w:rsidR="004D0503" w:rsidRDefault="004D0503" w:rsidP="005451CD">
      <w:pPr>
        <w:spacing w:after="0" w:line="240" w:lineRule="auto"/>
        <w:contextualSpacing/>
        <w:jc w:val="center"/>
        <w:rPr>
          <w:rFonts w:ascii="Bookman Old Style" w:hAnsi="Bookman Old Style"/>
        </w:rPr>
      </w:pPr>
      <w:r>
        <w:rPr>
          <w:rFonts w:ascii="Bookman Old Style" w:hAnsi="Bookman Old Style"/>
        </w:rPr>
        <w:t>Present Value</w:t>
      </w:r>
    </w:p>
    <w:p w14:paraId="72559D75" w14:textId="47285FF2" w:rsidR="004D0503" w:rsidRDefault="004D0503" w:rsidP="005451CD">
      <w:pPr>
        <w:spacing w:after="0" w:line="240" w:lineRule="auto"/>
        <w:contextualSpacing/>
        <w:jc w:val="center"/>
        <w:rPr>
          <w:rFonts w:ascii="Bookman Old Style" w:hAnsi="Bookman Old Style"/>
        </w:rPr>
      </w:pPr>
      <w:r>
        <w:rPr>
          <w:rFonts w:ascii="Bookman Old Style" w:hAnsi="Bookman Old Style"/>
        </w:rPr>
        <w:t>=</w:t>
      </w:r>
    </w:p>
    <w:p w14:paraId="29DBA370" w14:textId="77777777" w:rsidR="004D0503" w:rsidRPr="004D0503" w:rsidRDefault="004D0503" w:rsidP="005451CD">
      <w:pPr>
        <w:spacing w:after="0" w:line="240" w:lineRule="auto"/>
        <w:contextualSpacing/>
        <w:jc w:val="both"/>
        <w:rPr>
          <w:rFonts w:ascii="Bookman Old Style" w:eastAsiaTheme="minorEastAsia" w:hAnsi="Bookman Old Style"/>
        </w:rPr>
      </w:pPr>
      <m:oMathPara>
        <m:oMath>
          <m:r>
            <w:rPr>
              <w:rFonts w:ascii="Cambria Math" w:hAnsi="Cambria Math"/>
            </w:rPr>
            <m:t>$6000*</m:t>
          </m:r>
          <m:f>
            <m:fPr>
              <m:ctrlPr>
                <w:rPr>
                  <w:rFonts w:ascii="Cambria Math" w:hAnsi="Cambria Math"/>
                  <w:i/>
                </w:rPr>
              </m:ctrlPr>
            </m:fPr>
            <m:num>
              <m:r>
                <w:rPr>
                  <w:rFonts w:ascii="Cambria Math" w:hAnsi="Cambria Math"/>
                </w:rPr>
                <m:t>1-</m:t>
              </m:r>
              <m:f>
                <m:fPr>
                  <m:ctrlPr>
                    <w:rPr>
                      <w:rFonts w:ascii="Cambria Math" w:hAnsi="Cambria Math"/>
                      <w:i/>
                    </w:rPr>
                  </m:ctrlPr>
                </m:fPr>
                <m:num>
                  <m:r>
                    <w:rPr>
                      <w:rFonts w:ascii="Cambria Math" w:hAnsi="Cambria Math"/>
                    </w:rPr>
                    <m:t>1</m:t>
                  </m:r>
                </m:num>
                <m:den>
                  <m:sSup>
                    <m:sSupPr>
                      <m:ctrlPr>
                        <w:rPr>
                          <w:rFonts w:ascii="Cambria Math" w:hAnsi="Cambria Math"/>
                          <w:i/>
                        </w:rPr>
                      </m:ctrlPr>
                    </m:sSupPr>
                    <m:e>
                      <m:r>
                        <w:rPr>
                          <w:rFonts w:ascii="Cambria Math" w:hAnsi="Cambria Math"/>
                        </w:rPr>
                        <m:t>1.15</m:t>
                      </m:r>
                    </m:e>
                    <m:sup>
                      <m:r>
                        <w:rPr>
                          <w:rFonts w:ascii="Cambria Math" w:hAnsi="Cambria Math"/>
                        </w:rPr>
                        <m:t>8</m:t>
                      </m:r>
                    </m:sup>
                  </m:sSup>
                </m:den>
              </m:f>
            </m:num>
            <m:den>
              <m:r>
                <w:rPr>
                  <w:rFonts w:ascii="Cambria Math" w:hAnsi="Cambria Math"/>
                </w:rPr>
                <m:t>0.15</m:t>
              </m:r>
            </m:den>
          </m:f>
          <m:r>
            <w:rPr>
              <w:rFonts w:ascii="Cambria Math" w:hAnsi="Cambria Math"/>
            </w:rPr>
            <m:t>+</m:t>
          </m:r>
          <m:f>
            <m:fPr>
              <m:ctrlPr>
                <w:rPr>
                  <w:rFonts w:ascii="Cambria Math" w:hAnsi="Cambria Math"/>
                  <w:i/>
                </w:rPr>
              </m:ctrlPr>
            </m:fPr>
            <m:num>
              <m:r>
                <w:rPr>
                  <w:rFonts w:ascii="Cambria Math" w:hAnsi="Cambria Math"/>
                </w:rPr>
                <m:t>2000</m:t>
              </m:r>
            </m:num>
            <m:den>
              <m:sSup>
                <m:sSupPr>
                  <m:ctrlPr>
                    <w:rPr>
                      <w:rFonts w:ascii="Cambria Math" w:hAnsi="Cambria Math"/>
                      <w:i/>
                    </w:rPr>
                  </m:ctrlPr>
                </m:sSupPr>
                <m:e>
                  <m:r>
                    <w:rPr>
                      <w:rFonts w:ascii="Cambria Math" w:hAnsi="Cambria Math"/>
                    </w:rPr>
                    <m:t>1.15</m:t>
                  </m:r>
                </m:e>
                <m:sup>
                  <m:r>
                    <w:rPr>
                      <w:rFonts w:ascii="Cambria Math" w:hAnsi="Cambria Math"/>
                    </w:rPr>
                    <m:t>8</m:t>
                  </m:r>
                </m:sup>
              </m:sSup>
            </m:den>
          </m:f>
        </m:oMath>
      </m:oMathPara>
    </w:p>
    <w:p w14:paraId="1010C111" w14:textId="77777777" w:rsidR="004D0503" w:rsidRPr="004D0503" w:rsidRDefault="004D0503" w:rsidP="005451CD">
      <w:pPr>
        <w:spacing w:after="0" w:line="240" w:lineRule="auto"/>
        <w:contextualSpacing/>
        <w:jc w:val="both"/>
        <w:rPr>
          <w:rFonts w:ascii="Bookman Old Style" w:eastAsiaTheme="minorEastAsia" w:hAnsi="Bookman Old Style"/>
        </w:rPr>
      </w:pPr>
      <m:oMathPara>
        <m:oMath>
          <m:r>
            <w:rPr>
              <w:rFonts w:ascii="Cambria Math" w:eastAsiaTheme="minorEastAsia" w:hAnsi="Cambria Math"/>
            </w:rPr>
            <m:t>=</m:t>
          </m:r>
        </m:oMath>
      </m:oMathPara>
    </w:p>
    <w:p w14:paraId="7FB01C68" w14:textId="77777777" w:rsidR="004D0503" w:rsidRPr="004D0503" w:rsidRDefault="004D0503" w:rsidP="005451CD">
      <w:pPr>
        <w:spacing w:after="0" w:line="240" w:lineRule="auto"/>
        <w:contextualSpacing/>
        <w:jc w:val="both"/>
        <w:rPr>
          <w:rFonts w:ascii="Bookman Old Style" w:eastAsiaTheme="minorEastAsia" w:hAnsi="Bookman Old Style"/>
        </w:rPr>
      </w:pPr>
      <m:oMathPara>
        <m:oMath>
          <m:r>
            <w:rPr>
              <w:rFonts w:ascii="Cambria Math" w:eastAsiaTheme="minorEastAsia" w:hAnsi="Cambria Math"/>
            </w:rPr>
            <m:t>6000*4.4873+</m:t>
          </m:r>
          <m:f>
            <m:fPr>
              <m:ctrlPr>
                <w:rPr>
                  <w:rFonts w:ascii="Cambria Math" w:eastAsiaTheme="minorEastAsia" w:hAnsi="Cambria Math"/>
                  <w:i/>
                </w:rPr>
              </m:ctrlPr>
            </m:fPr>
            <m:num>
              <m:r>
                <w:rPr>
                  <w:rFonts w:ascii="Cambria Math" w:eastAsiaTheme="minorEastAsia" w:hAnsi="Cambria Math"/>
                </w:rPr>
                <m:t>2000</m:t>
              </m:r>
            </m:num>
            <m:den>
              <m:r>
                <w:rPr>
                  <w:rFonts w:ascii="Cambria Math" w:eastAsiaTheme="minorEastAsia" w:hAnsi="Cambria Math"/>
                </w:rPr>
                <m:t>3.0590</m:t>
              </m:r>
            </m:den>
          </m:f>
        </m:oMath>
      </m:oMathPara>
    </w:p>
    <w:p w14:paraId="3BEC697C" w14:textId="69825E49" w:rsidR="004D0503" w:rsidRPr="004D0503" w:rsidRDefault="004D0503" w:rsidP="005451CD">
      <w:pPr>
        <w:spacing w:after="0" w:line="240" w:lineRule="auto"/>
        <w:contextualSpacing/>
        <w:jc w:val="both"/>
        <w:rPr>
          <w:rFonts w:ascii="Bookman Old Style" w:eastAsiaTheme="minorEastAsia" w:hAnsi="Bookman Old Style"/>
        </w:rPr>
      </w:pPr>
      <m:oMathPara>
        <m:oMath>
          <m:r>
            <w:rPr>
              <w:rFonts w:ascii="Cambria Math" w:eastAsiaTheme="minorEastAsia" w:hAnsi="Cambria Math"/>
            </w:rPr>
            <m:t>=</m:t>
          </m:r>
        </m:oMath>
      </m:oMathPara>
    </w:p>
    <w:p w14:paraId="13322027" w14:textId="77777777" w:rsidR="004D0503" w:rsidRPr="004D0503" w:rsidRDefault="004D0503" w:rsidP="005451CD">
      <w:pPr>
        <w:spacing w:after="0" w:line="240" w:lineRule="auto"/>
        <w:contextualSpacing/>
        <w:jc w:val="both"/>
        <w:rPr>
          <w:rFonts w:ascii="Bookman Old Style" w:eastAsiaTheme="minorEastAsia" w:hAnsi="Bookman Old Style"/>
        </w:rPr>
      </w:pPr>
      <m:oMathPara>
        <m:oMath>
          <m:r>
            <w:rPr>
              <w:rFonts w:ascii="Cambria Math" w:eastAsiaTheme="minorEastAsia" w:hAnsi="Cambria Math"/>
            </w:rPr>
            <m:t>26,924+654</m:t>
          </m:r>
        </m:oMath>
      </m:oMathPara>
    </w:p>
    <w:p w14:paraId="43811088" w14:textId="77777777" w:rsidR="004D0503" w:rsidRPr="004D0503" w:rsidRDefault="004D0503" w:rsidP="005451CD">
      <w:pPr>
        <w:spacing w:after="0" w:line="240" w:lineRule="auto"/>
        <w:contextualSpacing/>
        <w:jc w:val="both"/>
        <w:rPr>
          <w:rFonts w:ascii="Bookman Old Style" w:eastAsiaTheme="minorEastAsia" w:hAnsi="Bookman Old Style"/>
        </w:rPr>
      </w:pPr>
      <m:oMathPara>
        <m:oMath>
          <m:r>
            <w:rPr>
              <w:rFonts w:ascii="Cambria Math" w:eastAsiaTheme="minorEastAsia" w:hAnsi="Cambria Math"/>
            </w:rPr>
            <m:t>=</m:t>
          </m:r>
        </m:oMath>
      </m:oMathPara>
    </w:p>
    <w:p w14:paraId="1903F05A" w14:textId="49641BCE" w:rsidR="004D0503" w:rsidRPr="004D0503" w:rsidRDefault="004D0503" w:rsidP="005451CD">
      <w:pPr>
        <w:spacing w:after="0" w:line="240" w:lineRule="auto"/>
        <w:contextualSpacing/>
        <w:jc w:val="both"/>
        <w:rPr>
          <w:rFonts w:ascii="Bookman Old Style" w:eastAsiaTheme="minorEastAsia" w:hAnsi="Bookman Old Style"/>
        </w:rPr>
      </w:pPr>
      <m:oMathPara>
        <m:oMath>
          <m:r>
            <w:rPr>
              <w:rFonts w:ascii="Cambria Math" w:eastAsiaTheme="minorEastAsia" w:hAnsi="Cambria Math"/>
            </w:rPr>
            <m:t>$27,578</m:t>
          </m:r>
        </m:oMath>
      </m:oMathPara>
    </w:p>
    <w:p w14:paraId="257F4A00" w14:textId="77777777" w:rsidR="004D0503" w:rsidRPr="004D0503" w:rsidRDefault="004D0503" w:rsidP="005451CD">
      <w:pPr>
        <w:spacing w:after="0" w:line="240" w:lineRule="auto"/>
        <w:contextualSpacing/>
        <w:jc w:val="both"/>
        <w:rPr>
          <w:rFonts w:ascii="Bookman Old Style" w:eastAsiaTheme="minorEastAsia" w:hAnsi="Bookman Old Style"/>
        </w:rPr>
      </w:pPr>
    </w:p>
    <w:p w14:paraId="05ABD3D7" w14:textId="23794E2D" w:rsidR="004D0503" w:rsidRDefault="004D0503" w:rsidP="005451CD">
      <w:pPr>
        <w:spacing w:after="0" w:line="240" w:lineRule="auto"/>
        <w:contextualSpacing/>
        <w:jc w:val="both"/>
        <w:rPr>
          <w:rFonts w:ascii="Bookman Old Style" w:eastAsiaTheme="minorEastAsia" w:hAnsi="Bookman Old Style"/>
        </w:rPr>
      </w:pPr>
      <w:r>
        <w:rPr>
          <w:rFonts w:ascii="Bookman Old Style" w:eastAsiaTheme="minorEastAsia" w:hAnsi="Bookman Old Style"/>
        </w:rPr>
        <w:t>When we compare this to the $30,000 estimated cost, the NPV is:</w:t>
      </w:r>
    </w:p>
    <w:p w14:paraId="208B84FB" w14:textId="77777777" w:rsidR="004D0503" w:rsidRDefault="004D0503" w:rsidP="005451CD">
      <w:pPr>
        <w:spacing w:after="0" w:line="240" w:lineRule="auto"/>
        <w:contextualSpacing/>
        <w:jc w:val="both"/>
        <w:rPr>
          <w:rFonts w:ascii="Bookman Old Style" w:eastAsiaTheme="minorEastAsia" w:hAnsi="Bookman Old Style"/>
        </w:rPr>
      </w:pPr>
    </w:p>
    <w:p w14:paraId="7FB8E8A3" w14:textId="6B5664A6" w:rsidR="004D0503" w:rsidRDefault="004D0503" w:rsidP="005451CD">
      <w:pPr>
        <w:spacing w:after="0" w:line="240" w:lineRule="auto"/>
        <w:contextualSpacing/>
        <w:jc w:val="center"/>
        <w:rPr>
          <w:rFonts w:ascii="Bookman Old Style" w:eastAsiaTheme="minorEastAsia" w:hAnsi="Bookman Old Style"/>
        </w:rPr>
      </w:pPr>
      <w:r>
        <w:rPr>
          <w:rFonts w:ascii="Bookman Old Style" w:eastAsiaTheme="minorEastAsia" w:hAnsi="Bookman Old Style"/>
        </w:rPr>
        <w:t>NPV = -$30,000 + $27,578 = -$2,422</w:t>
      </w:r>
    </w:p>
    <w:p w14:paraId="73C1C2AD" w14:textId="77777777" w:rsidR="004D0503" w:rsidRPr="004D0503" w:rsidRDefault="004D0503" w:rsidP="005451CD">
      <w:pPr>
        <w:spacing w:after="0" w:line="240" w:lineRule="auto"/>
        <w:contextualSpacing/>
        <w:jc w:val="both"/>
        <w:rPr>
          <w:rFonts w:ascii="Bookman Old Style" w:eastAsiaTheme="minorEastAsia" w:hAnsi="Bookman Old Style"/>
        </w:rPr>
      </w:pPr>
    </w:p>
    <w:p w14:paraId="3039ECD0" w14:textId="4DA3A434" w:rsidR="004D0503" w:rsidRDefault="004D0503" w:rsidP="005451CD">
      <w:pPr>
        <w:spacing w:after="0" w:line="240" w:lineRule="auto"/>
        <w:contextualSpacing/>
        <w:jc w:val="both"/>
        <w:rPr>
          <w:rFonts w:ascii="Bookman Old Style" w:eastAsiaTheme="minorEastAsia" w:hAnsi="Bookman Old Style"/>
        </w:rPr>
      </w:pPr>
      <w:r>
        <w:rPr>
          <w:rFonts w:ascii="Bookman Old Style" w:eastAsiaTheme="minorEastAsia" w:hAnsi="Bookman Old Style"/>
        </w:rPr>
        <w:t>So this isn’t a good investment. Based on our estimates, taking it would decrease the total value of the stock by $2422. With 1000 shares outstanding, our best estimate of the impact of this project is a loss of value of $2422/1000 = $2.422 per share.</w:t>
      </w:r>
    </w:p>
    <w:p w14:paraId="4665E233" w14:textId="77777777" w:rsidR="004D0503" w:rsidRDefault="004D0503" w:rsidP="005451CD">
      <w:pPr>
        <w:spacing w:after="0" w:line="240" w:lineRule="auto"/>
        <w:contextualSpacing/>
        <w:jc w:val="both"/>
        <w:rPr>
          <w:rFonts w:ascii="Bookman Old Style" w:eastAsiaTheme="minorEastAsia" w:hAnsi="Bookman Old Style"/>
        </w:rPr>
      </w:pPr>
    </w:p>
    <w:p w14:paraId="19DF4B64" w14:textId="5D2B4290" w:rsidR="004D0503" w:rsidRDefault="004D0503" w:rsidP="005451CD">
      <w:pPr>
        <w:spacing w:after="0" w:line="240" w:lineRule="auto"/>
        <w:contextualSpacing/>
        <w:jc w:val="both"/>
        <w:rPr>
          <w:rFonts w:ascii="Bookman Old Style" w:eastAsiaTheme="minorEastAsia" w:hAnsi="Bookman Old Style"/>
        </w:rPr>
      </w:pPr>
      <w:r>
        <w:rPr>
          <w:rFonts w:ascii="Bookman Old Style" w:eastAsiaTheme="minorEastAsia" w:hAnsi="Bookman Old Style"/>
        </w:rPr>
        <w:t xml:space="preserve">This example shows us how NPV estimates can help determine whether or not an investment is desirable. Notice that if the NPV is </w:t>
      </w:r>
      <w:r>
        <w:rPr>
          <w:rFonts w:ascii="Bookman Old Style" w:eastAsiaTheme="minorEastAsia" w:hAnsi="Bookman Old Style"/>
          <w:u w:val="single"/>
        </w:rPr>
        <w:t>negative</w:t>
      </w:r>
      <w:r>
        <w:rPr>
          <w:rFonts w:ascii="Bookman Old Style" w:eastAsiaTheme="minorEastAsia" w:hAnsi="Bookman Old Style"/>
        </w:rPr>
        <w:t>, the effect on the share value would be unfavorable.</w:t>
      </w:r>
    </w:p>
    <w:p w14:paraId="5FA57A6F" w14:textId="77777777" w:rsidR="004D0503" w:rsidRDefault="004D0503" w:rsidP="005451CD">
      <w:pPr>
        <w:spacing w:after="0" w:line="240" w:lineRule="auto"/>
        <w:contextualSpacing/>
        <w:jc w:val="both"/>
        <w:rPr>
          <w:rFonts w:ascii="Bookman Old Style" w:eastAsiaTheme="minorEastAsia" w:hAnsi="Bookman Old Style"/>
        </w:rPr>
      </w:pPr>
    </w:p>
    <w:p w14:paraId="6A56D248" w14:textId="14F3CA49" w:rsidR="004D0503" w:rsidRDefault="004D0503" w:rsidP="005451CD">
      <w:pPr>
        <w:spacing w:after="0" w:line="240" w:lineRule="auto"/>
        <w:contextualSpacing/>
        <w:jc w:val="both"/>
        <w:rPr>
          <w:rFonts w:ascii="Bookman Old Style" w:eastAsiaTheme="minorEastAsia" w:hAnsi="Bookman Old Style"/>
        </w:rPr>
      </w:pPr>
      <w:r>
        <w:rPr>
          <w:rFonts w:ascii="Bookman Old Style" w:eastAsiaTheme="minorEastAsia" w:hAnsi="Bookman Old Style"/>
        </w:rPr>
        <w:t xml:space="preserve">If the NPV is </w:t>
      </w:r>
      <w:r>
        <w:rPr>
          <w:rFonts w:ascii="Bookman Old Style" w:eastAsiaTheme="minorEastAsia" w:hAnsi="Bookman Old Style"/>
          <w:u w:val="single"/>
        </w:rPr>
        <w:t>positive</w:t>
      </w:r>
      <w:r>
        <w:rPr>
          <w:rFonts w:ascii="Bookman Old Style" w:eastAsiaTheme="minorEastAsia" w:hAnsi="Bookman Old Style"/>
        </w:rPr>
        <w:t>, the effect on the share value would be favorable.</w:t>
      </w:r>
    </w:p>
    <w:p w14:paraId="54F34D92" w14:textId="77777777" w:rsidR="004D0503" w:rsidRDefault="004D0503" w:rsidP="005451CD">
      <w:pPr>
        <w:spacing w:after="0" w:line="240" w:lineRule="auto"/>
        <w:contextualSpacing/>
        <w:jc w:val="both"/>
        <w:rPr>
          <w:rFonts w:ascii="Bookman Old Style" w:eastAsiaTheme="minorEastAsia" w:hAnsi="Bookman Old Style"/>
        </w:rPr>
      </w:pPr>
    </w:p>
    <w:p w14:paraId="67A409BD" w14:textId="4C0C339F" w:rsidR="004D0503" w:rsidRDefault="004D0503" w:rsidP="005451CD">
      <w:pPr>
        <w:spacing w:after="0" w:line="240" w:lineRule="auto"/>
        <w:contextualSpacing/>
        <w:jc w:val="both"/>
        <w:rPr>
          <w:rFonts w:ascii="Bookman Old Style" w:eastAsiaTheme="minorEastAsia" w:hAnsi="Bookman Old Style"/>
        </w:rPr>
      </w:pPr>
      <w:r>
        <w:rPr>
          <w:rFonts w:ascii="Bookman Old Style" w:eastAsiaTheme="minorEastAsia" w:hAnsi="Bookman Old Style"/>
        </w:rPr>
        <w:t>As a result, all we need to know about a particular proposal for the purpose of making an accept/reject decision is whether the NPV is positive or negative.</w:t>
      </w:r>
    </w:p>
    <w:p w14:paraId="1B1692D8" w14:textId="77777777" w:rsidR="004D0503" w:rsidRDefault="004D0503" w:rsidP="005451CD">
      <w:pPr>
        <w:spacing w:after="0" w:line="240" w:lineRule="auto"/>
        <w:contextualSpacing/>
        <w:jc w:val="both"/>
        <w:rPr>
          <w:rFonts w:ascii="Bookman Old Style" w:eastAsiaTheme="minorEastAsia" w:hAnsi="Bookman Old Style"/>
        </w:rPr>
      </w:pPr>
    </w:p>
    <w:tbl>
      <w:tblPr>
        <w:tblStyle w:val="TableGrid"/>
        <w:tblW w:w="0" w:type="auto"/>
        <w:tblBorders>
          <w:top w:val="dashDotStroked" w:sz="24" w:space="0" w:color="auto"/>
          <w:left w:val="dashDotStroked" w:sz="24" w:space="0" w:color="auto"/>
          <w:bottom w:val="dashDotStroked" w:sz="24" w:space="0" w:color="auto"/>
          <w:right w:val="dashDotStroked" w:sz="24" w:space="0" w:color="auto"/>
          <w:insideH w:val="dashDotStroked" w:sz="24" w:space="0" w:color="auto"/>
          <w:insideV w:val="dashDotStroked" w:sz="24" w:space="0" w:color="auto"/>
        </w:tblBorders>
        <w:tblLook w:val="04A0" w:firstRow="1" w:lastRow="0" w:firstColumn="1" w:lastColumn="0" w:noHBand="0" w:noVBand="1"/>
      </w:tblPr>
      <w:tblGrid>
        <w:gridCol w:w="9576"/>
      </w:tblGrid>
      <w:tr w:rsidR="004D0503" w14:paraId="47CCE625" w14:textId="77777777" w:rsidTr="004D0503">
        <w:tc>
          <w:tcPr>
            <w:tcW w:w="9576" w:type="dxa"/>
          </w:tcPr>
          <w:p w14:paraId="1AA5EBCA" w14:textId="66CAD20A" w:rsidR="004D0503" w:rsidRDefault="004D0503" w:rsidP="005451CD">
            <w:pPr>
              <w:contextualSpacing/>
              <w:jc w:val="center"/>
              <w:rPr>
                <w:rFonts w:ascii="Bookman Old Style" w:hAnsi="Bookman Old Style"/>
                <w:b/>
                <w:sz w:val="24"/>
                <w:u w:val="single"/>
              </w:rPr>
            </w:pPr>
          </w:p>
          <w:p w14:paraId="2AE41BBB" w14:textId="77777777" w:rsidR="004D0503" w:rsidRDefault="004D0503" w:rsidP="005451CD">
            <w:pPr>
              <w:contextualSpacing/>
              <w:jc w:val="center"/>
              <w:rPr>
                <w:rFonts w:ascii="Bookman Old Style" w:eastAsiaTheme="minorEastAsia" w:hAnsi="Bookman Old Style"/>
                <w:b/>
              </w:rPr>
            </w:pPr>
            <w:r>
              <w:rPr>
                <w:rFonts w:ascii="Bookman Old Style" w:eastAsiaTheme="minorEastAsia" w:hAnsi="Bookman Old Style"/>
                <w:b/>
              </w:rPr>
              <w:t>Net Present Value Rule:</w:t>
            </w:r>
          </w:p>
          <w:p w14:paraId="4145D4B6" w14:textId="77777777" w:rsidR="004D0503" w:rsidRDefault="004D0503" w:rsidP="005451CD">
            <w:pPr>
              <w:contextualSpacing/>
              <w:jc w:val="center"/>
              <w:rPr>
                <w:rFonts w:ascii="Bookman Old Style" w:eastAsiaTheme="minorEastAsia" w:hAnsi="Bookman Old Style"/>
                <w:b/>
              </w:rPr>
            </w:pPr>
          </w:p>
          <w:p w14:paraId="0C104244" w14:textId="77777777" w:rsidR="004D0503" w:rsidRDefault="004D0503" w:rsidP="005451CD">
            <w:pPr>
              <w:contextualSpacing/>
              <w:jc w:val="center"/>
              <w:rPr>
                <w:rFonts w:ascii="Bookman Old Style" w:eastAsiaTheme="minorEastAsia" w:hAnsi="Bookman Old Style"/>
              </w:rPr>
            </w:pPr>
            <w:r>
              <w:rPr>
                <w:rFonts w:ascii="Bookman Old Style" w:eastAsiaTheme="minorEastAsia" w:hAnsi="Bookman Old Style"/>
              </w:rPr>
              <w:t>An investment should be accepted if the net present value is positive and rejected if it’s negative.</w:t>
            </w:r>
          </w:p>
          <w:p w14:paraId="4A26A676" w14:textId="1CA549E3" w:rsidR="004D0503" w:rsidRPr="004D0503" w:rsidRDefault="004D0503" w:rsidP="005451CD">
            <w:pPr>
              <w:contextualSpacing/>
              <w:jc w:val="center"/>
              <w:rPr>
                <w:rFonts w:ascii="Bookman Old Style" w:hAnsi="Bookman Old Style"/>
                <w:sz w:val="24"/>
                <w:u w:val="single"/>
              </w:rPr>
            </w:pPr>
          </w:p>
        </w:tc>
      </w:tr>
    </w:tbl>
    <w:p w14:paraId="0B33039B" w14:textId="77777777" w:rsidR="006E2B76" w:rsidRDefault="006E2B76" w:rsidP="005451CD">
      <w:pPr>
        <w:spacing w:after="0" w:line="240" w:lineRule="auto"/>
        <w:contextualSpacing/>
        <w:jc w:val="center"/>
        <w:rPr>
          <w:rFonts w:ascii="Bookman Old Style" w:hAnsi="Bookman Old Style"/>
          <w:b/>
          <w:sz w:val="24"/>
          <w:u w:val="single"/>
        </w:rPr>
      </w:pPr>
    </w:p>
    <w:p w14:paraId="7F50EC7B" w14:textId="247E7D93" w:rsidR="00EC5838" w:rsidRDefault="00EC5838" w:rsidP="005451CD">
      <w:pPr>
        <w:spacing w:after="0" w:line="240" w:lineRule="auto"/>
        <w:contextualSpacing/>
        <w:jc w:val="both"/>
        <w:rPr>
          <w:rFonts w:ascii="Bookman Old Style" w:eastAsiaTheme="minorEastAsia" w:hAnsi="Bookman Old Style"/>
        </w:rPr>
      </w:pPr>
      <w:r>
        <w:rPr>
          <w:rFonts w:ascii="Bookman Old Style" w:eastAsiaTheme="minorEastAsia" w:hAnsi="Bookman Old Style"/>
        </w:rPr>
        <w:t>In the unlikely event that the NPV is 0, we’d be indifferent to taking the investment or not taking it.</w:t>
      </w:r>
    </w:p>
    <w:p w14:paraId="198F2B58" w14:textId="77777777" w:rsidR="00EC5838" w:rsidRDefault="00EC5838" w:rsidP="005451CD">
      <w:pPr>
        <w:spacing w:after="0" w:line="240" w:lineRule="auto"/>
        <w:contextualSpacing/>
        <w:jc w:val="both"/>
        <w:rPr>
          <w:rFonts w:ascii="Bookman Old Style" w:eastAsiaTheme="minorEastAsia" w:hAnsi="Bookman Old Style"/>
        </w:rPr>
      </w:pPr>
    </w:p>
    <w:p w14:paraId="23A4497E" w14:textId="68247AA5" w:rsidR="00EC5838" w:rsidRDefault="00EC5838" w:rsidP="005451CD">
      <w:pPr>
        <w:spacing w:after="0" w:line="240" w:lineRule="auto"/>
        <w:contextualSpacing/>
        <w:jc w:val="both"/>
        <w:rPr>
          <w:rFonts w:ascii="Bookman Old Style" w:eastAsiaTheme="minorEastAsia" w:hAnsi="Bookman Old Style"/>
        </w:rPr>
      </w:pPr>
      <w:r>
        <w:rPr>
          <w:rFonts w:ascii="Bookman Old Style" w:eastAsiaTheme="minorEastAsia" w:hAnsi="Bookman Old Style"/>
        </w:rPr>
        <w:lastRenderedPageBreak/>
        <w:t>2 comments about our example:</w:t>
      </w:r>
    </w:p>
    <w:p w14:paraId="70A43F7C" w14:textId="77777777" w:rsidR="00EC5838" w:rsidRDefault="00EC5838" w:rsidP="005451CD">
      <w:pPr>
        <w:spacing w:after="0" w:line="240" w:lineRule="auto"/>
        <w:contextualSpacing/>
        <w:jc w:val="both"/>
        <w:rPr>
          <w:rFonts w:ascii="Bookman Old Style" w:eastAsiaTheme="minorEastAsia" w:hAnsi="Bookman Old Style"/>
        </w:rPr>
      </w:pPr>
    </w:p>
    <w:p w14:paraId="5A81FCDB" w14:textId="0AB73375" w:rsidR="00EC5838" w:rsidRPr="00EC5838" w:rsidRDefault="00EC5838" w:rsidP="005451CD">
      <w:pPr>
        <w:pStyle w:val="ListParagraph"/>
        <w:numPr>
          <w:ilvl w:val="0"/>
          <w:numId w:val="33"/>
        </w:numPr>
        <w:spacing w:after="0" w:line="240" w:lineRule="auto"/>
        <w:jc w:val="both"/>
        <w:rPr>
          <w:rFonts w:ascii="Bookman Old Style" w:hAnsi="Bookman Old Style"/>
          <w:b/>
          <w:sz w:val="24"/>
          <w:u w:val="single"/>
        </w:rPr>
      </w:pPr>
      <w:r>
        <w:rPr>
          <w:rFonts w:ascii="Bookman Old Style" w:eastAsiaTheme="minorEastAsia" w:hAnsi="Bookman Old Style"/>
        </w:rPr>
        <w:t>It’s not the mechanical process of discounting the cash flows that’s important. Once we have the cash flows and the appropriate discount rate, the required calculations are fairly straightforward.</w:t>
      </w:r>
    </w:p>
    <w:p w14:paraId="1B724B15" w14:textId="77777777" w:rsidR="00EC5838" w:rsidRDefault="00EC5838" w:rsidP="005451CD">
      <w:pPr>
        <w:spacing w:after="0" w:line="240" w:lineRule="auto"/>
        <w:jc w:val="both"/>
        <w:rPr>
          <w:rFonts w:ascii="Bookman Old Style" w:hAnsi="Bookman Old Style"/>
          <w:b/>
          <w:sz w:val="24"/>
          <w:u w:val="single"/>
        </w:rPr>
      </w:pPr>
    </w:p>
    <w:p w14:paraId="01E74B43" w14:textId="7414028A" w:rsidR="00EC5838" w:rsidRDefault="00EC5838" w:rsidP="005451CD">
      <w:pPr>
        <w:spacing w:after="0" w:line="240" w:lineRule="auto"/>
        <w:ind w:left="720"/>
        <w:jc w:val="both"/>
        <w:rPr>
          <w:rFonts w:ascii="Bookman Old Style" w:eastAsiaTheme="minorEastAsia" w:hAnsi="Bookman Old Style"/>
        </w:rPr>
      </w:pPr>
      <w:r>
        <w:rPr>
          <w:rFonts w:ascii="Bookman Old Style" w:eastAsiaTheme="minorEastAsia" w:hAnsi="Bookman Old Style"/>
        </w:rPr>
        <w:t>Coming up with the cash flows and the discount rate in the first place is more challenging. Right now, we take it as given that we have estimates of the cash revenues and costs and, where needed, an appropriate discount rate.</w:t>
      </w:r>
    </w:p>
    <w:p w14:paraId="3EB250A8" w14:textId="77777777" w:rsidR="00EC5838" w:rsidRDefault="00EC5838" w:rsidP="005451CD">
      <w:pPr>
        <w:spacing w:after="0" w:line="240" w:lineRule="auto"/>
        <w:jc w:val="both"/>
        <w:rPr>
          <w:rFonts w:ascii="Bookman Old Style" w:eastAsiaTheme="minorEastAsia" w:hAnsi="Bookman Old Style"/>
        </w:rPr>
      </w:pPr>
    </w:p>
    <w:p w14:paraId="59CD25DB" w14:textId="33458284" w:rsidR="00EC5838" w:rsidRPr="00EC5838" w:rsidRDefault="00EC5838" w:rsidP="005451CD">
      <w:pPr>
        <w:pStyle w:val="ListParagraph"/>
        <w:numPr>
          <w:ilvl w:val="0"/>
          <w:numId w:val="33"/>
        </w:numPr>
        <w:spacing w:after="0" w:line="240" w:lineRule="auto"/>
        <w:jc w:val="both"/>
        <w:rPr>
          <w:rFonts w:ascii="Bookman Old Style" w:hAnsi="Bookman Old Style"/>
          <w:b/>
          <w:sz w:val="24"/>
          <w:u w:val="single"/>
        </w:rPr>
      </w:pPr>
      <w:r>
        <w:rPr>
          <w:rFonts w:ascii="Bookman Old Style" w:eastAsiaTheme="minorEastAsia" w:hAnsi="Bookman Old Style"/>
        </w:rPr>
        <w:t>The $2422 NPV is an estimate – it can be high or low. The only way to find out the true NPV would be to place the investment up for sale and see what we’d get for it. We generally won’t be doing this, so it’s important that our estimates are reliable.</w:t>
      </w:r>
    </w:p>
    <w:p w14:paraId="1ABBD776" w14:textId="77777777" w:rsidR="00EC5838" w:rsidRDefault="00EC5838" w:rsidP="005451CD">
      <w:pPr>
        <w:spacing w:after="0" w:line="240" w:lineRule="auto"/>
        <w:jc w:val="both"/>
        <w:rPr>
          <w:rFonts w:ascii="Bookman Old Style" w:hAnsi="Bookman Old Style"/>
          <w:b/>
          <w:sz w:val="24"/>
          <w:u w:val="single"/>
        </w:rPr>
      </w:pPr>
    </w:p>
    <w:p w14:paraId="0EC39080" w14:textId="31432AFB" w:rsidR="00EC5838" w:rsidRDefault="00EC5838" w:rsidP="005451CD">
      <w:pPr>
        <w:spacing w:after="0" w:line="240" w:lineRule="auto"/>
        <w:jc w:val="both"/>
        <w:rPr>
          <w:rFonts w:ascii="Bookman Old Style" w:eastAsiaTheme="minorEastAsia" w:hAnsi="Bookman Old Style"/>
        </w:rPr>
      </w:pPr>
      <w:r>
        <w:rPr>
          <w:rFonts w:ascii="Bookman Old Style" w:eastAsiaTheme="minorEastAsia" w:hAnsi="Bookman Old Style"/>
        </w:rPr>
        <w:t>If we go back to the decision criteria set out earlier, we can see that the NPV method of valuation meets all 3 conditions – it adjusts cash flows for both the time value of money and risk through the choice of discount rate; the NPV figure itself tells us how much value will be created with the investment.</w:t>
      </w:r>
    </w:p>
    <w:p w14:paraId="20247257" w14:textId="77777777" w:rsidR="00EC5838" w:rsidRDefault="00EC5838" w:rsidP="005451CD">
      <w:pPr>
        <w:spacing w:after="0" w:line="240" w:lineRule="auto"/>
        <w:jc w:val="both"/>
        <w:rPr>
          <w:rFonts w:ascii="Bookman Old Style" w:eastAsiaTheme="minorEastAsia" w:hAnsi="Bookman Old Style"/>
        </w:rPr>
      </w:pPr>
    </w:p>
    <w:p w14:paraId="78D49B93" w14:textId="736EFE01" w:rsidR="00EC5838" w:rsidRDefault="00EC5838" w:rsidP="005451CD">
      <w:pPr>
        <w:spacing w:after="0" w:line="240" w:lineRule="auto"/>
        <w:jc w:val="both"/>
        <w:rPr>
          <w:rFonts w:ascii="Bookman Old Style" w:eastAsiaTheme="minorEastAsia" w:hAnsi="Bookman Old Style"/>
        </w:rPr>
      </w:pPr>
      <w:r>
        <w:rPr>
          <w:rFonts w:ascii="Bookman Old Style" w:eastAsiaTheme="minorEastAsia" w:hAnsi="Bookman Old Style"/>
        </w:rPr>
        <w:t>But the NPV method isn’t the only way of assessing profitability. But when compared to NPV, each of the ways we’ll look at is flawed in some way. So NPV is the preferred approach in principle.</w:t>
      </w:r>
    </w:p>
    <w:p w14:paraId="72138F57" w14:textId="77777777" w:rsidR="00EC5838" w:rsidRDefault="00EC5838" w:rsidP="005451CD">
      <w:pPr>
        <w:spacing w:after="0" w:line="240" w:lineRule="auto"/>
        <w:jc w:val="both"/>
        <w:rPr>
          <w:rFonts w:ascii="Bookman Old Style" w:eastAsiaTheme="minorEastAsia"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EC5838" w14:paraId="27491034" w14:textId="77777777" w:rsidTr="00EC5838">
        <w:tc>
          <w:tcPr>
            <w:tcW w:w="9576" w:type="dxa"/>
          </w:tcPr>
          <w:p w14:paraId="38FF5D6D" w14:textId="77777777" w:rsidR="00EC5838" w:rsidRDefault="00EC5838" w:rsidP="005451CD">
            <w:pPr>
              <w:jc w:val="both"/>
              <w:rPr>
                <w:rFonts w:ascii="Bookman Old Style" w:eastAsiaTheme="minorEastAsia" w:hAnsi="Bookman Old Style"/>
              </w:rPr>
            </w:pPr>
          </w:p>
          <w:p w14:paraId="37B003D4" w14:textId="77777777" w:rsidR="00EC5838" w:rsidRPr="00EC5838" w:rsidRDefault="00EC5838" w:rsidP="005451CD">
            <w:pPr>
              <w:jc w:val="both"/>
              <w:rPr>
                <w:rFonts w:ascii="Bookman Old Style" w:eastAsiaTheme="minorEastAsia" w:hAnsi="Bookman Old Style"/>
                <w:sz w:val="20"/>
              </w:rPr>
            </w:pPr>
            <w:r w:rsidRPr="00EC5838">
              <w:rPr>
                <w:rFonts w:ascii="Bookman Old Style" w:eastAsiaTheme="minorEastAsia" w:hAnsi="Bookman Old Style"/>
                <w:i/>
                <w:sz w:val="20"/>
                <w:u w:val="single"/>
              </w:rPr>
              <w:t>Ex.:</w:t>
            </w:r>
          </w:p>
          <w:p w14:paraId="768F9EB3" w14:textId="77777777" w:rsidR="00EC5838" w:rsidRPr="00EC5838" w:rsidRDefault="00EC5838" w:rsidP="005451CD">
            <w:pPr>
              <w:jc w:val="both"/>
              <w:rPr>
                <w:rFonts w:ascii="Bookman Old Style" w:eastAsiaTheme="minorEastAsia" w:hAnsi="Bookman Old Style"/>
                <w:sz w:val="20"/>
              </w:rPr>
            </w:pPr>
            <w:r w:rsidRPr="00EC5838">
              <w:rPr>
                <w:rFonts w:ascii="Bookman Old Style" w:eastAsiaTheme="minorEastAsia" w:hAnsi="Bookman Old Style"/>
                <w:sz w:val="20"/>
              </w:rPr>
              <w:t>We’ve been asked to decide whether or not a new consumer product should be launched. Based on projected sales and costs, we expect that the cash flows over the 5 year life of the project will be $2000 in the first 2 years, $4000 in the next 2 and $5000 in the last.</w:t>
            </w:r>
          </w:p>
          <w:p w14:paraId="7EC82C30" w14:textId="77777777" w:rsidR="00EC5838" w:rsidRPr="00EC5838" w:rsidRDefault="00EC5838" w:rsidP="005451CD">
            <w:pPr>
              <w:jc w:val="both"/>
              <w:rPr>
                <w:rFonts w:ascii="Bookman Old Style" w:eastAsiaTheme="minorEastAsia" w:hAnsi="Bookman Old Style"/>
                <w:sz w:val="20"/>
              </w:rPr>
            </w:pPr>
          </w:p>
          <w:p w14:paraId="605434AE" w14:textId="77777777" w:rsidR="00EC5838" w:rsidRPr="00EC5838" w:rsidRDefault="00EC5838" w:rsidP="005451CD">
            <w:pPr>
              <w:jc w:val="both"/>
              <w:rPr>
                <w:rFonts w:ascii="Bookman Old Style" w:eastAsiaTheme="minorEastAsia" w:hAnsi="Bookman Old Style"/>
                <w:sz w:val="20"/>
              </w:rPr>
            </w:pPr>
            <w:r w:rsidRPr="00EC5838">
              <w:rPr>
                <w:rFonts w:ascii="Bookman Old Style" w:eastAsiaTheme="minorEastAsia" w:hAnsi="Bookman Old Style"/>
                <w:sz w:val="20"/>
              </w:rPr>
              <w:t>It will cost about $10,000 to begin production. We use a 10% discount rate to evaluate new products. What should we do here?</w:t>
            </w:r>
          </w:p>
          <w:p w14:paraId="1975F22C" w14:textId="77777777" w:rsidR="00EC5838" w:rsidRPr="00EC5838" w:rsidRDefault="00EC5838" w:rsidP="005451CD">
            <w:pPr>
              <w:jc w:val="both"/>
              <w:rPr>
                <w:rFonts w:ascii="Bookman Old Style" w:eastAsiaTheme="minorEastAsia" w:hAnsi="Bookman Old Style"/>
                <w:sz w:val="20"/>
              </w:rPr>
            </w:pPr>
          </w:p>
          <w:p w14:paraId="5CD8383B" w14:textId="77777777" w:rsidR="00EC5838" w:rsidRPr="00EC5838" w:rsidRDefault="00EC5838" w:rsidP="005451CD">
            <w:pPr>
              <w:jc w:val="both"/>
              <w:rPr>
                <w:rFonts w:ascii="Bookman Old Style" w:eastAsiaTheme="minorEastAsia" w:hAnsi="Bookman Old Style"/>
                <w:sz w:val="20"/>
              </w:rPr>
            </w:pPr>
            <w:r w:rsidRPr="00EC5838">
              <w:rPr>
                <w:rFonts w:ascii="Bookman Old Style" w:eastAsiaTheme="minorEastAsia" w:hAnsi="Bookman Old Style"/>
                <w:sz w:val="20"/>
              </w:rPr>
              <w:t>Given the cash flows and discount rate, we can calculate the total value of the product by discounting the cash flows back to the present:</w:t>
            </w:r>
          </w:p>
          <w:p w14:paraId="6DF21CC0" w14:textId="77777777" w:rsidR="00EC5838" w:rsidRPr="00EC5838" w:rsidRDefault="00EC5838" w:rsidP="005451CD">
            <w:pPr>
              <w:jc w:val="both"/>
              <w:rPr>
                <w:rFonts w:ascii="Bookman Old Style" w:eastAsiaTheme="minorEastAsia" w:hAnsi="Bookman Old Style"/>
                <w:sz w:val="20"/>
              </w:rPr>
            </w:pPr>
          </w:p>
          <w:p w14:paraId="7C45F279" w14:textId="77777777" w:rsidR="00EC5838" w:rsidRPr="00EC5838" w:rsidRDefault="00EC5838" w:rsidP="005451CD">
            <w:pPr>
              <w:jc w:val="center"/>
              <w:rPr>
                <w:rFonts w:ascii="Bookman Old Style" w:eastAsiaTheme="minorEastAsia" w:hAnsi="Bookman Old Style"/>
                <w:sz w:val="20"/>
              </w:rPr>
            </w:pPr>
            <w:r w:rsidRPr="00EC5838">
              <w:rPr>
                <w:rFonts w:ascii="Bookman Old Style" w:eastAsiaTheme="minorEastAsia" w:hAnsi="Bookman Old Style"/>
                <w:sz w:val="20"/>
              </w:rPr>
              <w:t>Present Value</w:t>
            </w:r>
          </w:p>
          <w:p w14:paraId="22740E8F" w14:textId="77777777" w:rsidR="00EC5838" w:rsidRPr="00EC5838" w:rsidRDefault="00EC5838" w:rsidP="005451CD">
            <w:pPr>
              <w:jc w:val="center"/>
              <w:rPr>
                <w:rFonts w:ascii="Bookman Old Style" w:eastAsiaTheme="minorEastAsia" w:hAnsi="Bookman Old Style"/>
                <w:sz w:val="20"/>
              </w:rPr>
            </w:pPr>
            <w:r w:rsidRPr="00EC5838">
              <w:rPr>
                <w:rFonts w:ascii="Bookman Old Style" w:eastAsiaTheme="minorEastAsia" w:hAnsi="Bookman Old Style"/>
                <w:sz w:val="20"/>
              </w:rPr>
              <w:t>=</w:t>
            </w:r>
          </w:p>
          <w:p w14:paraId="595F4E80" w14:textId="77777777" w:rsidR="00EC5838" w:rsidRPr="00EC5838" w:rsidRDefault="000E0536" w:rsidP="005451CD">
            <w:pPr>
              <w:jc w:val="center"/>
              <w:rPr>
                <w:rFonts w:ascii="Bookman Old Style" w:eastAsiaTheme="minorEastAsia" w:hAnsi="Bookman Old Style"/>
                <w:sz w:val="20"/>
              </w:rPr>
            </w:pPr>
            <m:oMathPara>
              <m:oMath>
                <m:f>
                  <m:fPr>
                    <m:ctrlPr>
                      <w:rPr>
                        <w:rFonts w:ascii="Cambria Math" w:eastAsiaTheme="minorEastAsia" w:hAnsi="Cambria Math"/>
                        <w:sz w:val="20"/>
                      </w:rPr>
                    </m:ctrlPr>
                  </m:fPr>
                  <m:num>
                    <m:r>
                      <m:rPr>
                        <m:sty m:val="p"/>
                      </m:rPr>
                      <w:rPr>
                        <w:rFonts w:ascii="Cambria Math" w:eastAsiaTheme="minorEastAsia" w:hAnsi="Cambria Math"/>
                        <w:sz w:val="20"/>
                      </w:rPr>
                      <m:t>$2000</m:t>
                    </m:r>
                  </m:num>
                  <m:den>
                    <m:r>
                      <m:rPr>
                        <m:sty m:val="p"/>
                      </m:rPr>
                      <w:rPr>
                        <w:rFonts w:ascii="Cambria Math" w:eastAsiaTheme="minorEastAsia" w:hAnsi="Cambria Math"/>
                        <w:sz w:val="20"/>
                      </w:rPr>
                      <m:t>1.1</m:t>
                    </m:r>
                  </m:den>
                </m:f>
                <m:r>
                  <w:rPr>
                    <w:rFonts w:ascii="Cambria Math" w:eastAsiaTheme="minorEastAsia" w:hAnsi="Cambria Math"/>
                    <w:sz w:val="20"/>
                  </w:rPr>
                  <m:t>+</m:t>
                </m:r>
                <m:f>
                  <m:fPr>
                    <m:ctrlPr>
                      <w:rPr>
                        <w:rFonts w:ascii="Cambria Math" w:eastAsiaTheme="minorEastAsia" w:hAnsi="Cambria Math"/>
                        <w:i/>
                        <w:sz w:val="20"/>
                      </w:rPr>
                    </m:ctrlPr>
                  </m:fPr>
                  <m:num>
                    <m:r>
                      <w:rPr>
                        <w:rFonts w:ascii="Cambria Math" w:eastAsiaTheme="minorEastAsia" w:hAnsi="Cambria Math"/>
                        <w:sz w:val="20"/>
                      </w:rPr>
                      <m:t>2000</m:t>
                    </m:r>
                  </m:num>
                  <m:den>
                    <m:sSup>
                      <m:sSupPr>
                        <m:ctrlPr>
                          <w:rPr>
                            <w:rFonts w:ascii="Cambria Math" w:eastAsiaTheme="minorEastAsia" w:hAnsi="Cambria Math"/>
                            <w:i/>
                            <w:sz w:val="20"/>
                          </w:rPr>
                        </m:ctrlPr>
                      </m:sSupPr>
                      <m:e>
                        <m:r>
                          <w:rPr>
                            <w:rFonts w:ascii="Cambria Math" w:eastAsiaTheme="minorEastAsia" w:hAnsi="Cambria Math"/>
                            <w:sz w:val="20"/>
                          </w:rPr>
                          <m:t>1.1</m:t>
                        </m:r>
                      </m:e>
                      <m:sup>
                        <m:r>
                          <w:rPr>
                            <w:rFonts w:ascii="Cambria Math" w:eastAsiaTheme="minorEastAsia" w:hAnsi="Cambria Math"/>
                            <w:sz w:val="20"/>
                          </w:rPr>
                          <m:t>2</m:t>
                        </m:r>
                      </m:sup>
                    </m:sSup>
                  </m:den>
                </m:f>
                <m:r>
                  <w:rPr>
                    <w:rFonts w:ascii="Cambria Math" w:eastAsiaTheme="minorEastAsia" w:hAnsi="Cambria Math"/>
                    <w:sz w:val="20"/>
                  </w:rPr>
                  <m:t>+</m:t>
                </m:r>
                <m:f>
                  <m:fPr>
                    <m:ctrlPr>
                      <w:rPr>
                        <w:rFonts w:ascii="Cambria Math" w:eastAsiaTheme="minorEastAsia" w:hAnsi="Cambria Math"/>
                        <w:i/>
                        <w:sz w:val="20"/>
                      </w:rPr>
                    </m:ctrlPr>
                  </m:fPr>
                  <m:num>
                    <m:r>
                      <w:rPr>
                        <w:rFonts w:ascii="Cambria Math" w:eastAsiaTheme="minorEastAsia" w:hAnsi="Cambria Math"/>
                        <w:sz w:val="20"/>
                      </w:rPr>
                      <m:t>4000</m:t>
                    </m:r>
                  </m:num>
                  <m:den>
                    <m:sSup>
                      <m:sSupPr>
                        <m:ctrlPr>
                          <w:rPr>
                            <w:rFonts w:ascii="Cambria Math" w:eastAsiaTheme="minorEastAsia" w:hAnsi="Cambria Math"/>
                            <w:i/>
                            <w:sz w:val="20"/>
                          </w:rPr>
                        </m:ctrlPr>
                      </m:sSupPr>
                      <m:e>
                        <m:r>
                          <w:rPr>
                            <w:rFonts w:ascii="Cambria Math" w:eastAsiaTheme="minorEastAsia" w:hAnsi="Cambria Math"/>
                            <w:sz w:val="20"/>
                          </w:rPr>
                          <m:t>1.1</m:t>
                        </m:r>
                      </m:e>
                      <m:sup>
                        <m:r>
                          <w:rPr>
                            <w:rFonts w:ascii="Cambria Math" w:eastAsiaTheme="minorEastAsia" w:hAnsi="Cambria Math"/>
                            <w:sz w:val="20"/>
                          </w:rPr>
                          <m:t>3</m:t>
                        </m:r>
                      </m:sup>
                    </m:sSup>
                  </m:den>
                </m:f>
                <m:r>
                  <w:rPr>
                    <w:rFonts w:ascii="Cambria Math" w:eastAsiaTheme="minorEastAsia" w:hAnsi="Cambria Math"/>
                    <w:sz w:val="20"/>
                  </w:rPr>
                  <m:t>+</m:t>
                </m:r>
                <m:f>
                  <m:fPr>
                    <m:ctrlPr>
                      <w:rPr>
                        <w:rFonts w:ascii="Cambria Math" w:eastAsiaTheme="minorEastAsia" w:hAnsi="Cambria Math"/>
                        <w:i/>
                        <w:sz w:val="20"/>
                      </w:rPr>
                    </m:ctrlPr>
                  </m:fPr>
                  <m:num>
                    <m:r>
                      <w:rPr>
                        <w:rFonts w:ascii="Cambria Math" w:eastAsiaTheme="minorEastAsia" w:hAnsi="Cambria Math"/>
                        <w:sz w:val="20"/>
                      </w:rPr>
                      <m:t>4000</m:t>
                    </m:r>
                  </m:num>
                  <m:den>
                    <m:sSup>
                      <m:sSupPr>
                        <m:ctrlPr>
                          <w:rPr>
                            <w:rFonts w:ascii="Cambria Math" w:eastAsiaTheme="minorEastAsia" w:hAnsi="Cambria Math"/>
                            <w:i/>
                            <w:sz w:val="20"/>
                          </w:rPr>
                        </m:ctrlPr>
                      </m:sSupPr>
                      <m:e>
                        <m:r>
                          <w:rPr>
                            <w:rFonts w:ascii="Cambria Math" w:eastAsiaTheme="minorEastAsia" w:hAnsi="Cambria Math"/>
                            <w:sz w:val="20"/>
                          </w:rPr>
                          <m:t>1.1</m:t>
                        </m:r>
                      </m:e>
                      <m:sup>
                        <m:r>
                          <w:rPr>
                            <w:rFonts w:ascii="Cambria Math" w:eastAsiaTheme="minorEastAsia" w:hAnsi="Cambria Math"/>
                            <w:sz w:val="20"/>
                          </w:rPr>
                          <m:t>4</m:t>
                        </m:r>
                      </m:sup>
                    </m:sSup>
                  </m:den>
                </m:f>
                <m:r>
                  <w:rPr>
                    <w:rFonts w:ascii="Cambria Math" w:eastAsiaTheme="minorEastAsia" w:hAnsi="Cambria Math"/>
                    <w:sz w:val="20"/>
                  </w:rPr>
                  <m:t>+</m:t>
                </m:r>
                <m:f>
                  <m:fPr>
                    <m:ctrlPr>
                      <w:rPr>
                        <w:rFonts w:ascii="Cambria Math" w:eastAsiaTheme="minorEastAsia" w:hAnsi="Cambria Math"/>
                        <w:i/>
                        <w:sz w:val="20"/>
                      </w:rPr>
                    </m:ctrlPr>
                  </m:fPr>
                  <m:num>
                    <m:r>
                      <w:rPr>
                        <w:rFonts w:ascii="Cambria Math" w:eastAsiaTheme="minorEastAsia" w:hAnsi="Cambria Math"/>
                        <w:sz w:val="20"/>
                      </w:rPr>
                      <m:t>5000</m:t>
                    </m:r>
                  </m:num>
                  <m:den>
                    <m:sSup>
                      <m:sSupPr>
                        <m:ctrlPr>
                          <w:rPr>
                            <w:rFonts w:ascii="Cambria Math" w:eastAsiaTheme="minorEastAsia" w:hAnsi="Cambria Math"/>
                            <w:i/>
                            <w:sz w:val="20"/>
                          </w:rPr>
                        </m:ctrlPr>
                      </m:sSupPr>
                      <m:e>
                        <m:r>
                          <w:rPr>
                            <w:rFonts w:ascii="Cambria Math" w:eastAsiaTheme="minorEastAsia" w:hAnsi="Cambria Math"/>
                            <w:sz w:val="20"/>
                          </w:rPr>
                          <m:t>1.1</m:t>
                        </m:r>
                      </m:e>
                      <m:sup>
                        <m:r>
                          <w:rPr>
                            <w:rFonts w:ascii="Cambria Math" w:eastAsiaTheme="minorEastAsia" w:hAnsi="Cambria Math"/>
                            <w:sz w:val="20"/>
                          </w:rPr>
                          <m:t>5</m:t>
                        </m:r>
                      </m:sup>
                    </m:sSup>
                  </m:den>
                </m:f>
              </m:oMath>
            </m:oMathPara>
          </w:p>
          <w:p w14:paraId="38537A70" w14:textId="77777777" w:rsidR="00EC5838" w:rsidRPr="00EC5838" w:rsidRDefault="00EC5838" w:rsidP="005451CD">
            <w:pPr>
              <w:jc w:val="center"/>
              <w:rPr>
                <w:rFonts w:ascii="Bookman Old Style" w:eastAsiaTheme="minorEastAsia" w:hAnsi="Bookman Old Style"/>
                <w:sz w:val="20"/>
              </w:rPr>
            </w:pPr>
            <w:r w:rsidRPr="00EC5838">
              <w:rPr>
                <w:rFonts w:ascii="Bookman Old Style" w:eastAsiaTheme="minorEastAsia" w:hAnsi="Bookman Old Style"/>
                <w:sz w:val="20"/>
              </w:rPr>
              <w:t>=</w:t>
            </w:r>
          </w:p>
          <w:p w14:paraId="758CF0C7" w14:textId="77777777" w:rsidR="00EC5838" w:rsidRPr="00EC5838" w:rsidRDefault="00EC5838" w:rsidP="005451CD">
            <w:pPr>
              <w:jc w:val="center"/>
              <w:rPr>
                <w:rFonts w:ascii="Bookman Old Style" w:eastAsiaTheme="minorEastAsia" w:hAnsi="Bookman Old Style"/>
                <w:sz w:val="20"/>
              </w:rPr>
            </w:pPr>
            <w:r w:rsidRPr="00EC5838">
              <w:rPr>
                <w:rFonts w:ascii="Bookman Old Style" w:eastAsiaTheme="minorEastAsia" w:hAnsi="Bookman Old Style"/>
                <w:sz w:val="20"/>
              </w:rPr>
              <w:t>$1818 + 1653 + 3005 + 2732 + 3105</w:t>
            </w:r>
          </w:p>
          <w:p w14:paraId="3AFDF72F" w14:textId="77777777" w:rsidR="00EC5838" w:rsidRPr="00EC5838" w:rsidRDefault="00EC5838" w:rsidP="005451CD">
            <w:pPr>
              <w:jc w:val="center"/>
              <w:rPr>
                <w:rFonts w:ascii="Bookman Old Style" w:eastAsiaTheme="minorEastAsia" w:hAnsi="Bookman Old Style"/>
                <w:sz w:val="20"/>
              </w:rPr>
            </w:pPr>
            <w:r w:rsidRPr="00EC5838">
              <w:rPr>
                <w:rFonts w:ascii="Bookman Old Style" w:eastAsiaTheme="minorEastAsia" w:hAnsi="Bookman Old Style"/>
                <w:sz w:val="20"/>
              </w:rPr>
              <w:t>=</w:t>
            </w:r>
          </w:p>
          <w:p w14:paraId="3C008756" w14:textId="77777777" w:rsidR="00EC5838" w:rsidRPr="00EC5838" w:rsidRDefault="00EC5838" w:rsidP="005451CD">
            <w:pPr>
              <w:jc w:val="center"/>
              <w:rPr>
                <w:rFonts w:ascii="Bookman Old Style" w:eastAsiaTheme="minorEastAsia" w:hAnsi="Bookman Old Style"/>
                <w:sz w:val="20"/>
              </w:rPr>
            </w:pPr>
            <w:r w:rsidRPr="00EC5838">
              <w:rPr>
                <w:rFonts w:ascii="Bookman Old Style" w:eastAsiaTheme="minorEastAsia" w:hAnsi="Bookman Old Style"/>
                <w:sz w:val="20"/>
              </w:rPr>
              <w:t>$12,313</w:t>
            </w:r>
          </w:p>
          <w:p w14:paraId="7B54D018" w14:textId="77777777" w:rsidR="00EC5838" w:rsidRPr="00EC5838" w:rsidRDefault="00EC5838" w:rsidP="005451CD">
            <w:pPr>
              <w:jc w:val="both"/>
              <w:rPr>
                <w:rFonts w:ascii="Bookman Old Style" w:eastAsiaTheme="minorEastAsia" w:hAnsi="Bookman Old Style"/>
                <w:b/>
              </w:rPr>
            </w:pPr>
          </w:p>
          <w:p w14:paraId="7FC03176" w14:textId="77777777" w:rsidR="00EC5838" w:rsidRPr="00EC5838" w:rsidRDefault="00EC5838" w:rsidP="005451CD">
            <w:pPr>
              <w:jc w:val="both"/>
              <w:rPr>
                <w:rFonts w:ascii="Bookman Old Style" w:eastAsiaTheme="minorEastAsia" w:hAnsi="Bookman Old Style"/>
                <w:b/>
              </w:rPr>
            </w:pPr>
            <w:r w:rsidRPr="00EC5838">
              <w:rPr>
                <w:rFonts w:ascii="Bookman Old Style" w:eastAsiaTheme="minorEastAsia" w:hAnsi="Bookman Old Style"/>
                <w:sz w:val="20"/>
              </w:rPr>
              <w:t xml:space="preserve">The PV of the expected cash flows is $12,313, but the cost of getting those cash flows is only $10,000. So the NPV is $12,313 – 10,000 = $2313. This is positive, so based on the NPV </w:t>
            </w:r>
            <w:proofErr w:type="gramStart"/>
            <w:r w:rsidRPr="00EC5838">
              <w:rPr>
                <w:rFonts w:ascii="Bookman Old Style" w:eastAsiaTheme="minorEastAsia" w:hAnsi="Bookman Old Style"/>
                <w:sz w:val="20"/>
              </w:rPr>
              <w:t>rule,</w:t>
            </w:r>
            <w:proofErr w:type="gramEnd"/>
            <w:r w:rsidRPr="00EC5838">
              <w:rPr>
                <w:rFonts w:ascii="Bookman Old Style" w:eastAsiaTheme="minorEastAsia" w:hAnsi="Bookman Old Style"/>
                <w:sz w:val="20"/>
              </w:rPr>
              <w:t xml:space="preserve"> we should take on the project.</w:t>
            </w:r>
          </w:p>
          <w:p w14:paraId="6033336F" w14:textId="77777777" w:rsidR="00EC5838" w:rsidRDefault="00EC5838" w:rsidP="005451CD">
            <w:pPr>
              <w:jc w:val="both"/>
              <w:rPr>
                <w:rFonts w:ascii="Bookman Old Style" w:eastAsiaTheme="minorEastAsia" w:hAnsi="Bookman Old Style"/>
              </w:rPr>
            </w:pPr>
          </w:p>
        </w:tc>
      </w:tr>
    </w:tbl>
    <w:p w14:paraId="2C0CD701" w14:textId="77777777" w:rsidR="00EC5838" w:rsidRDefault="00EC5838" w:rsidP="005451CD">
      <w:pPr>
        <w:spacing w:after="0" w:line="240" w:lineRule="auto"/>
        <w:jc w:val="both"/>
        <w:rPr>
          <w:rFonts w:ascii="Bookman Old Style" w:eastAsiaTheme="minorEastAsia" w:hAnsi="Bookman Old Style"/>
        </w:rPr>
      </w:pPr>
    </w:p>
    <w:p w14:paraId="10869870" w14:textId="77777777" w:rsidR="00EC5838" w:rsidRDefault="00EC5838" w:rsidP="005451CD">
      <w:pPr>
        <w:spacing w:after="0" w:line="240" w:lineRule="auto"/>
        <w:jc w:val="both"/>
        <w:rPr>
          <w:rFonts w:ascii="Bookman Old Style" w:eastAsiaTheme="minorEastAsia" w:hAnsi="Bookman Old Style"/>
        </w:rPr>
      </w:pPr>
    </w:p>
    <w:p w14:paraId="0F001A96" w14:textId="5A202496" w:rsidR="007D2311" w:rsidRDefault="007D2311" w:rsidP="005451CD">
      <w:pPr>
        <w:spacing w:after="0" w:line="240" w:lineRule="auto"/>
        <w:jc w:val="both"/>
        <w:rPr>
          <w:rFonts w:ascii="Bookman Old Style" w:eastAsiaTheme="minorEastAsia" w:hAnsi="Bookman Old Style"/>
          <w:b/>
          <w:i/>
          <w:u w:val="single"/>
        </w:rPr>
      </w:pPr>
      <w:r>
        <w:rPr>
          <w:rFonts w:ascii="Bookman Old Style" w:eastAsiaTheme="minorEastAsia" w:hAnsi="Bookman Old Style"/>
          <w:b/>
          <w:i/>
          <w:u w:val="single"/>
        </w:rPr>
        <w:lastRenderedPageBreak/>
        <w:t>Calculator Hints – FINDING NPV</w:t>
      </w:r>
    </w:p>
    <w:p w14:paraId="51F5B4A6" w14:textId="17BB8337" w:rsidR="007D2311" w:rsidRDefault="007D2311" w:rsidP="005451CD">
      <w:pPr>
        <w:spacing w:after="0" w:line="240" w:lineRule="auto"/>
        <w:jc w:val="both"/>
        <w:rPr>
          <w:rFonts w:ascii="Bookman Old Style" w:eastAsiaTheme="minorEastAsia" w:hAnsi="Bookman Old Style"/>
        </w:rPr>
      </w:pPr>
      <w:r>
        <w:rPr>
          <w:rFonts w:ascii="Bookman Old Style" w:eastAsiaTheme="minorEastAsia" w:hAnsi="Bookman Old Style"/>
        </w:rPr>
        <w:t>You can solve this problem using a financial calculator by doing the following:</w:t>
      </w:r>
    </w:p>
    <w:p w14:paraId="29D627A4" w14:textId="77777777" w:rsidR="007D2311" w:rsidRDefault="007D2311" w:rsidP="005451CD">
      <w:pPr>
        <w:spacing w:after="0" w:line="240" w:lineRule="auto"/>
        <w:jc w:val="both"/>
        <w:rPr>
          <w:rFonts w:ascii="Bookman Old Style" w:eastAsiaTheme="minorEastAsia" w:hAnsi="Bookman Old Style"/>
        </w:rPr>
      </w:pPr>
    </w:p>
    <w:tbl>
      <w:tblPr>
        <w:tblStyle w:val="LightShading-Accent2"/>
        <w:tblW w:w="0" w:type="auto"/>
        <w:jc w:val="center"/>
        <w:tblLook w:val="04A0" w:firstRow="1" w:lastRow="0" w:firstColumn="1" w:lastColumn="0" w:noHBand="0" w:noVBand="1"/>
      </w:tblPr>
      <w:tblGrid>
        <w:gridCol w:w="1098"/>
        <w:gridCol w:w="1350"/>
      </w:tblGrid>
      <w:tr w:rsidR="00673661" w14:paraId="114094AE" w14:textId="77777777" w:rsidTr="0067366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98" w:type="dxa"/>
          </w:tcPr>
          <w:p w14:paraId="4E2EAA19" w14:textId="1292E801" w:rsidR="00673661" w:rsidRPr="002D6249" w:rsidRDefault="00673661" w:rsidP="005451CD">
            <w:pPr>
              <w:jc w:val="both"/>
              <w:rPr>
                <w:rFonts w:ascii="Bookman Old Style" w:eastAsiaTheme="minorEastAsia" w:hAnsi="Bookman Old Style"/>
                <w:sz w:val="20"/>
              </w:rPr>
            </w:pPr>
            <w:r w:rsidRPr="002D6249">
              <w:rPr>
                <w:rFonts w:ascii="Bookman Old Style" w:eastAsiaTheme="minorEastAsia" w:hAnsi="Bookman Old Style"/>
                <w:sz w:val="20"/>
              </w:rPr>
              <w:t>2</w:t>
            </w:r>
            <w:r w:rsidRPr="002D6249">
              <w:rPr>
                <w:rFonts w:ascii="Bookman Old Style" w:eastAsiaTheme="minorEastAsia" w:hAnsi="Bookman Old Style"/>
                <w:sz w:val="20"/>
                <w:vertAlign w:val="superscript"/>
              </w:rPr>
              <w:t>nd</w:t>
            </w:r>
          </w:p>
        </w:tc>
        <w:tc>
          <w:tcPr>
            <w:tcW w:w="1350" w:type="dxa"/>
          </w:tcPr>
          <w:p w14:paraId="6F404FC1" w14:textId="78AE3249" w:rsidR="00673661" w:rsidRPr="002D6249" w:rsidRDefault="00673661" w:rsidP="005451CD">
            <w:pPr>
              <w:jc w:val="both"/>
              <w:cnfStyle w:val="100000000000" w:firstRow="1"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2D6249">
              <w:rPr>
                <w:rFonts w:ascii="Bookman Old Style" w:eastAsiaTheme="minorEastAsia" w:hAnsi="Bookman Old Style"/>
                <w:sz w:val="20"/>
              </w:rPr>
              <w:t>CE/C</w:t>
            </w:r>
          </w:p>
        </w:tc>
      </w:tr>
      <w:tr w:rsidR="00673661" w14:paraId="5E9C8D47" w14:textId="77777777" w:rsidTr="006736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98" w:type="dxa"/>
          </w:tcPr>
          <w:p w14:paraId="75948A89" w14:textId="77777777" w:rsidR="00673661" w:rsidRPr="002D6249" w:rsidRDefault="00673661" w:rsidP="005451CD">
            <w:pPr>
              <w:jc w:val="both"/>
              <w:rPr>
                <w:rFonts w:ascii="Bookman Old Style" w:eastAsiaTheme="minorEastAsia" w:hAnsi="Bookman Old Style"/>
                <w:sz w:val="20"/>
              </w:rPr>
            </w:pPr>
          </w:p>
        </w:tc>
        <w:tc>
          <w:tcPr>
            <w:tcW w:w="1350" w:type="dxa"/>
          </w:tcPr>
          <w:p w14:paraId="5E9393DE" w14:textId="2791FAC1" w:rsidR="00673661" w:rsidRPr="002D6249" w:rsidRDefault="00673661" w:rsidP="005451CD">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2D6249">
              <w:rPr>
                <w:rFonts w:ascii="Bookman Old Style" w:eastAsiaTheme="minorEastAsia" w:hAnsi="Bookman Old Style"/>
                <w:sz w:val="20"/>
              </w:rPr>
              <w:t>CF</w:t>
            </w:r>
          </w:p>
        </w:tc>
      </w:tr>
      <w:tr w:rsidR="00673661" w14:paraId="308D1421" w14:textId="77777777" w:rsidTr="00673661">
        <w:trPr>
          <w:jc w:val="center"/>
        </w:trPr>
        <w:tc>
          <w:tcPr>
            <w:cnfStyle w:val="001000000000" w:firstRow="0" w:lastRow="0" w:firstColumn="1" w:lastColumn="0" w:oddVBand="0" w:evenVBand="0" w:oddHBand="0" w:evenHBand="0" w:firstRowFirstColumn="0" w:firstRowLastColumn="0" w:lastRowFirstColumn="0" w:lastRowLastColumn="0"/>
            <w:tcW w:w="1098" w:type="dxa"/>
          </w:tcPr>
          <w:p w14:paraId="36E4D0A2" w14:textId="08A8EA61" w:rsidR="00673661" w:rsidRPr="002D6249" w:rsidRDefault="00673661" w:rsidP="005451CD">
            <w:pPr>
              <w:jc w:val="both"/>
              <w:rPr>
                <w:rFonts w:ascii="Bookman Old Style" w:eastAsiaTheme="minorEastAsia" w:hAnsi="Bookman Old Style"/>
                <w:b w:val="0"/>
                <w:sz w:val="20"/>
              </w:rPr>
            </w:pPr>
            <w:proofErr w:type="spellStart"/>
            <w:r w:rsidRPr="002D6249">
              <w:rPr>
                <w:rFonts w:ascii="Bookman Old Style" w:eastAsiaTheme="minorEastAsia" w:hAnsi="Bookman Old Style"/>
                <w:b w:val="0"/>
                <w:sz w:val="20"/>
              </w:rPr>
              <w:t>CFo</w:t>
            </w:r>
            <w:proofErr w:type="spellEnd"/>
          </w:p>
        </w:tc>
        <w:tc>
          <w:tcPr>
            <w:tcW w:w="1350" w:type="dxa"/>
          </w:tcPr>
          <w:p w14:paraId="0324A9A7" w14:textId="5334387E" w:rsidR="00673661" w:rsidRPr="002D6249" w:rsidRDefault="00673661" w:rsidP="005451CD">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2D6249">
              <w:rPr>
                <w:rFonts w:ascii="Bookman Old Style" w:eastAsiaTheme="minorEastAsia" w:hAnsi="Bookman Old Style"/>
                <w:sz w:val="20"/>
              </w:rPr>
              <w:t>-10,000</w:t>
            </w:r>
          </w:p>
        </w:tc>
      </w:tr>
      <w:tr w:rsidR="00673661" w14:paraId="0F6329D1" w14:textId="77777777" w:rsidTr="006736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98" w:type="dxa"/>
          </w:tcPr>
          <w:p w14:paraId="2F4A1321" w14:textId="6F430ED7" w:rsidR="00673661" w:rsidRPr="002D6249" w:rsidRDefault="00673661" w:rsidP="005451CD">
            <w:pPr>
              <w:jc w:val="both"/>
              <w:rPr>
                <w:rFonts w:ascii="Bookman Old Style" w:eastAsiaTheme="minorEastAsia" w:hAnsi="Bookman Old Style"/>
                <w:b w:val="0"/>
                <w:sz w:val="20"/>
              </w:rPr>
            </w:pPr>
            <w:r w:rsidRPr="002D6249">
              <w:rPr>
                <w:rFonts w:ascii="Bookman Old Style" w:eastAsiaTheme="minorEastAsia" w:hAnsi="Bookman Old Style"/>
                <w:b w:val="0"/>
                <w:sz w:val="20"/>
              </w:rPr>
              <w:t>ENTER</w:t>
            </w:r>
          </w:p>
        </w:tc>
        <w:tc>
          <w:tcPr>
            <w:tcW w:w="1350" w:type="dxa"/>
          </w:tcPr>
          <w:p w14:paraId="47CC9B00" w14:textId="403A8B4C" w:rsidR="00673661" w:rsidRPr="002D6249" w:rsidRDefault="00673661" w:rsidP="005451CD">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2D6249">
              <w:rPr>
                <w:rFonts w:ascii="Bookman Old Style" w:eastAsiaTheme="minorEastAsia" w:hAnsi="Bookman Old Style"/>
                <w:sz w:val="20"/>
              </w:rPr>
              <w:t>↓</w:t>
            </w:r>
          </w:p>
        </w:tc>
      </w:tr>
      <w:tr w:rsidR="00673661" w14:paraId="031A1270" w14:textId="77777777" w:rsidTr="00673661">
        <w:trPr>
          <w:jc w:val="center"/>
        </w:trPr>
        <w:tc>
          <w:tcPr>
            <w:cnfStyle w:val="001000000000" w:firstRow="0" w:lastRow="0" w:firstColumn="1" w:lastColumn="0" w:oddVBand="0" w:evenVBand="0" w:oddHBand="0" w:evenHBand="0" w:firstRowFirstColumn="0" w:firstRowLastColumn="0" w:lastRowFirstColumn="0" w:lastRowLastColumn="0"/>
            <w:tcW w:w="1098" w:type="dxa"/>
          </w:tcPr>
          <w:p w14:paraId="6A47F018" w14:textId="20FEBACD" w:rsidR="00673661" w:rsidRPr="002D6249" w:rsidRDefault="00673661" w:rsidP="005451CD">
            <w:pPr>
              <w:jc w:val="both"/>
              <w:rPr>
                <w:rFonts w:ascii="Bookman Old Style" w:eastAsiaTheme="minorEastAsia" w:hAnsi="Bookman Old Style"/>
                <w:b w:val="0"/>
                <w:sz w:val="20"/>
              </w:rPr>
            </w:pPr>
            <w:r w:rsidRPr="002D6249">
              <w:rPr>
                <w:rFonts w:ascii="Bookman Old Style" w:eastAsiaTheme="minorEastAsia" w:hAnsi="Bookman Old Style"/>
                <w:b w:val="0"/>
                <w:sz w:val="20"/>
              </w:rPr>
              <w:t>C01</w:t>
            </w:r>
          </w:p>
        </w:tc>
        <w:tc>
          <w:tcPr>
            <w:tcW w:w="1350" w:type="dxa"/>
          </w:tcPr>
          <w:p w14:paraId="64D2B942" w14:textId="2DB75093" w:rsidR="00673661" w:rsidRPr="002D6249" w:rsidRDefault="00673661" w:rsidP="005451CD">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2D6249">
              <w:rPr>
                <w:rFonts w:ascii="Bookman Old Style" w:eastAsiaTheme="minorEastAsia" w:hAnsi="Bookman Old Style"/>
                <w:sz w:val="20"/>
              </w:rPr>
              <w:t>2000</w:t>
            </w:r>
          </w:p>
        </w:tc>
      </w:tr>
      <w:tr w:rsidR="00673661" w14:paraId="09718E42" w14:textId="77777777" w:rsidTr="006736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98" w:type="dxa"/>
          </w:tcPr>
          <w:p w14:paraId="1A421706" w14:textId="7C6545F6" w:rsidR="00673661" w:rsidRPr="002D6249" w:rsidRDefault="00673661" w:rsidP="005451CD">
            <w:pPr>
              <w:jc w:val="both"/>
              <w:rPr>
                <w:rFonts w:ascii="Bookman Old Style" w:eastAsiaTheme="minorEastAsia" w:hAnsi="Bookman Old Style"/>
                <w:b w:val="0"/>
                <w:sz w:val="20"/>
              </w:rPr>
            </w:pPr>
            <w:r w:rsidRPr="002D6249">
              <w:rPr>
                <w:rFonts w:ascii="Bookman Old Style" w:eastAsiaTheme="minorEastAsia" w:hAnsi="Bookman Old Style"/>
                <w:b w:val="0"/>
                <w:sz w:val="20"/>
              </w:rPr>
              <w:t>ENTER</w:t>
            </w:r>
          </w:p>
        </w:tc>
        <w:tc>
          <w:tcPr>
            <w:tcW w:w="1350" w:type="dxa"/>
          </w:tcPr>
          <w:p w14:paraId="747A0DD5" w14:textId="0BF51F9B" w:rsidR="00673661" w:rsidRPr="002D6249" w:rsidRDefault="00673661" w:rsidP="005451CD">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2D6249">
              <w:rPr>
                <w:rFonts w:ascii="Bookman Old Style" w:eastAsiaTheme="minorEastAsia" w:hAnsi="Bookman Old Style"/>
                <w:sz w:val="20"/>
              </w:rPr>
              <w:t>↓</w:t>
            </w:r>
          </w:p>
        </w:tc>
      </w:tr>
      <w:tr w:rsidR="00673661" w14:paraId="0839E7FB" w14:textId="77777777" w:rsidTr="00673661">
        <w:trPr>
          <w:jc w:val="center"/>
        </w:trPr>
        <w:tc>
          <w:tcPr>
            <w:cnfStyle w:val="001000000000" w:firstRow="0" w:lastRow="0" w:firstColumn="1" w:lastColumn="0" w:oddVBand="0" w:evenVBand="0" w:oddHBand="0" w:evenHBand="0" w:firstRowFirstColumn="0" w:firstRowLastColumn="0" w:lastRowFirstColumn="0" w:lastRowLastColumn="0"/>
            <w:tcW w:w="1098" w:type="dxa"/>
          </w:tcPr>
          <w:p w14:paraId="646B206A" w14:textId="55CA3BF3" w:rsidR="00673661" w:rsidRPr="002D6249" w:rsidRDefault="00673661" w:rsidP="005451CD">
            <w:pPr>
              <w:jc w:val="both"/>
              <w:rPr>
                <w:rFonts w:ascii="Bookman Old Style" w:eastAsiaTheme="minorEastAsia" w:hAnsi="Bookman Old Style"/>
                <w:b w:val="0"/>
                <w:sz w:val="20"/>
              </w:rPr>
            </w:pPr>
            <w:r w:rsidRPr="002D6249">
              <w:rPr>
                <w:rFonts w:ascii="Bookman Old Style" w:eastAsiaTheme="minorEastAsia" w:hAnsi="Bookman Old Style"/>
                <w:b w:val="0"/>
                <w:sz w:val="20"/>
              </w:rPr>
              <w:t>F01</w:t>
            </w:r>
          </w:p>
        </w:tc>
        <w:tc>
          <w:tcPr>
            <w:tcW w:w="1350" w:type="dxa"/>
          </w:tcPr>
          <w:p w14:paraId="7CC76350" w14:textId="4A6AAD6C" w:rsidR="00673661" w:rsidRPr="002D6249" w:rsidRDefault="00673661" w:rsidP="005451CD">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2D6249">
              <w:rPr>
                <w:rFonts w:ascii="Bookman Old Style" w:eastAsiaTheme="minorEastAsia" w:hAnsi="Bookman Old Style"/>
                <w:sz w:val="20"/>
              </w:rPr>
              <w:t>2</w:t>
            </w:r>
          </w:p>
        </w:tc>
      </w:tr>
      <w:tr w:rsidR="00673661" w14:paraId="69FC5CC7" w14:textId="77777777" w:rsidTr="006736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98" w:type="dxa"/>
          </w:tcPr>
          <w:p w14:paraId="35445BDA" w14:textId="4E2EA107" w:rsidR="00673661" w:rsidRPr="002D6249" w:rsidRDefault="00673661" w:rsidP="005451CD">
            <w:pPr>
              <w:jc w:val="both"/>
              <w:rPr>
                <w:rFonts w:ascii="Bookman Old Style" w:eastAsiaTheme="minorEastAsia" w:hAnsi="Bookman Old Style"/>
                <w:b w:val="0"/>
                <w:sz w:val="20"/>
              </w:rPr>
            </w:pPr>
            <w:r w:rsidRPr="002D6249">
              <w:rPr>
                <w:rFonts w:ascii="Bookman Old Style" w:eastAsiaTheme="minorEastAsia" w:hAnsi="Bookman Old Style"/>
                <w:b w:val="0"/>
                <w:sz w:val="20"/>
              </w:rPr>
              <w:t>ENTER</w:t>
            </w:r>
          </w:p>
        </w:tc>
        <w:tc>
          <w:tcPr>
            <w:tcW w:w="1350" w:type="dxa"/>
          </w:tcPr>
          <w:p w14:paraId="1A848C05" w14:textId="6DE458D1" w:rsidR="00673661" w:rsidRPr="002D6249" w:rsidRDefault="00673661" w:rsidP="005451CD">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2D6249">
              <w:rPr>
                <w:rFonts w:ascii="Bookman Old Style" w:eastAsiaTheme="minorEastAsia" w:hAnsi="Bookman Old Style"/>
                <w:sz w:val="20"/>
              </w:rPr>
              <w:t>↓</w:t>
            </w:r>
          </w:p>
        </w:tc>
      </w:tr>
      <w:tr w:rsidR="00673661" w14:paraId="52A3CF04" w14:textId="77777777" w:rsidTr="00673661">
        <w:trPr>
          <w:jc w:val="center"/>
        </w:trPr>
        <w:tc>
          <w:tcPr>
            <w:cnfStyle w:val="001000000000" w:firstRow="0" w:lastRow="0" w:firstColumn="1" w:lastColumn="0" w:oddVBand="0" w:evenVBand="0" w:oddHBand="0" w:evenHBand="0" w:firstRowFirstColumn="0" w:firstRowLastColumn="0" w:lastRowFirstColumn="0" w:lastRowLastColumn="0"/>
            <w:tcW w:w="1098" w:type="dxa"/>
          </w:tcPr>
          <w:p w14:paraId="1A086FDF" w14:textId="7149AE9B" w:rsidR="00673661" w:rsidRPr="002D6249" w:rsidRDefault="00673661" w:rsidP="005451CD">
            <w:pPr>
              <w:jc w:val="both"/>
              <w:rPr>
                <w:rFonts w:ascii="Bookman Old Style" w:eastAsiaTheme="minorEastAsia" w:hAnsi="Bookman Old Style"/>
                <w:b w:val="0"/>
                <w:sz w:val="20"/>
              </w:rPr>
            </w:pPr>
            <w:r w:rsidRPr="002D6249">
              <w:rPr>
                <w:rFonts w:ascii="Bookman Old Style" w:eastAsiaTheme="minorEastAsia" w:hAnsi="Bookman Old Style"/>
                <w:b w:val="0"/>
                <w:sz w:val="20"/>
              </w:rPr>
              <w:t>C02</w:t>
            </w:r>
          </w:p>
        </w:tc>
        <w:tc>
          <w:tcPr>
            <w:tcW w:w="1350" w:type="dxa"/>
          </w:tcPr>
          <w:p w14:paraId="50B88A70" w14:textId="32BC6E90" w:rsidR="00673661" w:rsidRPr="002D6249" w:rsidRDefault="00673661" w:rsidP="005451CD">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2D6249">
              <w:rPr>
                <w:rFonts w:ascii="Bookman Old Style" w:eastAsiaTheme="minorEastAsia" w:hAnsi="Bookman Old Style"/>
                <w:sz w:val="20"/>
              </w:rPr>
              <w:t>4000</w:t>
            </w:r>
          </w:p>
        </w:tc>
      </w:tr>
      <w:tr w:rsidR="00673661" w14:paraId="242AD662" w14:textId="77777777" w:rsidTr="006736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98" w:type="dxa"/>
          </w:tcPr>
          <w:p w14:paraId="04410AC9" w14:textId="1A6F305E" w:rsidR="00673661" w:rsidRPr="002D6249" w:rsidRDefault="00673661" w:rsidP="005451CD">
            <w:pPr>
              <w:jc w:val="both"/>
              <w:rPr>
                <w:rFonts w:ascii="Bookman Old Style" w:eastAsiaTheme="minorEastAsia" w:hAnsi="Bookman Old Style"/>
                <w:b w:val="0"/>
                <w:sz w:val="20"/>
              </w:rPr>
            </w:pPr>
            <w:r w:rsidRPr="002D6249">
              <w:rPr>
                <w:rFonts w:ascii="Bookman Old Style" w:eastAsiaTheme="minorEastAsia" w:hAnsi="Bookman Old Style"/>
                <w:b w:val="0"/>
                <w:sz w:val="20"/>
              </w:rPr>
              <w:t>ENTER</w:t>
            </w:r>
          </w:p>
        </w:tc>
        <w:tc>
          <w:tcPr>
            <w:tcW w:w="1350" w:type="dxa"/>
          </w:tcPr>
          <w:p w14:paraId="4E476642" w14:textId="369F338E" w:rsidR="00673661" w:rsidRPr="002D6249" w:rsidRDefault="00673661" w:rsidP="005451CD">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2D6249">
              <w:rPr>
                <w:rFonts w:ascii="Bookman Old Style" w:eastAsiaTheme="minorEastAsia" w:hAnsi="Bookman Old Style"/>
                <w:sz w:val="20"/>
              </w:rPr>
              <w:t>↓</w:t>
            </w:r>
          </w:p>
        </w:tc>
      </w:tr>
      <w:tr w:rsidR="00673661" w14:paraId="3F7AAE2C" w14:textId="77777777" w:rsidTr="00673661">
        <w:trPr>
          <w:jc w:val="center"/>
        </w:trPr>
        <w:tc>
          <w:tcPr>
            <w:cnfStyle w:val="001000000000" w:firstRow="0" w:lastRow="0" w:firstColumn="1" w:lastColumn="0" w:oddVBand="0" w:evenVBand="0" w:oddHBand="0" w:evenHBand="0" w:firstRowFirstColumn="0" w:firstRowLastColumn="0" w:lastRowFirstColumn="0" w:lastRowLastColumn="0"/>
            <w:tcW w:w="1098" w:type="dxa"/>
          </w:tcPr>
          <w:p w14:paraId="4008FB4D" w14:textId="6078A892" w:rsidR="00673661" w:rsidRPr="002D6249" w:rsidRDefault="00673661" w:rsidP="005451CD">
            <w:pPr>
              <w:jc w:val="both"/>
              <w:rPr>
                <w:rFonts w:ascii="Bookman Old Style" w:eastAsiaTheme="minorEastAsia" w:hAnsi="Bookman Old Style"/>
                <w:b w:val="0"/>
                <w:sz w:val="20"/>
              </w:rPr>
            </w:pPr>
            <w:r w:rsidRPr="002D6249">
              <w:rPr>
                <w:rFonts w:ascii="Bookman Old Style" w:eastAsiaTheme="minorEastAsia" w:hAnsi="Bookman Old Style"/>
                <w:b w:val="0"/>
                <w:sz w:val="20"/>
              </w:rPr>
              <w:t>F02</w:t>
            </w:r>
          </w:p>
        </w:tc>
        <w:tc>
          <w:tcPr>
            <w:tcW w:w="1350" w:type="dxa"/>
          </w:tcPr>
          <w:p w14:paraId="339D9570" w14:textId="0FE7DA09" w:rsidR="00673661" w:rsidRPr="002D6249" w:rsidRDefault="00673661" w:rsidP="005451CD">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2D6249">
              <w:rPr>
                <w:rFonts w:ascii="Bookman Old Style" w:eastAsiaTheme="minorEastAsia" w:hAnsi="Bookman Old Style"/>
                <w:sz w:val="20"/>
              </w:rPr>
              <w:t>2</w:t>
            </w:r>
          </w:p>
        </w:tc>
      </w:tr>
      <w:tr w:rsidR="00673661" w14:paraId="43655D65" w14:textId="77777777" w:rsidTr="006736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98" w:type="dxa"/>
          </w:tcPr>
          <w:p w14:paraId="5C83A0A6" w14:textId="22BCCFF3" w:rsidR="00673661" w:rsidRPr="002D6249" w:rsidRDefault="00673661" w:rsidP="005451CD">
            <w:pPr>
              <w:jc w:val="both"/>
              <w:rPr>
                <w:rFonts w:ascii="Bookman Old Style" w:eastAsiaTheme="minorEastAsia" w:hAnsi="Bookman Old Style"/>
                <w:b w:val="0"/>
                <w:sz w:val="20"/>
              </w:rPr>
            </w:pPr>
            <w:r w:rsidRPr="002D6249">
              <w:rPr>
                <w:rFonts w:ascii="Bookman Old Style" w:eastAsiaTheme="minorEastAsia" w:hAnsi="Bookman Old Style"/>
                <w:b w:val="0"/>
                <w:sz w:val="20"/>
              </w:rPr>
              <w:t>ENTER</w:t>
            </w:r>
          </w:p>
        </w:tc>
        <w:tc>
          <w:tcPr>
            <w:tcW w:w="1350" w:type="dxa"/>
          </w:tcPr>
          <w:p w14:paraId="40B6E469" w14:textId="4082521A" w:rsidR="00673661" w:rsidRPr="002D6249" w:rsidRDefault="00673661" w:rsidP="005451CD">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2D6249">
              <w:rPr>
                <w:rFonts w:ascii="Bookman Old Style" w:eastAsiaTheme="minorEastAsia" w:hAnsi="Bookman Old Style"/>
                <w:sz w:val="20"/>
              </w:rPr>
              <w:t>↓</w:t>
            </w:r>
          </w:p>
        </w:tc>
      </w:tr>
      <w:tr w:rsidR="00673661" w14:paraId="44B2E7BD" w14:textId="77777777" w:rsidTr="00673661">
        <w:trPr>
          <w:jc w:val="center"/>
        </w:trPr>
        <w:tc>
          <w:tcPr>
            <w:cnfStyle w:val="001000000000" w:firstRow="0" w:lastRow="0" w:firstColumn="1" w:lastColumn="0" w:oddVBand="0" w:evenVBand="0" w:oddHBand="0" w:evenHBand="0" w:firstRowFirstColumn="0" w:firstRowLastColumn="0" w:lastRowFirstColumn="0" w:lastRowLastColumn="0"/>
            <w:tcW w:w="1098" w:type="dxa"/>
          </w:tcPr>
          <w:p w14:paraId="3E403B05" w14:textId="1E7111A8" w:rsidR="00673661" w:rsidRPr="002D6249" w:rsidRDefault="00673661" w:rsidP="005451CD">
            <w:pPr>
              <w:jc w:val="both"/>
              <w:rPr>
                <w:rFonts w:ascii="Bookman Old Style" w:eastAsiaTheme="minorEastAsia" w:hAnsi="Bookman Old Style"/>
                <w:b w:val="0"/>
                <w:sz w:val="20"/>
              </w:rPr>
            </w:pPr>
            <w:r w:rsidRPr="002D6249">
              <w:rPr>
                <w:rFonts w:ascii="Bookman Old Style" w:eastAsiaTheme="minorEastAsia" w:hAnsi="Bookman Old Style"/>
                <w:b w:val="0"/>
                <w:sz w:val="20"/>
              </w:rPr>
              <w:t>C03</w:t>
            </w:r>
          </w:p>
        </w:tc>
        <w:tc>
          <w:tcPr>
            <w:tcW w:w="1350" w:type="dxa"/>
          </w:tcPr>
          <w:p w14:paraId="4125080E" w14:textId="72BF2542" w:rsidR="00673661" w:rsidRPr="002D6249" w:rsidRDefault="00673661" w:rsidP="005451CD">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2D6249">
              <w:rPr>
                <w:rFonts w:ascii="Bookman Old Style" w:eastAsiaTheme="minorEastAsia" w:hAnsi="Bookman Old Style"/>
                <w:sz w:val="20"/>
              </w:rPr>
              <w:t>5000</w:t>
            </w:r>
          </w:p>
        </w:tc>
      </w:tr>
      <w:tr w:rsidR="00673661" w14:paraId="407017E7" w14:textId="77777777" w:rsidTr="006736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98" w:type="dxa"/>
          </w:tcPr>
          <w:p w14:paraId="261E3F4A" w14:textId="2751C246" w:rsidR="00673661" w:rsidRPr="002D6249" w:rsidRDefault="00673661" w:rsidP="005451CD">
            <w:pPr>
              <w:jc w:val="both"/>
              <w:rPr>
                <w:rFonts w:ascii="Bookman Old Style" w:eastAsiaTheme="minorEastAsia" w:hAnsi="Bookman Old Style"/>
                <w:b w:val="0"/>
                <w:sz w:val="20"/>
              </w:rPr>
            </w:pPr>
            <w:r w:rsidRPr="002D6249">
              <w:rPr>
                <w:rFonts w:ascii="Bookman Old Style" w:eastAsiaTheme="minorEastAsia" w:hAnsi="Bookman Old Style"/>
                <w:b w:val="0"/>
                <w:sz w:val="20"/>
              </w:rPr>
              <w:t>ENTER</w:t>
            </w:r>
          </w:p>
        </w:tc>
        <w:tc>
          <w:tcPr>
            <w:tcW w:w="1350" w:type="dxa"/>
          </w:tcPr>
          <w:p w14:paraId="716EBDB1" w14:textId="0696CA9B" w:rsidR="00673661" w:rsidRPr="002D6249" w:rsidRDefault="00673661" w:rsidP="005451CD">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2D6249">
              <w:rPr>
                <w:rFonts w:ascii="Bookman Old Style" w:eastAsiaTheme="minorEastAsia" w:hAnsi="Bookman Old Style"/>
                <w:sz w:val="20"/>
              </w:rPr>
              <w:t>↓</w:t>
            </w:r>
          </w:p>
        </w:tc>
      </w:tr>
      <w:tr w:rsidR="00673661" w14:paraId="4F05FB15" w14:textId="77777777" w:rsidTr="00673661">
        <w:trPr>
          <w:jc w:val="center"/>
        </w:trPr>
        <w:tc>
          <w:tcPr>
            <w:cnfStyle w:val="001000000000" w:firstRow="0" w:lastRow="0" w:firstColumn="1" w:lastColumn="0" w:oddVBand="0" w:evenVBand="0" w:oddHBand="0" w:evenHBand="0" w:firstRowFirstColumn="0" w:firstRowLastColumn="0" w:lastRowFirstColumn="0" w:lastRowLastColumn="0"/>
            <w:tcW w:w="1098" w:type="dxa"/>
          </w:tcPr>
          <w:p w14:paraId="5CF457E6" w14:textId="337E2421" w:rsidR="00673661" w:rsidRPr="002D6249" w:rsidRDefault="00673661" w:rsidP="005451CD">
            <w:pPr>
              <w:jc w:val="both"/>
              <w:rPr>
                <w:rFonts w:ascii="Bookman Old Style" w:eastAsiaTheme="minorEastAsia" w:hAnsi="Bookman Old Style"/>
                <w:b w:val="0"/>
                <w:sz w:val="20"/>
              </w:rPr>
            </w:pPr>
            <w:r w:rsidRPr="002D6249">
              <w:rPr>
                <w:rFonts w:ascii="Bookman Old Style" w:eastAsiaTheme="minorEastAsia" w:hAnsi="Bookman Old Style"/>
                <w:b w:val="0"/>
                <w:sz w:val="20"/>
              </w:rPr>
              <w:t>F03</w:t>
            </w:r>
          </w:p>
        </w:tc>
        <w:tc>
          <w:tcPr>
            <w:tcW w:w="1350" w:type="dxa"/>
          </w:tcPr>
          <w:p w14:paraId="24DD0B44" w14:textId="093CD51E" w:rsidR="00673661" w:rsidRPr="002D6249" w:rsidRDefault="00673661" w:rsidP="005451CD">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2D6249">
              <w:rPr>
                <w:rFonts w:ascii="Bookman Old Style" w:eastAsiaTheme="minorEastAsia" w:hAnsi="Bookman Old Style"/>
                <w:sz w:val="20"/>
              </w:rPr>
              <w:t>1</w:t>
            </w:r>
          </w:p>
        </w:tc>
      </w:tr>
      <w:tr w:rsidR="00673661" w14:paraId="009C506F" w14:textId="77777777" w:rsidTr="006736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98" w:type="dxa"/>
          </w:tcPr>
          <w:p w14:paraId="27566DE6" w14:textId="07C66E45" w:rsidR="00673661" w:rsidRPr="002D6249" w:rsidRDefault="00673661" w:rsidP="005451CD">
            <w:pPr>
              <w:jc w:val="both"/>
              <w:rPr>
                <w:rFonts w:ascii="Bookman Old Style" w:eastAsiaTheme="minorEastAsia" w:hAnsi="Bookman Old Style"/>
                <w:b w:val="0"/>
                <w:sz w:val="20"/>
              </w:rPr>
            </w:pPr>
            <w:r w:rsidRPr="002D6249">
              <w:rPr>
                <w:rFonts w:ascii="Bookman Old Style" w:eastAsiaTheme="minorEastAsia" w:hAnsi="Bookman Old Style"/>
                <w:b w:val="0"/>
                <w:sz w:val="20"/>
              </w:rPr>
              <w:t>ENTER</w:t>
            </w:r>
          </w:p>
        </w:tc>
        <w:tc>
          <w:tcPr>
            <w:tcW w:w="1350" w:type="dxa"/>
          </w:tcPr>
          <w:p w14:paraId="39C2C8C0" w14:textId="6C6135A0" w:rsidR="00673661" w:rsidRPr="002D6249" w:rsidRDefault="00673661" w:rsidP="005451CD">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2D6249">
              <w:rPr>
                <w:rFonts w:ascii="Bookman Old Style" w:eastAsiaTheme="minorEastAsia" w:hAnsi="Bookman Old Style"/>
                <w:sz w:val="20"/>
              </w:rPr>
              <w:t>NPV</w:t>
            </w:r>
          </w:p>
        </w:tc>
      </w:tr>
      <w:tr w:rsidR="00673661" w14:paraId="79632A78" w14:textId="77777777" w:rsidTr="00673661">
        <w:trPr>
          <w:jc w:val="center"/>
        </w:trPr>
        <w:tc>
          <w:tcPr>
            <w:cnfStyle w:val="001000000000" w:firstRow="0" w:lastRow="0" w:firstColumn="1" w:lastColumn="0" w:oddVBand="0" w:evenVBand="0" w:oddHBand="0" w:evenHBand="0" w:firstRowFirstColumn="0" w:firstRowLastColumn="0" w:lastRowFirstColumn="0" w:lastRowLastColumn="0"/>
            <w:tcW w:w="1098" w:type="dxa"/>
          </w:tcPr>
          <w:p w14:paraId="76F503A0" w14:textId="68533B07" w:rsidR="00673661" w:rsidRPr="002D6249" w:rsidRDefault="00673661" w:rsidP="005451CD">
            <w:pPr>
              <w:jc w:val="both"/>
              <w:rPr>
                <w:rFonts w:ascii="Bookman Old Style" w:eastAsiaTheme="minorEastAsia" w:hAnsi="Bookman Old Style"/>
                <w:b w:val="0"/>
                <w:sz w:val="20"/>
              </w:rPr>
            </w:pPr>
            <w:r w:rsidRPr="002D6249">
              <w:rPr>
                <w:rFonts w:ascii="Bookman Old Style" w:eastAsiaTheme="minorEastAsia" w:hAnsi="Bookman Old Style"/>
                <w:b w:val="0"/>
                <w:sz w:val="20"/>
              </w:rPr>
              <w:t>I</w:t>
            </w:r>
          </w:p>
        </w:tc>
        <w:tc>
          <w:tcPr>
            <w:tcW w:w="1350" w:type="dxa"/>
          </w:tcPr>
          <w:p w14:paraId="3099050A" w14:textId="5C0C57C7" w:rsidR="00673661" w:rsidRPr="002D6249" w:rsidRDefault="00673661" w:rsidP="005451CD">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2D6249">
              <w:rPr>
                <w:rFonts w:ascii="Bookman Old Style" w:eastAsiaTheme="minorEastAsia" w:hAnsi="Bookman Old Style"/>
                <w:sz w:val="20"/>
              </w:rPr>
              <w:t>10%</w:t>
            </w:r>
          </w:p>
        </w:tc>
      </w:tr>
      <w:tr w:rsidR="00673661" w14:paraId="1ADF55BD" w14:textId="77777777" w:rsidTr="006736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98" w:type="dxa"/>
          </w:tcPr>
          <w:p w14:paraId="266F7D01" w14:textId="04E903C3" w:rsidR="00673661" w:rsidRPr="002D6249" w:rsidRDefault="00673661" w:rsidP="005451CD">
            <w:pPr>
              <w:jc w:val="both"/>
              <w:rPr>
                <w:rFonts w:ascii="Bookman Old Style" w:eastAsiaTheme="minorEastAsia" w:hAnsi="Bookman Old Style"/>
                <w:b w:val="0"/>
                <w:sz w:val="20"/>
              </w:rPr>
            </w:pPr>
            <w:r w:rsidRPr="002D6249">
              <w:rPr>
                <w:rFonts w:ascii="Bookman Old Style" w:eastAsiaTheme="minorEastAsia" w:hAnsi="Bookman Old Style"/>
                <w:b w:val="0"/>
                <w:sz w:val="20"/>
              </w:rPr>
              <w:t>ENTER</w:t>
            </w:r>
          </w:p>
        </w:tc>
        <w:tc>
          <w:tcPr>
            <w:tcW w:w="1350" w:type="dxa"/>
          </w:tcPr>
          <w:p w14:paraId="1E1B5D84" w14:textId="7A4209FB" w:rsidR="00673661" w:rsidRPr="002D6249" w:rsidRDefault="00673661" w:rsidP="005451CD">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2D6249">
              <w:rPr>
                <w:rFonts w:ascii="Bookman Old Style" w:eastAsiaTheme="minorEastAsia" w:hAnsi="Bookman Old Style"/>
                <w:sz w:val="20"/>
              </w:rPr>
              <w:t>↓</w:t>
            </w:r>
          </w:p>
        </w:tc>
      </w:tr>
      <w:tr w:rsidR="00673661" w14:paraId="07D5D5B0" w14:textId="77777777" w:rsidTr="00673661">
        <w:trPr>
          <w:jc w:val="center"/>
        </w:trPr>
        <w:tc>
          <w:tcPr>
            <w:cnfStyle w:val="001000000000" w:firstRow="0" w:lastRow="0" w:firstColumn="1" w:lastColumn="0" w:oddVBand="0" w:evenVBand="0" w:oddHBand="0" w:evenHBand="0" w:firstRowFirstColumn="0" w:firstRowLastColumn="0" w:lastRowFirstColumn="0" w:lastRowLastColumn="0"/>
            <w:tcW w:w="1098" w:type="dxa"/>
          </w:tcPr>
          <w:p w14:paraId="795C5619" w14:textId="3798DD69" w:rsidR="00673661" w:rsidRPr="002D6249" w:rsidRDefault="00673661" w:rsidP="005451CD">
            <w:pPr>
              <w:jc w:val="both"/>
              <w:rPr>
                <w:rFonts w:ascii="Bookman Old Style" w:eastAsiaTheme="minorEastAsia" w:hAnsi="Bookman Old Style"/>
                <w:b w:val="0"/>
                <w:sz w:val="20"/>
              </w:rPr>
            </w:pPr>
            <w:r w:rsidRPr="002D6249">
              <w:rPr>
                <w:rFonts w:ascii="Bookman Old Style" w:eastAsiaTheme="minorEastAsia" w:hAnsi="Bookman Old Style"/>
                <w:b w:val="0"/>
                <w:sz w:val="20"/>
              </w:rPr>
              <w:t>NPV</w:t>
            </w:r>
          </w:p>
        </w:tc>
        <w:tc>
          <w:tcPr>
            <w:tcW w:w="1350" w:type="dxa"/>
          </w:tcPr>
          <w:p w14:paraId="665FE4B5" w14:textId="317383ED" w:rsidR="00673661" w:rsidRPr="002D6249" w:rsidRDefault="00673661" w:rsidP="005451CD">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2D6249">
              <w:rPr>
                <w:rFonts w:ascii="Bookman Old Style" w:eastAsiaTheme="minorEastAsia" w:hAnsi="Bookman Old Style"/>
                <w:sz w:val="20"/>
              </w:rPr>
              <w:t>CPT</w:t>
            </w:r>
          </w:p>
        </w:tc>
      </w:tr>
      <w:tr w:rsidR="00673661" w14:paraId="35CF5077" w14:textId="77777777" w:rsidTr="006736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98" w:type="dxa"/>
          </w:tcPr>
          <w:p w14:paraId="01BB24B3" w14:textId="77777777" w:rsidR="00673661" w:rsidRPr="002D6249" w:rsidRDefault="00673661" w:rsidP="005451CD">
            <w:pPr>
              <w:jc w:val="both"/>
              <w:rPr>
                <w:rFonts w:ascii="Bookman Old Style" w:eastAsiaTheme="minorEastAsia" w:hAnsi="Bookman Old Style"/>
                <w:sz w:val="20"/>
              </w:rPr>
            </w:pPr>
          </w:p>
        </w:tc>
        <w:tc>
          <w:tcPr>
            <w:tcW w:w="1350" w:type="dxa"/>
          </w:tcPr>
          <w:p w14:paraId="037B8CA5" w14:textId="6D4EAA61" w:rsidR="00673661" w:rsidRPr="002D6249" w:rsidRDefault="00673661" w:rsidP="005451CD">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2D6249">
              <w:rPr>
                <w:rFonts w:ascii="Bookman Old Style" w:eastAsiaTheme="minorEastAsia" w:hAnsi="Bookman Old Style"/>
                <w:sz w:val="20"/>
              </w:rPr>
              <w:t>=2,312.99</w:t>
            </w:r>
          </w:p>
        </w:tc>
      </w:tr>
    </w:tbl>
    <w:p w14:paraId="0FA59725" w14:textId="77777777" w:rsidR="007D2311" w:rsidRDefault="007D2311" w:rsidP="005451CD">
      <w:pPr>
        <w:spacing w:after="0" w:line="240" w:lineRule="auto"/>
        <w:jc w:val="both"/>
        <w:rPr>
          <w:rFonts w:ascii="Bookman Old Style" w:eastAsiaTheme="minorEastAsia" w:hAnsi="Bookman Old Style"/>
        </w:rPr>
      </w:pPr>
    </w:p>
    <w:p w14:paraId="49CE5D12" w14:textId="2170B00F" w:rsidR="00673661" w:rsidRDefault="00673661" w:rsidP="005451CD">
      <w:pPr>
        <w:spacing w:after="0" w:line="240" w:lineRule="auto"/>
        <w:jc w:val="both"/>
        <w:rPr>
          <w:rFonts w:ascii="Bookman Old Style" w:eastAsiaTheme="minorEastAsia" w:hAnsi="Bookman Old Style"/>
        </w:rPr>
      </w:pPr>
    </w:p>
    <w:p w14:paraId="26BCAA3C" w14:textId="77777777" w:rsidR="002D6249" w:rsidRDefault="002D6249" w:rsidP="005451CD">
      <w:pPr>
        <w:spacing w:after="0" w:line="240" w:lineRule="auto"/>
        <w:jc w:val="both"/>
        <w:rPr>
          <w:rFonts w:ascii="Bookman Old Style" w:eastAsiaTheme="minorEastAsia" w:hAnsi="Bookman Old Style"/>
        </w:rPr>
      </w:pPr>
    </w:p>
    <w:p w14:paraId="0CD55335" w14:textId="6EE5DFA8" w:rsidR="00673661" w:rsidRDefault="00673661" w:rsidP="005451CD">
      <w:pPr>
        <w:spacing w:after="0" w:line="240" w:lineRule="auto"/>
        <w:jc w:val="center"/>
        <w:rPr>
          <w:rFonts w:ascii="Bookman Old Style" w:eastAsiaTheme="minorEastAsia" w:hAnsi="Bookman Old Style"/>
          <w:b/>
          <w:u w:val="single"/>
        </w:rPr>
      </w:pPr>
      <w:r>
        <w:rPr>
          <w:rFonts w:ascii="Bookman Old Style" w:eastAsiaTheme="minorEastAsia" w:hAnsi="Bookman Old Style"/>
          <w:b/>
          <w:u w:val="single"/>
        </w:rPr>
        <w:t>THE PAYBACK RULE</w:t>
      </w:r>
    </w:p>
    <w:p w14:paraId="34211437" w14:textId="77777777" w:rsidR="002D6249" w:rsidRDefault="002D6249" w:rsidP="005451CD">
      <w:pPr>
        <w:spacing w:after="0" w:line="240" w:lineRule="auto"/>
        <w:jc w:val="center"/>
        <w:rPr>
          <w:rFonts w:ascii="Bookman Old Style" w:eastAsiaTheme="minorEastAsia" w:hAnsi="Bookman Old Style"/>
          <w:b/>
          <w:u w:val="single"/>
        </w:rPr>
      </w:pPr>
    </w:p>
    <w:p w14:paraId="52107C44" w14:textId="6CA5D713" w:rsidR="005A4019" w:rsidRDefault="005A4019" w:rsidP="005451CD">
      <w:pPr>
        <w:spacing w:after="0" w:line="240" w:lineRule="auto"/>
        <w:jc w:val="both"/>
        <w:rPr>
          <w:rFonts w:ascii="Bookman Old Style" w:eastAsiaTheme="minorEastAsia" w:hAnsi="Bookman Old Style"/>
        </w:rPr>
      </w:pPr>
      <w:r>
        <w:rPr>
          <w:rFonts w:ascii="Bookman Old Style" w:eastAsiaTheme="minorEastAsia" w:hAnsi="Bookman Old Style"/>
        </w:rPr>
        <w:t>The payback on a proposed investment is the length of time it takes to recover our initial investment. This idea is widely understood and used.</w:t>
      </w:r>
    </w:p>
    <w:p w14:paraId="1A6D42BC" w14:textId="77777777" w:rsidR="005A4019" w:rsidRDefault="005A4019" w:rsidP="005451CD">
      <w:pPr>
        <w:spacing w:after="0" w:line="240" w:lineRule="auto"/>
        <w:jc w:val="both"/>
        <w:rPr>
          <w:rFonts w:ascii="Bookman Old Style" w:eastAsiaTheme="minorEastAsia" w:hAnsi="Bookman Old Style"/>
        </w:rPr>
      </w:pPr>
    </w:p>
    <w:p w14:paraId="6CA6D36B" w14:textId="77777777" w:rsidR="005A4019" w:rsidRDefault="005A4019" w:rsidP="005451CD">
      <w:pPr>
        <w:spacing w:after="0" w:line="240" w:lineRule="auto"/>
        <w:jc w:val="both"/>
        <w:rPr>
          <w:rFonts w:ascii="Bookman Old Style" w:eastAsiaTheme="minorEastAsia" w:hAnsi="Bookman Old Style"/>
        </w:rPr>
      </w:pPr>
    </w:p>
    <w:p w14:paraId="5709A4E8" w14:textId="0EC6064E" w:rsidR="005A4019" w:rsidRDefault="002D6249" w:rsidP="005451CD">
      <w:pPr>
        <w:spacing w:after="0" w:line="240" w:lineRule="auto"/>
        <w:jc w:val="both"/>
        <w:rPr>
          <w:rFonts w:ascii="Bookman Old Style" w:eastAsiaTheme="minorEastAsia" w:hAnsi="Bookman Old Style"/>
          <w:b/>
          <w:u w:val="single"/>
        </w:rPr>
      </w:pPr>
      <w:r>
        <w:rPr>
          <w:rFonts w:ascii="Bookman Old Style" w:eastAsiaTheme="minorEastAsia" w:hAnsi="Bookman Old Style"/>
          <w:b/>
          <w:u w:val="single"/>
        </w:rPr>
        <w:t>Defining the Rule</w:t>
      </w:r>
    </w:p>
    <w:p w14:paraId="1AFC21F4" w14:textId="30C81416" w:rsidR="005A4019" w:rsidRDefault="005A4019" w:rsidP="005451CD">
      <w:pPr>
        <w:spacing w:after="0" w:line="240" w:lineRule="auto"/>
        <w:jc w:val="both"/>
        <w:rPr>
          <w:rFonts w:ascii="Bookman Old Style" w:eastAsiaTheme="minorEastAsia" w:hAnsi="Bookman Old Style"/>
        </w:rPr>
      </w:pPr>
      <w:r>
        <w:rPr>
          <w:rFonts w:ascii="Bookman Old Style" w:eastAsiaTheme="minorEastAsia" w:hAnsi="Bookman Old Style"/>
        </w:rPr>
        <w:t>The timeline below shows cash flows from a proposed investment – how many years do we have to wait until the accumulated cash flows from this investment equal or excess the cost of the investment?</w:t>
      </w:r>
    </w:p>
    <w:p w14:paraId="2036BE26" w14:textId="77777777" w:rsidR="005A4019" w:rsidRDefault="005A4019" w:rsidP="005451CD">
      <w:pPr>
        <w:spacing w:after="0" w:line="240" w:lineRule="auto"/>
        <w:jc w:val="both"/>
        <w:rPr>
          <w:rFonts w:ascii="Bookman Old Style" w:eastAsiaTheme="minorEastAsia" w:hAnsi="Bookman Old Style"/>
        </w:rPr>
      </w:pPr>
    </w:p>
    <w:p w14:paraId="269794DE" w14:textId="00C289EF" w:rsidR="005A4019" w:rsidRDefault="005A4019" w:rsidP="005451CD">
      <w:pPr>
        <w:spacing w:after="0" w:line="240" w:lineRule="auto"/>
        <w:jc w:val="both"/>
        <w:rPr>
          <w:rFonts w:ascii="Bookman Old Style" w:eastAsiaTheme="minorEastAsia" w:hAnsi="Bookman Old Style"/>
        </w:rPr>
      </w:pPr>
      <w:r>
        <w:rPr>
          <w:rFonts w:ascii="Bookman Old Style" w:eastAsiaTheme="minorEastAsia" w:hAnsi="Bookman Old Style"/>
        </w:rPr>
        <w:t>The initial investment is $50,000 – after the first year; the firm has recovered $30,000 leaving $20,000. The cash flow in the 2</w:t>
      </w:r>
      <w:r w:rsidRPr="005A4019">
        <w:rPr>
          <w:rFonts w:ascii="Bookman Old Style" w:eastAsiaTheme="minorEastAsia" w:hAnsi="Bookman Old Style"/>
          <w:vertAlign w:val="superscript"/>
        </w:rPr>
        <w:t>nd</w:t>
      </w:r>
      <w:r>
        <w:rPr>
          <w:rFonts w:ascii="Bookman Old Style" w:eastAsiaTheme="minorEastAsia" w:hAnsi="Bookman Old Style"/>
        </w:rPr>
        <w:t xml:space="preserve"> year is exactly $20,000 so this investment pays for itself in exactly 2 years.</w:t>
      </w:r>
    </w:p>
    <w:p w14:paraId="0FB7A98B" w14:textId="2A268971" w:rsidR="005A4019" w:rsidRDefault="005A4019" w:rsidP="005451CD">
      <w:pPr>
        <w:spacing w:after="0" w:line="240" w:lineRule="auto"/>
        <w:jc w:val="center"/>
        <w:rPr>
          <w:rFonts w:ascii="Bookman Old Style" w:eastAsiaTheme="minorEastAsia" w:hAnsi="Bookman Old Style"/>
        </w:rPr>
      </w:pPr>
      <w:r>
        <w:rPr>
          <w:rFonts w:ascii="Bookman Old Style" w:eastAsiaTheme="minorEastAsia" w:hAnsi="Bookman Old Style"/>
          <w:noProof/>
        </w:rPr>
        <w:drawing>
          <wp:inline distT="0" distB="0" distL="0" distR="0" wp14:anchorId="23737A56" wp14:editId="2028F742">
            <wp:extent cx="4264639" cy="1652067"/>
            <wp:effectExtent l="0" t="0" r="3175"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13EFF9A3" w14:textId="7ABCED61" w:rsidR="005A4019" w:rsidRPr="005A4019" w:rsidRDefault="005A4019" w:rsidP="005451CD">
      <w:pPr>
        <w:spacing w:after="0" w:line="240" w:lineRule="auto"/>
        <w:jc w:val="center"/>
        <w:rPr>
          <w:rFonts w:ascii="Bookman Old Style" w:eastAsiaTheme="minorEastAsia" w:hAnsi="Bookman Old Style"/>
        </w:rPr>
      </w:pPr>
    </w:p>
    <w:p w14:paraId="3138D742" w14:textId="48F761B4" w:rsidR="005A4019" w:rsidRDefault="005A4019" w:rsidP="005451CD">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 xml:space="preserve">Put another way, the </w:t>
      </w:r>
      <w:r>
        <w:rPr>
          <w:rFonts w:ascii="Bookman Old Style" w:eastAsiaTheme="minorEastAsia" w:hAnsi="Bookman Old Style"/>
          <w:b/>
        </w:rPr>
        <w:t>payback period</w:t>
      </w:r>
      <w:r>
        <w:rPr>
          <w:rFonts w:ascii="Bookman Old Style" w:eastAsiaTheme="minorEastAsia" w:hAnsi="Bookman Old Style"/>
        </w:rPr>
        <w:t xml:space="preserve"> is 2 years. If we require a payback of 3 years or less, then this investment is acceptable. This illustrates the </w:t>
      </w:r>
      <w:r>
        <w:rPr>
          <w:rFonts w:ascii="Bookman Old Style" w:eastAsiaTheme="minorEastAsia" w:hAnsi="Bookman Old Style"/>
          <w:i/>
        </w:rPr>
        <w:t>payback period rule</w:t>
      </w:r>
      <w:r>
        <w:rPr>
          <w:rFonts w:ascii="Bookman Old Style" w:eastAsiaTheme="minorEastAsia" w:hAnsi="Bookman Old Style"/>
        </w:rPr>
        <w:t>.</w:t>
      </w:r>
    </w:p>
    <w:p w14:paraId="248CCF3F" w14:textId="77777777" w:rsidR="005A4019" w:rsidRDefault="005A4019" w:rsidP="005451CD">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5A4019" w14:paraId="47B80E03" w14:textId="77777777" w:rsidTr="005A4019">
        <w:tc>
          <w:tcPr>
            <w:tcW w:w="9576" w:type="dxa"/>
          </w:tcPr>
          <w:p w14:paraId="7AFE6EB0" w14:textId="0E4B7AAC" w:rsidR="005A4019" w:rsidRDefault="005A4019" w:rsidP="005451CD">
            <w:pPr>
              <w:jc w:val="both"/>
              <w:rPr>
                <w:rFonts w:ascii="Bookman Old Style" w:eastAsiaTheme="minorEastAsia" w:hAnsi="Bookman Old Style"/>
              </w:rPr>
            </w:pPr>
          </w:p>
          <w:p w14:paraId="57590CC3" w14:textId="77777777" w:rsidR="005A4019" w:rsidRDefault="005A4019" w:rsidP="005451CD">
            <w:pPr>
              <w:jc w:val="both"/>
              <w:rPr>
                <w:rFonts w:ascii="Bookman Old Style" w:eastAsiaTheme="minorEastAsia" w:hAnsi="Bookman Old Style"/>
              </w:rPr>
            </w:pPr>
            <w:r>
              <w:rPr>
                <w:rFonts w:ascii="Bookman Old Style" w:eastAsiaTheme="minorEastAsia" w:hAnsi="Bookman Old Style"/>
                <w:b/>
              </w:rPr>
              <w:t xml:space="preserve">Payback Period – </w:t>
            </w:r>
            <w:r>
              <w:rPr>
                <w:rFonts w:ascii="Bookman Old Style" w:eastAsiaTheme="minorEastAsia" w:hAnsi="Bookman Old Style"/>
              </w:rPr>
              <w:t>The amount of time required for an investment to generate cash flows to recover its initial cost.</w:t>
            </w:r>
          </w:p>
          <w:p w14:paraId="3423426D" w14:textId="6F0CC11B" w:rsidR="005A4019" w:rsidRPr="005A4019" w:rsidRDefault="005A4019" w:rsidP="005451CD">
            <w:pPr>
              <w:jc w:val="both"/>
              <w:rPr>
                <w:rFonts w:ascii="Bookman Old Style" w:eastAsiaTheme="minorEastAsia" w:hAnsi="Bookman Old Style"/>
              </w:rPr>
            </w:pPr>
          </w:p>
        </w:tc>
      </w:tr>
    </w:tbl>
    <w:p w14:paraId="556C0A9C" w14:textId="77777777" w:rsidR="005A4019" w:rsidRDefault="005A4019" w:rsidP="005451CD">
      <w:pPr>
        <w:spacing w:after="0" w:line="240" w:lineRule="auto"/>
        <w:jc w:val="both"/>
        <w:rPr>
          <w:rFonts w:ascii="Bookman Old Style" w:eastAsiaTheme="minorEastAsia" w:hAnsi="Bookman Old Style"/>
        </w:rPr>
      </w:pPr>
    </w:p>
    <w:p w14:paraId="00ADC632" w14:textId="5146DCE5" w:rsidR="005A4019" w:rsidRDefault="005A4019" w:rsidP="005451CD">
      <w:pPr>
        <w:spacing w:after="0" w:line="240" w:lineRule="auto"/>
        <w:jc w:val="both"/>
        <w:rPr>
          <w:rFonts w:ascii="Bookman Old Style" w:eastAsiaTheme="minorEastAsia" w:hAnsi="Bookman Old Style"/>
        </w:rPr>
      </w:pPr>
      <w:r>
        <w:rPr>
          <w:rFonts w:ascii="Bookman Old Style" w:eastAsiaTheme="minorEastAsia" w:hAnsi="Bookman Old Style"/>
        </w:rPr>
        <w:t xml:space="preserve">Based on the </w:t>
      </w:r>
      <w:r>
        <w:rPr>
          <w:rFonts w:ascii="Bookman Old Style" w:eastAsiaTheme="minorEastAsia" w:hAnsi="Bookman Old Style"/>
          <w:b/>
          <w:i/>
        </w:rPr>
        <w:t>payback rule</w:t>
      </w:r>
      <w:r>
        <w:rPr>
          <w:rFonts w:ascii="Bookman Old Style" w:eastAsiaTheme="minorEastAsia" w:hAnsi="Bookman Old Style"/>
        </w:rPr>
        <w:t xml:space="preserve">, an investment is </w:t>
      </w:r>
      <w:r>
        <w:rPr>
          <w:rFonts w:ascii="Bookman Old Style" w:eastAsiaTheme="minorEastAsia" w:hAnsi="Bookman Old Style"/>
          <w:u w:val="single"/>
        </w:rPr>
        <w:t>acceptable</w:t>
      </w:r>
      <w:r>
        <w:rPr>
          <w:rFonts w:ascii="Bookman Old Style" w:eastAsiaTheme="minorEastAsia" w:hAnsi="Bookman Old Style"/>
        </w:rPr>
        <w:t xml:space="preserve"> if its calculated payback is less than some pre-specified number of years.</w:t>
      </w:r>
    </w:p>
    <w:p w14:paraId="26951742" w14:textId="77777777" w:rsidR="005A4019" w:rsidRDefault="005A4019" w:rsidP="005451CD">
      <w:pPr>
        <w:spacing w:after="0" w:line="240" w:lineRule="auto"/>
        <w:jc w:val="both"/>
        <w:rPr>
          <w:rFonts w:ascii="Bookman Old Style" w:eastAsiaTheme="minorEastAsia" w:hAnsi="Bookman Old Style"/>
        </w:rPr>
      </w:pPr>
    </w:p>
    <w:p w14:paraId="40A9FF31" w14:textId="0EC467C0" w:rsidR="005A4019" w:rsidRDefault="005A4019" w:rsidP="005451CD">
      <w:pPr>
        <w:spacing w:after="0" w:line="240" w:lineRule="auto"/>
        <w:jc w:val="both"/>
        <w:rPr>
          <w:rFonts w:ascii="Bookman Old Style" w:eastAsiaTheme="minorEastAsia" w:hAnsi="Bookman Old Style"/>
        </w:rPr>
      </w:pPr>
      <w:r>
        <w:rPr>
          <w:rFonts w:ascii="Bookman Old Style" w:eastAsiaTheme="minorEastAsia" w:hAnsi="Bookman Old Style"/>
        </w:rPr>
        <w:t xml:space="preserve">In our example, the payback works out to be exactly 2 years. This won’t usually happen so customarily we use </w:t>
      </w:r>
      <w:r>
        <w:rPr>
          <w:rFonts w:ascii="Bookman Old Style" w:eastAsiaTheme="minorEastAsia" w:hAnsi="Bookman Old Style"/>
          <w:b/>
          <w:i/>
        </w:rPr>
        <w:t>fractional years</w:t>
      </w:r>
      <w:r>
        <w:rPr>
          <w:rFonts w:ascii="Bookman Old Style" w:eastAsiaTheme="minorEastAsia" w:hAnsi="Bookman Old Style"/>
        </w:rPr>
        <w:t>.</w:t>
      </w:r>
    </w:p>
    <w:p w14:paraId="46B45241" w14:textId="77777777" w:rsidR="005A4019" w:rsidRDefault="005A4019" w:rsidP="005451CD">
      <w:pPr>
        <w:spacing w:after="0" w:line="240" w:lineRule="auto"/>
        <w:jc w:val="both"/>
        <w:rPr>
          <w:rFonts w:ascii="Bookman Old Style" w:eastAsiaTheme="minorEastAsia"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085AF7" w14:paraId="0C5F2113" w14:textId="77777777" w:rsidTr="00085AF7">
        <w:tc>
          <w:tcPr>
            <w:tcW w:w="9576" w:type="dxa"/>
          </w:tcPr>
          <w:p w14:paraId="38847D17" w14:textId="77777777" w:rsidR="00085AF7" w:rsidRDefault="00085AF7" w:rsidP="005451CD">
            <w:pPr>
              <w:jc w:val="both"/>
              <w:rPr>
                <w:rFonts w:ascii="Bookman Old Style" w:eastAsiaTheme="minorEastAsia" w:hAnsi="Bookman Old Style"/>
              </w:rPr>
            </w:pPr>
          </w:p>
          <w:p w14:paraId="4DBFB51E" w14:textId="77777777" w:rsidR="00085AF7" w:rsidRDefault="00085AF7" w:rsidP="005451CD">
            <w:pPr>
              <w:jc w:val="both"/>
              <w:rPr>
                <w:rFonts w:ascii="Bookman Old Style" w:eastAsiaTheme="minorEastAsia" w:hAnsi="Bookman Old Style"/>
              </w:rPr>
            </w:pPr>
            <w:r>
              <w:rPr>
                <w:rFonts w:ascii="Bookman Old Style" w:eastAsiaTheme="minorEastAsia" w:hAnsi="Bookman Old Style"/>
                <w:i/>
                <w:u w:val="single"/>
              </w:rPr>
              <w:t>Ex.:</w:t>
            </w:r>
          </w:p>
          <w:p w14:paraId="4E9430F7" w14:textId="77777777" w:rsidR="00085AF7" w:rsidRDefault="00085AF7" w:rsidP="005451CD">
            <w:pPr>
              <w:jc w:val="both"/>
              <w:rPr>
                <w:rFonts w:ascii="Bookman Old Style" w:eastAsiaTheme="minorEastAsia" w:hAnsi="Bookman Old Style"/>
              </w:rPr>
            </w:pPr>
            <w:r>
              <w:rPr>
                <w:rFonts w:ascii="Bookman Old Style" w:eastAsiaTheme="minorEastAsia" w:hAnsi="Bookman Old Style"/>
              </w:rPr>
              <w:t>Suppose the initial investment is $60,000 and the cash flows are $20,000 in the 1</w:t>
            </w:r>
            <w:r w:rsidRPr="005A4019">
              <w:rPr>
                <w:rFonts w:ascii="Bookman Old Style" w:eastAsiaTheme="minorEastAsia" w:hAnsi="Bookman Old Style"/>
                <w:vertAlign w:val="superscript"/>
              </w:rPr>
              <w:t>st</w:t>
            </w:r>
            <w:r>
              <w:rPr>
                <w:rFonts w:ascii="Bookman Old Style" w:eastAsiaTheme="minorEastAsia" w:hAnsi="Bookman Old Style"/>
              </w:rPr>
              <w:t xml:space="preserve"> year and $90,000 in the 2</w:t>
            </w:r>
            <w:r w:rsidRPr="005A4019">
              <w:rPr>
                <w:rFonts w:ascii="Bookman Old Style" w:eastAsiaTheme="minorEastAsia" w:hAnsi="Bookman Old Style"/>
                <w:vertAlign w:val="superscript"/>
              </w:rPr>
              <w:t>nd</w:t>
            </w:r>
            <w:r>
              <w:rPr>
                <w:rFonts w:ascii="Bookman Old Style" w:eastAsiaTheme="minorEastAsia" w:hAnsi="Bookman Old Style"/>
              </w:rPr>
              <w:t>. The cash flows over the first 2 years are $110,000, so the project pays back sometime in the 2</w:t>
            </w:r>
            <w:r w:rsidRPr="00085AF7">
              <w:rPr>
                <w:rFonts w:ascii="Bookman Old Style" w:eastAsiaTheme="minorEastAsia" w:hAnsi="Bookman Old Style"/>
                <w:vertAlign w:val="superscript"/>
              </w:rPr>
              <w:t>nd</w:t>
            </w:r>
            <w:r>
              <w:rPr>
                <w:rFonts w:ascii="Bookman Old Style" w:eastAsiaTheme="minorEastAsia" w:hAnsi="Bookman Old Style"/>
              </w:rPr>
              <w:t xml:space="preserve"> year.</w:t>
            </w:r>
          </w:p>
          <w:p w14:paraId="2627513E" w14:textId="77777777" w:rsidR="00085AF7" w:rsidRDefault="00085AF7" w:rsidP="005451CD">
            <w:pPr>
              <w:jc w:val="both"/>
              <w:rPr>
                <w:rFonts w:ascii="Bookman Old Style" w:eastAsiaTheme="minorEastAsia" w:hAnsi="Bookman Old Style"/>
              </w:rPr>
            </w:pPr>
          </w:p>
          <w:p w14:paraId="4D648560" w14:textId="77777777" w:rsidR="00085AF7" w:rsidRDefault="00085AF7" w:rsidP="005451CD">
            <w:pPr>
              <w:jc w:val="both"/>
              <w:rPr>
                <w:rFonts w:ascii="Bookman Old Style" w:eastAsiaTheme="minorEastAsia" w:hAnsi="Bookman Old Style"/>
              </w:rPr>
            </w:pPr>
            <w:r>
              <w:rPr>
                <w:rFonts w:ascii="Bookman Old Style" w:eastAsiaTheme="minorEastAsia" w:hAnsi="Bookman Old Style"/>
              </w:rPr>
              <w:t>After the 1</w:t>
            </w:r>
            <w:r w:rsidRPr="00085AF7">
              <w:rPr>
                <w:rFonts w:ascii="Bookman Old Style" w:eastAsiaTheme="minorEastAsia" w:hAnsi="Bookman Old Style"/>
                <w:vertAlign w:val="superscript"/>
              </w:rPr>
              <w:t>st</w:t>
            </w:r>
            <w:r>
              <w:rPr>
                <w:rFonts w:ascii="Bookman Old Style" w:eastAsiaTheme="minorEastAsia" w:hAnsi="Bookman Old Style"/>
              </w:rPr>
              <w:t xml:space="preserve"> year, the project is paid back $20,000 leaving $40,000 to be recovered.</w:t>
            </w:r>
          </w:p>
          <w:p w14:paraId="245D8327" w14:textId="77777777" w:rsidR="00085AF7" w:rsidRDefault="00085AF7" w:rsidP="005451CD">
            <w:pPr>
              <w:jc w:val="both"/>
              <w:rPr>
                <w:rFonts w:ascii="Bookman Old Style" w:eastAsiaTheme="minorEastAsia" w:hAnsi="Bookman Old Style"/>
              </w:rPr>
            </w:pPr>
          </w:p>
          <w:p w14:paraId="327D2963" w14:textId="77777777" w:rsidR="00085AF7" w:rsidRDefault="00085AF7" w:rsidP="005451CD">
            <w:pPr>
              <w:jc w:val="both"/>
              <w:rPr>
                <w:rFonts w:ascii="Bookman Old Style" w:eastAsiaTheme="minorEastAsia" w:hAnsi="Bookman Old Style"/>
              </w:rPr>
            </w:pPr>
            <w:r>
              <w:rPr>
                <w:rFonts w:ascii="Bookman Old Style" w:eastAsiaTheme="minorEastAsia" w:hAnsi="Bookman Old Style"/>
              </w:rPr>
              <w:t>To figure out the fractional year, note that this $40,000 is $40,000/$90,000 = 4/9 of the 2</w:t>
            </w:r>
            <w:r w:rsidRPr="00085AF7">
              <w:rPr>
                <w:rFonts w:ascii="Bookman Old Style" w:eastAsiaTheme="minorEastAsia" w:hAnsi="Bookman Old Style"/>
                <w:vertAlign w:val="superscript"/>
              </w:rPr>
              <w:t>nd</w:t>
            </w:r>
            <w:r>
              <w:rPr>
                <w:rFonts w:ascii="Bookman Old Style" w:eastAsiaTheme="minorEastAsia" w:hAnsi="Bookman Old Style"/>
              </w:rPr>
              <w:t xml:space="preserve"> year’s cash flow.</w:t>
            </w:r>
          </w:p>
          <w:p w14:paraId="06A999FA" w14:textId="77777777" w:rsidR="00085AF7" w:rsidRDefault="00085AF7" w:rsidP="005451CD">
            <w:pPr>
              <w:jc w:val="both"/>
              <w:rPr>
                <w:rFonts w:ascii="Bookman Old Style" w:eastAsiaTheme="minorEastAsia" w:hAnsi="Bookman Old Style"/>
              </w:rPr>
            </w:pPr>
          </w:p>
          <w:p w14:paraId="3384CB96" w14:textId="77777777" w:rsidR="00085AF7" w:rsidRPr="005A4019" w:rsidRDefault="00085AF7" w:rsidP="005451CD">
            <w:pPr>
              <w:jc w:val="both"/>
              <w:rPr>
                <w:rFonts w:ascii="Bookman Old Style" w:eastAsiaTheme="minorEastAsia" w:hAnsi="Bookman Old Style"/>
              </w:rPr>
            </w:pPr>
            <w:r>
              <w:rPr>
                <w:rFonts w:ascii="Bookman Old Style" w:eastAsiaTheme="minorEastAsia" w:hAnsi="Bookman Old Style"/>
              </w:rPr>
              <w:t>Assuming that the $90,000 cash flow is paid uniformly throughout the year, the payback would this be 1 4/9 years.</w:t>
            </w:r>
          </w:p>
          <w:p w14:paraId="29145720" w14:textId="77777777" w:rsidR="00085AF7" w:rsidRDefault="00085AF7" w:rsidP="005451CD">
            <w:pPr>
              <w:jc w:val="both"/>
              <w:rPr>
                <w:rFonts w:ascii="Bookman Old Style" w:eastAsiaTheme="minorEastAsia" w:hAnsi="Bookman Old Style"/>
              </w:rPr>
            </w:pPr>
          </w:p>
        </w:tc>
      </w:tr>
    </w:tbl>
    <w:p w14:paraId="33A656C5" w14:textId="77777777" w:rsidR="00085AF7" w:rsidRDefault="00085AF7" w:rsidP="005451CD">
      <w:pPr>
        <w:spacing w:after="0" w:line="240" w:lineRule="auto"/>
        <w:jc w:val="both"/>
        <w:rPr>
          <w:rFonts w:ascii="Bookman Old Style" w:eastAsiaTheme="minorEastAsia" w:hAnsi="Bookman Old Style"/>
        </w:rPr>
      </w:pPr>
    </w:p>
    <w:p w14:paraId="08830313" w14:textId="77777777" w:rsidR="00085AF7" w:rsidRDefault="00085AF7" w:rsidP="005451CD">
      <w:pPr>
        <w:spacing w:after="0" w:line="240" w:lineRule="auto"/>
        <w:jc w:val="both"/>
        <w:rPr>
          <w:rFonts w:ascii="Bookman Old Style" w:eastAsiaTheme="minorEastAsia" w:hAnsi="Bookman Old Style"/>
        </w:rPr>
      </w:pPr>
    </w:p>
    <w:p w14:paraId="2519B19E" w14:textId="3640B5AA" w:rsidR="00085AF7" w:rsidRDefault="002D6249" w:rsidP="005451CD">
      <w:pPr>
        <w:spacing w:after="0" w:line="240" w:lineRule="auto"/>
        <w:jc w:val="both"/>
        <w:rPr>
          <w:rFonts w:ascii="Bookman Old Style" w:eastAsiaTheme="minorEastAsia" w:hAnsi="Bookman Old Style"/>
        </w:rPr>
      </w:pPr>
      <w:r>
        <w:rPr>
          <w:rFonts w:ascii="Bookman Old Style" w:eastAsiaTheme="minorEastAsia" w:hAnsi="Bookman Old Style"/>
          <w:b/>
          <w:u w:val="single"/>
        </w:rPr>
        <w:t>Analyzing the Payback Period Rule</w:t>
      </w:r>
    </w:p>
    <w:p w14:paraId="07360844" w14:textId="1019DCFF" w:rsidR="00085AF7" w:rsidRDefault="00085AF7" w:rsidP="005451CD">
      <w:pPr>
        <w:spacing w:after="0" w:line="240" w:lineRule="auto"/>
        <w:jc w:val="both"/>
        <w:rPr>
          <w:rFonts w:ascii="Bookman Old Style" w:eastAsiaTheme="minorEastAsia" w:hAnsi="Bookman Old Style"/>
        </w:rPr>
      </w:pPr>
      <w:r>
        <w:rPr>
          <w:rFonts w:ascii="Bookman Old Style" w:eastAsiaTheme="minorEastAsia" w:hAnsi="Bookman Old Style"/>
        </w:rPr>
        <w:t>Compared to the NPV rule, the payback period rule has some sever shortcomings. The biggest problem is coming up with the right cutoff period because we don’t really have an objective basis for choosing a specific number. There’s no economic rationale for looking at payback, so we have no guide as to how to pick the cutoff – we end up using a number that’s arbitrarily chosen.</w:t>
      </w:r>
    </w:p>
    <w:p w14:paraId="2F55F80D" w14:textId="77777777" w:rsidR="00085AF7" w:rsidRDefault="00085AF7" w:rsidP="005451CD">
      <w:pPr>
        <w:spacing w:after="0" w:line="240" w:lineRule="auto"/>
        <w:jc w:val="both"/>
        <w:rPr>
          <w:rFonts w:ascii="Bookman Old Style" w:eastAsiaTheme="minorEastAsia" w:hAnsi="Bookman Old Style"/>
        </w:rPr>
      </w:pPr>
    </w:p>
    <w:p w14:paraId="4B3FE70C" w14:textId="61EFA648" w:rsidR="00085AF7" w:rsidRDefault="00085AF7" w:rsidP="005451CD">
      <w:pPr>
        <w:spacing w:after="0" w:line="240" w:lineRule="auto"/>
        <w:jc w:val="both"/>
        <w:rPr>
          <w:rFonts w:ascii="Bookman Old Style" w:eastAsiaTheme="minorEastAsia" w:hAnsi="Bookman Old Style"/>
        </w:rPr>
      </w:pPr>
      <w:r>
        <w:rPr>
          <w:rFonts w:ascii="Bookman Old Style" w:eastAsiaTheme="minorEastAsia" w:hAnsi="Bookman Old Style"/>
        </w:rPr>
        <w:t>Another disadvantage is that the payback period is calculated by simply adding the future cash flows. There’s not discounting involved, so the time value of money is ignored.</w:t>
      </w:r>
    </w:p>
    <w:p w14:paraId="13C4048F" w14:textId="77777777" w:rsidR="00085AF7" w:rsidRDefault="00085AF7" w:rsidP="005451CD">
      <w:pPr>
        <w:spacing w:after="0" w:line="240" w:lineRule="auto"/>
        <w:jc w:val="both"/>
        <w:rPr>
          <w:rFonts w:ascii="Bookman Old Style" w:eastAsiaTheme="minorEastAsia" w:hAnsi="Bookman Old Style"/>
        </w:rPr>
      </w:pPr>
    </w:p>
    <w:p w14:paraId="41CB0B2C" w14:textId="0EDE41FF" w:rsidR="00085AF7" w:rsidRDefault="00085AF7" w:rsidP="005451CD">
      <w:pPr>
        <w:spacing w:after="0" w:line="240" w:lineRule="auto"/>
        <w:jc w:val="both"/>
        <w:rPr>
          <w:rFonts w:ascii="Bookman Old Style" w:eastAsiaTheme="minorEastAsia" w:hAnsi="Bookman Old Style"/>
        </w:rPr>
      </w:pPr>
      <w:r>
        <w:rPr>
          <w:rFonts w:ascii="Bookman Old Style" w:eastAsiaTheme="minorEastAsia" w:hAnsi="Bookman Old Style"/>
        </w:rPr>
        <w:t>Finally, the payback rule doesn’t consider risk differences – it would be calculated the same way for both very risky and very safe projects.</w:t>
      </w:r>
    </w:p>
    <w:p w14:paraId="624BBEA9" w14:textId="77777777" w:rsidR="00085AF7" w:rsidRDefault="00085AF7" w:rsidP="005451CD">
      <w:pPr>
        <w:spacing w:after="0" w:line="240" w:lineRule="auto"/>
        <w:jc w:val="both"/>
        <w:rPr>
          <w:rFonts w:ascii="Bookman Old Style" w:eastAsiaTheme="minorEastAsia" w:hAnsi="Bookman Old Style"/>
        </w:rPr>
      </w:pPr>
    </w:p>
    <w:p w14:paraId="7F969CFD" w14:textId="2E4BA5EB" w:rsidR="00085AF7" w:rsidRDefault="00085AF7" w:rsidP="005451CD">
      <w:pPr>
        <w:spacing w:after="0" w:line="240" w:lineRule="auto"/>
        <w:jc w:val="both"/>
        <w:rPr>
          <w:rFonts w:ascii="Bookman Old Style" w:eastAsiaTheme="minorEastAsia" w:hAnsi="Bookman Old Style"/>
        </w:rPr>
      </w:pPr>
      <w:r>
        <w:rPr>
          <w:rFonts w:ascii="Bookman Old Style" w:eastAsiaTheme="minorEastAsia" w:hAnsi="Bookman Old Style"/>
          <w:i/>
          <w:u w:val="single"/>
        </w:rPr>
        <w:t>Ex.:</w:t>
      </w:r>
    </w:p>
    <w:p w14:paraId="2728F925" w14:textId="49EC936D" w:rsidR="00085AF7" w:rsidRDefault="00085AF7" w:rsidP="005451CD">
      <w:pPr>
        <w:spacing w:after="0" w:line="240" w:lineRule="auto"/>
        <w:jc w:val="both"/>
        <w:rPr>
          <w:rFonts w:ascii="Bookman Old Style" w:eastAsiaTheme="minorEastAsia" w:hAnsi="Bookman Old Style"/>
        </w:rPr>
      </w:pPr>
      <w:r>
        <w:rPr>
          <w:rFonts w:ascii="Bookman Old Style" w:eastAsiaTheme="minorEastAsia" w:hAnsi="Bookman Old Style"/>
        </w:rPr>
        <w:t>Let’s say we somehow decided on a payback period of 2 years or less. The payback period rule ignores the time value of money for the first 2 years – more seriously, cash flows after the 2</w:t>
      </w:r>
      <w:r w:rsidRPr="00085AF7">
        <w:rPr>
          <w:rFonts w:ascii="Bookman Old Style" w:eastAsiaTheme="minorEastAsia" w:hAnsi="Bookman Old Style"/>
          <w:vertAlign w:val="superscript"/>
        </w:rPr>
        <w:t>nd</w:t>
      </w:r>
      <w:r>
        <w:rPr>
          <w:rFonts w:ascii="Bookman Old Style" w:eastAsiaTheme="minorEastAsia" w:hAnsi="Bookman Old Style"/>
        </w:rPr>
        <w:t xml:space="preserve"> year are ignored.</w:t>
      </w:r>
    </w:p>
    <w:p w14:paraId="13E0995D" w14:textId="6E07E3B1" w:rsidR="00085AF7" w:rsidRDefault="00085AF7" w:rsidP="005451CD">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Consider the following 2 investments, long &amp; short:</w:t>
      </w:r>
    </w:p>
    <w:p w14:paraId="7A857C8B" w14:textId="77777777" w:rsidR="00085AF7" w:rsidRDefault="00085AF7" w:rsidP="005451CD">
      <w:pPr>
        <w:spacing w:after="0" w:line="240" w:lineRule="auto"/>
        <w:jc w:val="both"/>
        <w:rPr>
          <w:rFonts w:ascii="Bookman Old Style" w:eastAsiaTheme="minorEastAsia" w:hAnsi="Bookman Old Style"/>
        </w:rPr>
      </w:pPr>
    </w:p>
    <w:tbl>
      <w:tblPr>
        <w:tblStyle w:val="TableGrid"/>
        <w:tblW w:w="0" w:type="auto"/>
        <w:jc w:val="center"/>
        <w:tblLook w:val="04A0" w:firstRow="1" w:lastRow="0" w:firstColumn="1" w:lastColumn="0" w:noHBand="0" w:noVBand="1"/>
      </w:tblPr>
      <w:tblGrid>
        <w:gridCol w:w="738"/>
        <w:gridCol w:w="771"/>
        <w:gridCol w:w="850"/>
      </w:tblGrid>
      <w:tr w:rsidR="00085AF7" w14:paraId="481A59CE" w14:textId="77777777" w:rsidTr="00085AF7">
        <w:trPr>
          <w:jc w:val="center"/>
        </w:trPr>
        <w:tc>
          <w:tcPr>
            <w:tcW w:w="738" w:type="dxa"/>
            <w:tcBorders>
              <w:bottom w:val="single" w:sz="4" w:space="0" w:color="auto"/>
              <w:right w:val="nil"/>
            </w:tcBorders>
          </w:tcPr>
          <w:p w14:paraId="0FFDF461" w14:textId="704A5473" w:rsidR="00085AF7" w:rsidRPr="00085AF7" w:rsidRDefault="00085AF7" w:rsidP="005451CD">
            <w:pPr>
              <w:jc w:val="center"/>
              <w:rPr>
                <w:rFonts w:ascii="Bookman Old Style" w:eastAsiaTheme="minorEastAsia" w:hAnsi="Bookman Old Style"/>
                <w:b/>
              </w:rPr>
            </w:pPr>
            <w:r w:rsidRPr="00085AF7">
              <w:rPr>
                <w:rFonts w:ascii="Bookman Old Style" w:eastAsiaTheme="minorEastAsia" w:hAnsi="Bookman Old Style"/>
                <w:b/>
              </w:rPr>
              <w:t>Year</w:t>
            </w:r>
          </w:p>
        </w:tc>
        <w:tc>
          <w:tcPr>
            <w:tcW w:w="762" w:type="dxa"/>
            <w:tcBorders>
              <w:left w:val="nil"/>
              <w:bottom w:val="single" w:sz="4" w:space="0" w:color="auto"/>
              <w:right w:val="nil"/>
            </w:tcBorders>
          </w:tcPr>
          <w:p w14:paraId="1C94F938" w14:textId="6E96BFAD" w:rsidR="00085AF7" w:rsidRPr="00085AF7" w:rsidRDefault="00085AF7" w:rsidP="005451CD">
            <w:pPr>
              <w:jc w:val="center"/>
              <w:rPr>
                <w:rFonts w:ascii="Bookman Old Style" w:eastAsiaTheme="minorEastAsia" w:hAnsi="Bookman Old Style"/>
                <w:b/>
              </w:rPr>
            </w:pPr>
            <w:r w:rsidRPr="00085AF7">
              <w:rPr>
                <w:rFonts w:ascii="Bookman Old Style" w:eastAsiaTheme="minorEastAsia" w:hAnsi="Bookman Old Style"/>
                <w:b/>
              </w:rPr>
              <w:t>Long</w:t>
            </w:r>
          </w:p>
        </w:tc>
        <w:tc>
          <w:tcPr>
            <w:tcW w:w="811" w:type="dxa"/>
            <w:tcBorders>
              <w:left w:val="nil"/>
              <w:bottom w:val="single" w:sz="4" w:space="0" w:color="auto"/>
            </w:tcBorders>
          </w:tcPr>
          <w:p w14:paraId="1A2993DE" w14:textId="28445273" w:rsidR="00085AF7" w:rsidRPr="00085AF7" w:rsidRDefault="00085AF7" w:rsidP="005451CD">
            <w:pPr>
              <w:jc w:val="center"/>
              <w:rPr>
                <w:rFonts w:ascii="Bookman Old Style" w:eastAsiaTheme="minorEastAsia" w:hAnsi="Bookman Old Style"/>
                <w:b/>
              </w:rPr>
            </w:pPr>
            <w:r w:rsidRPr="00085AF7">
              <w:rPr>
                <w:rFonts w:ascii="Bookman Old Style" w:eastAsiaTheme="minorEastAsia" w:hAnsi="Bookman Old Style"/>
                <w:b/>
              </w:rPr>
              <w:t>Short</w:t>
            </w:r>
          </w:p>
        </w:tc>
      </w:tr>
      <w:tr w:rsidR="00085AF7" w14:paraId="37861CB3" w14:textId="77777777" w:rsidTr="00085AF7">
        <w:trPr>
          <w:jc w:val="center"/>
        </w:trPr>
        <w:tc>
          <w:tcPr>
            <w:tcW w:w="738" w:type="dxa"/>
            <w:tcBorders>
              <w:bottom w:val="nil"/>
              <w:right w:val="nil"/>
            </w:tcBorders>
          </w:tcPr>
          <w:p w14:paraId="35F4097B" w14:textId="601BD054" w:rsidR="00085AF7" w:rsidRDefault="00085AF7" w:rsidP="005451CD">
            <w:pPr>
              <w:jc w:val="center"/>
              <w:rPr>
                <w:rFonts w:ascii="Bookman Old Style" w:eastAsiaTheme="minorEastAsia" w:hAnsi="Bookman Old Style"/>
              </w:rPr>
            </w:pPr>
            <w:r>
              <w:rPr>
                <w:rFonts w:ascii="Bookman Old Style" w:eastAsiaTheme="minorEastAsia" w:hAnsi="Bookman Old Style"/>
              </w:rPr>
              <w:t>1</w:t>
            </w:r>
          </w:p>
        </w:tc>
        <w:tc>
          <w:tcPr>
            <w:tcW w:w="762" w:type="dxa"/>
            <w:tcBorders>
              <w:left w:val="nil"/>
              <w:bottom w:val="nil"/>
              <w:right w:val="nil"/>
            </w:tcBorders>
          </w:tcPr>
          <w:p w14:paraId="6E1C7EC2" w14:textId="26141C74" w:rsidR="00085AF7" w:rsidRDefault="00085AF7" w:rsidP="005451CD">
            <w:pPr>
              <w:jc w:val="center"/>
              <w:rPr>
                <w:rFonts w:ascii="Bookman Old Style" w:eastAsiaTheme="minorEastAsia" w:hAnsi="Bookman Old Style"/>
              </w:rPr>
            </w:pPr>
            <w:r>
              <w:rPr>
                <w:rFonts w:ascii="Bookman Old Style" w:eastAsiaTheme="minorEastAsia" w:hAnsi="Bookman Old Style"/>
              </w:rPr>
              <w:t>$100</w:t>
            </w:r>
          </w:p>
        </w:tc>
        <w:tc>
          <w:tcPr>
            <w:tcW w:w="811" w:type="dxa"/>
            <w:tcBorders>
              <w:left w:val="nil"/>
              <w:bottom w:val="nil"/>
            </w:tcBorders>
          </w:tcPr>
          <w:p w14:paraId="5637D8D4" w14:textId="6C94643B" w:rsidR="00085AF7" w:rsidRDefault="00085AF7" w:rsidP="005451CD">
            <w:pPr>
              <w:jc w:val="center"/>
              <w:rPr>
                <w:rFonts w:ascii="Bookman Old Style" w:eastAsiaTheme="minorEastAsia" w:hAnsi="Bookman Old Style"/>
              </w:rPr>
            </w:pPr>
            <w:r>
              <w:rPr>
                <w:rFonts w:ascii="Bookman Old Style" w:eastAsiaTheme="minorEastAsia" w:hAnsi="Bookman Old Style"/>
              </w:rPr>
              <w:t>$100</w:t>
            </w:r>
          </w:p>
        </w:tc>
      </w:tr>
      <w:tr w:rsidR="00085AF7" w14:paraId="3DE0B346" w14:textId="77777777" w:rsidTr="00085AF7">
        <w:trPr>
          <w:jc w:val="center"/>
        </w:trPr>
        <w:tc>
          <w:tcPr>
            <w:tcW w:w="738" w:type="dxa"/>
            <w:tcBorders>
              <w:top w:val="nil"/>
              <w:bottom w:val="nil"/>
              <w:right w:val="nil"/>
            </w:tcBorders>
          </w:tcPr>
          <w:p w14:paraId="2F07D725" w14:textId="13D62053" w:rsidR="00085AF7" w:rsidRDefault="00085AF7" w:rsidP="005451CD">
            <w:pPr>
              <w:jc w:val="center"/>
              <w:rPr>
                <w:rFonts w:ascii="Bookman Old Style" w:eastAsiaTheme="minorEastAsia" w:hAnsi="Bookman Old Style"/>
              </w:rPr>
            </w:pPr>
            <w:r>
              <w:rPr>
                <w:rFonts w:ascii="Bookman Old Style" w:eastAsiaTheme="minorEastAsia" w:hAnsi="Bookman Old Style"/>
              </w:rPr>
              <w:t>2</w:t>
            </w:r>
          </w:p>
        </w:tc>
        <w:tc>
          <w:tcPr>
            <w:tcW w:w="762" w:type="dxa"/>
            <w:tcBorders>
              <w:top w:val="nil"/>
              <w:left w:val="nil"/>
              <w:bottom w:val="nil"/>
              <w:right w:val="nil"/>
            </w:tcBorders>
          </w:tcPr>
          <w:p w14:paraId="5AD5714B" w14:textId="18A2D16B" w:rsidR="00085AF7" w:rsidRDefault="00085AF7" w:rsidP="005451CD">
            <w:pPr>
              <w:jc w:val="center"/>
              <w:rPr>
                <w:rFonts w:ascii="Bookman Old Style" w:eastAsiaTheme="minorEastAsia" w:hAnsi="Bookman Old Style"/>
              </w:rPr>
            </w:pPr>
            <w:r>
              <w:rPr>
                <w:rFonts w:ascii="Bookman Old Style" w:eastAsiaTheme="minorEastAsia" w:hAnsi="Bookman Old Style"/>
              </w:rPr>
              <w:t>$100</w:t>
            </w:r>
          </w:p>
        </w:tc>
        <w:tc>
          <w:tcPr>
            <w:tcW w:w="811" w:type="dxa"/>
            <w:tcBorders>
              <w:top w:val="nil"/>
              <w:left w:val="nil"/>
              <w:bottom w:val="nil"/>
            </w:tcBorders>
          </w:tcPr>
          <w:p w14:paraId="496835B1" w14:textId="3948B15D" w:rsidR="00085AF7" w:rsidRDefault="00085AF7" w:rsidP="005451CD">
            <w:pPr>
              <w:jc w:val="center"/>
              <w:rPr>
                <w:rFonts w:ascii="Bookman Old Style" w:eastAsiaTheme="minorEastAsia" w:hAnsi="Bookman Old Style"/>
              </w:rPr>
            </w:pPr>
            <w:r>
              <w:rPr>
                <w:rFonts w:ascii="Bookman Old Style" w:eastAsiaTheme="minorEastAsia" w:hAnsi="Bookman Old Style"/>
              </w:rPr>
              <w:t>$200</w:t>
            </w:r>
          </w:p>
        </w:tc>
      </w:tr>
      <w:tr w:rsidR="00085AF7" w14:paraId="4635CF7B" w14:textId="77777777" w:rsidTr="00085AF7">
        <w:trPr>
          <w:jc w:val="center"/>
        </w:trPr>
        <w:tc>
          <w:tcPr>
            <w:tcW w:w="738" w:type="dxa"/>
            <w:tcBorders>
              <w:top w:val="nil"/>
              <w:bottom w:val="nil"/>
              <w:right w:val="nil"/>
            </w:tcBorders>
          </w:tcPr>
          <w:p w14:paraId="15A363D8" w14:textId="196569C4" w:rsidR="00085AF7" w:rsidRDefault="00085AF7" w:rsidP="005451CD">
            <w:pPr>
              <w:jc w:val="center"/>
              <w:rPr>
                <w:rFonts w:ascii="Bookman Old Style" w:eastAsiaTheme="minorEastAsia" w:hAnsi="Bookman Old Style"/>
              </w:rPr>
            </w:pPr>
            <w:r>
              <w:rPr>
                <w:rFonts w:ascii="Bookman Old Style" w:eastAsiaTheme="minorEastAsia" w:hAnsi="Bookman Old Style"/>
              </w:rPr>
              <w:t>3</w:t>
            </w:r>
          </w:p>
        </w:tc>
        <w:tc>
          <w:tcPr>
            <w:tcW w:w="762" w:type="dxa"/>
            <w:tcBorders>
              <w:top w:val="nil"/>
              <w:left w:val="nil"/>
              <w:bottom w:val="nil"/>
              <w:right w:val="nil"/>
            </w:tcBorders>
          </w:tcPr>
          <w:p w14:paraId="383A0F64" w14:textId="62975400" w:rsidR="00085AF7" w:rsidRDefault="00085AF7" w:rsidP="005451CD">
            <w:pPr>
              <w:jc w:val="center"/>
              <w:rPr>
                <w:rFonts w:ascii="Bookman Old Style" w:eastAsiaTheme="minorEastAsia" w:hAnsi="Bookman Old Style"/>
              </w:rPr>
            </w:pPr>
            <w:r>
              <w:rPr>
                <w:rFonts w:ascii="Bookman Old Style" w:eastAsiaTheme="minorEastAsia" w:hAnsi="Bookman Old Style"/>
              </w:rPr>
              <w:t>$100</w:t>
            </w:r>
          </w:p>
        </w:tc>
        <w:tc>
          <w:tcPr>
            <w:tcW w:w="811" w:type="dxa"/>
            <w:tcBorders>
              <w:top w:val="nil"/>
              <w:left w:val="nil"/>
              <w:bottom w:val="nil"/>
            </w:tcBorders>
          </w:tcPr>
          <w:p w14:paraId="266D3277" w14:textId="627E6EFF" w:rsidR="00085AF7" w:rsidRDefault="00085AF7" w:rsidP="005451CD">
            <w:pPr>
              <w:jc w:val="center"/>
              <w:rPr>
                <w:rFonts w:ascii="Bookman Old Style" w:eastAsiaTheme="minorEastAsia" w:hAnsi="Bookman Old Style"/>
              </w:rPr>
            </w:pPr>
            <w:r>
              <w:rPr>
                <w:rFonts w:ascii="Bookman Old Style" w:eastAsiaTheme="minorEastAsia" w:hAnsi="Bookman Old Style"/>
              </w:rPr>
              <w:t>$0</w:t>
            </w:r>
          </w:p>
        </w:tc>
      </w:tr>
      <w:tr w:rsidR="00085AF7" w14:paraId="6CC8E895" w14:textId="77777777" w:rsidTr="00085AF7">
        <w:trPr>
          <w:jc w:val="center"/>
        </w:trPr>
        <w:tc>
          <w:tcPr>
            <w:tcW w:w="738" w:type="dxa"/>
            <w:tcBorders>
              <w:top w:val="nil"/>
              <w:right w:val="nil"/>
            </w:tcBorders>
          </w:tcPr>
          <w:p w14:paraId="1D8113BA" w14:textId="728F8015" w:rsidR="00085AF7" w:rsidRDefault="00085AF7" w:rsidP="005451CD">
            <w:pPr>
              <w:jc w:val="center"/>
              <w:rPr>
                <w:rFonts w:ascii="Bookman Old Style" w:eastAsiaTheme="minorEastAsia" w:hAnsi="Bookman Old Style"/>
              </w:rPr>
            </w:pPr>
            <w:r>
              <w:rPr>
                <w:rFonts w:ascii="Bookman Old Style" w:eastAsiaTheme="minorEastAsia" w:hAnsi="Bookman Old Style"/>
              </w:rPr>
              <w:t>4</w:t>
            </w:r>
          </w:p>
        </w:tc>
        <w:tc>
          <w:tcPr>
            <w:tcW w:w="762" w:type="dxa"/>
            <w:tcBorders>
              <w:top w:val="nil"/>
              <w:left w:val="nil"/>
              <w:right w:val="nil"/>
            </w:tcBorders>
          </w:tcPr>
          <w:p w14:paraId="7BDE929F" w14:textId="06318B76" w:rsidR="00085AF7" w:rsidRDefault="00085AF7" w:rsidP="005451CD">
            <w:pPr>
              <w:jc w:val="center"/>
              <w:rPr>
                <w:rFonts w:ascii="Bookman Old Style" w:eastAsiaTheme="minorEastAsia" w:hAnsi="Bookman Old Style"/>
              </w:rPr>
            </w:pPr>
            <w:r>
              <w:rPr>
                <w:rFonts w:ascii="Bookman Old Style" w:eastAsiaTheme="minorEastAsia" w:hAnsi="Bookman Old Style"/>
              </w:rPr>
              <w:t>$100</w:t>
            </w:r>
          </w:p>
        </w:tc>
        <w:tc>
          <w:tcPr>
            <w:tcW w:w="811" w:type="dxa"/>
            <w:tcBorders>
              <w:top w:val="nil"/>
              <w:left w:val="nil"/>
            </w:tcBorders>
          </w:tcPr>
          <w:p w14:paraId="24ABC59D" w14:textId="35BFDBA6" w:rsidR="00085AF7" w:rsidRDefault="00085AF7" w:rsidP="005451CD">
            <w:pPr>
              <w:jc w:val="center"/>
              <w:rPr>
                <w:rFonts w:ascii="Bookman Old Style" w:eastAsiaTheme="minorEastAsia" w:hAnsi="Bookman Old Style"/>
              </w:rPr>
            </w:pPr>
            <w:r>
              <w:rPr>
                <w:rFonts w:ascii="Bookman Old Style" w:eastAsiaTheme="minorEastAsia" w:hAnsi="Bookman Old Style"/>
              </w:rPr>
              <w:t>$0</w:t>
            </w:r>
          </w:p>
        </w:tc>
      </w:tr>
    </w:tbl>
    <w:p w14:paraId="3FB6FF9A" w14:textId="77777777" w:rsidR="00085AF7" w:rsidRDefault="00085AF7" w:rsidP="005451CD">
      <w:pPr>
        <w:spacing w:after="0" w:line="240" w:lineRule="auto"/>
        <w:jc w:val="both"/>
        <w:rPr>
          <w:rFonts w:ascii="Bookman Old Style" w:eastAsiaTheme="minorEastAsia" w:hAnsi="Bookman Old Style"/>
        </w:rPr>
      </w:pPr>
    </w:p>
    <w:p w14:paraId="1C5A4879" w14:textId="1C41B356" w:rsidR="00085AF7" w:rsidRDefault="00085AF7" w:rsidP="005451CD">
      <w:pPr>
        <w:spacing w:after="0" w:line="240" w:lineRule="auto"/>
        <w:jc w:val="both"/>
        <w:rPr>
          <w:rFonts w:ascii="Bookman Old Style" w:eastAsiaTheme="minorEastAsia" w:hAnsi="Bookman Old Style"/>
        </w:rPr>
      </w:pPr>
      <w:r>
        <w:rPr>
          <w:rFonts w:ascii="Bookman Old Style" w:eastAsiaTheme="minorEastAsia" w:hAnsi="Bookman Old Style"/>
        </w:rPr>
        <w:t>Both projects cost $250. Based on our discussion, the payback on Long is 2 + $50/100 = 2.5 years. The payback on short is 1 + $150/200 = 1.75 years</w:t>
      </w:r>
    </w:p>
    <w:p w14:paraId="7E22E896" w14:textId="77777777" w:rsidR="00085AF7" w:rsidRDefault="00085AF7" w:rsidP="005451CD">
      <w:pPr>
        <w:spacing w:after="0" w:line="240" w:lineRule="auto"/>
        <w:jc w:val="both"/>
        <w:rPr>
          <w:rFonts w:ascii="Bookman Old Style" w:eastAsiaTheme="minorEastAsia" w:hAnsi="Bookman Old Style"/>
        </w:rPr>
      </w:pPr>
    </w:p>
    <w:p w14:paraId="1F89B300" w14:textId="4CB7B34A" w:rsidR="00085AF7" w:rsidRDefault="00085AF7" w:rsidP="005451CD">
      <w:pPr>
        <w:spacing w:after="0" w:line="240" w:lineRule="auto"/>
        <w:jc w:val="both"/>
        <w:rPr>
          <w:rFonts w:ascii="Bookman Old Style" w:eastAsiaTheme="minorEastAsia" w:hAnsi="Bookman Old Style"/>
        </w:rPr>
      </w:pPr>
      <w:r>
        <w:rPr>
          <w:rFonts w:ascii="Bookman Old Style" w:eastAsiaTheme="minorEastAsia" w:hAnsi="Bookman Old Style"/>
        </w:rPr>
        <w:t xml:space="preserve">With a cutoff of 2 years, Short is acceptable but not </w:t>
      </w:r>
      <w:proofErr w:type="gramStart"/>
      <w:r>
        <w:rPr>
          <w:rFonts w:ascii="Bookman Old Style" w:eastAsiaTheme="minorEastAsia" w:hAnsi="Bookman Old Style"/>
        </w:rPr>
        <w:t>Long</w:t>
      </w:r>
      <w:proofErr w:type="gramEnd"/>
      <w:r>
        <w:rPr>
          <w:rFonts w:ascii="Bookman Old Style" w:eastAsiaTheme="minorEastAsia" w:hAnsi="Bookman Old Style"/>
        </w:rPr>
        <w:t>.</w:t>
      </w:r>
    </w:p>
    <w:p w14:paraId="00A4C8CB" w14:textId="77777777" w:rsidR="00085AF7" w:rsidRDefault="00085AF7" w:rsidP="005451CD">
      <w:pPr>
        <w:spacing w:after="0" w:line="240" w:lineRule="auto"/>
        <w:jc w:val="both"/>
        <w:rPr>
          <w:rFonts w:ascii="Bookman Old Style" w:eastAsiaTheme="minorEastAsia" w:hAnsi="Bookman Old Style"/>
        </w:rPr>
      </w:pPr>
    </w:p>
    <w:p w14:paraId="3E6609C8" w14:textId="65C9F431" w:rsidR="00085AF7" w:rsidRDefault="00085AF7" w:rsidP="005451CD">
      <w:pPr>
        <w:spacing w:after="0" w:line="240" w:lineRule="auto"/>
        <w:jc w:val="both"/>
        <w:rPr>
          <w:rFonts w:ascii="Bookman Old Style" w:eastAsiaTheme="minorEastAsia" w:hAnsi="Bookman Old Style"/>
        </w:rPr>
      </w:pPr>
      <w:r>
        <w:rPr>
          <w:rFonts w:ascii="Bookman Old Style" w:eastAsiaTheme="minorEastAsia" w:hAnsi="Bookman Old Style"/>
        </w:rPr>
        <w:t>Maybe the payback period rule isn’t giving us the right decision. Suppose that we require a 15% return on this type of investment. We can calculate the NPV for these 2 investments as:</w:t>
      </w:r>
    </w:p>
    <w:p w14:paraId="3AD7043A" w14:textId="77777777" w:rsidR="00085AF7" w:rsidRDefault="00085AF7" w:rsidP="005451CD">
      <w:pPr>
        <w:spacing w:after="0" w:line="240" w:lineRule="auto"/>
        <w:jc w:val="both"/>
        <w:rPr>
          <w:rFonts w:ascii="Bookman Old Style" w:eastAsiaTheme="minorEastAsia" w:hAnsi="Bookman Old Style"/>
        </w:rPr>
      </w:pPr>
    </w:p>
    <w:p w14:paraId="0CF05696" w14:textId="0C7ECAFD" w:rsidR="00085AF7" w:rsidRPr="00A86709" w:rsidRDefault="00A86709" w:rsidP="005451CD">
      <w:pPr>
        <w:spacing w:after="0" w:line="240" w:lineRule="auto"/>
        <w:jc w:val="both"/>
        <w:rPr>
          <w:rFonts w:ascii="Bookman Old Style" w:eastAsiaTheme="minorEastAsia" w:hAnsi="Bookman Old Style"/>
        </w:rPr>
      </w:pPr>
      <m:oMathPara>
        <m:oMath>
          <m:r>
            <w:rPr>
              <w:rFonts w:ascii="Cambria Math" w:eastAsiaTheme="minorEastAsia" w:hAnsi="Cambria Math"/>
            </w:rPr>
            <m:t xml:space="preserve">NPV </m:t>
          </m:r>
          <m:d>
            <m:dPr>
              <m:ctrlPr>
                <w:rPr>
                  <w:rFonts w:ascii="Cambria Math" w:eastAsiaTheme="minorEastAsia" w:hAnsi="Cambria Math"/>
                  <w:i/>
                </w:rPr>
              </m:ctrlPr>
            </m:dPr>
            <m:e>
              <m:r>
                <w:rPr>
                  <w:rFonts w:ascii="Cambria Math" w:eastAsiaTheme="minorEastAsia" w:hAnsi="Cambria Math"/>
                </w:rPr>
                <m:t>Short</m:t>
              </m:r>
            </m:e>
          </m:d>
          <m:r>
            <w:rPr>
              <w:rFonts w:ascii="Cambria Math" w:eastAsiaTheme="minorEastAsia" w:hAnsi="Cambria Math"/>
            </w:rPr>
            <m:t>= -$250+</m:t>
          </m:r>
          <m:f>
            <m:fPr>
              <m:ctrlPr>
                <w:rPr>
                  <w:rFonts w:ascii="Cambria Math" w:eastAsiaTheme="minorEastAsia" w:hAnsi="Cambria Math"/>
                  <w:i/>
                </w:rPr>
              </m:ctrlPr>
            </m:fPr>
            <m:num>
              <m:r>
                <w:rPr>
                  <w:rFonts w:ascii="Cambria Math" w:eastAsiaTheme="minorEastAsia" w:hAnsi="Cambria Math"/>
                </w:rPr>
                <m:t>100</m:t>
              </m:r>
            </m:num>
            <m:den>
              <m:r>
                <w:rPr>
                  <w:rFonts w:ascii="Cambria Math" w:eastAsiaTheme="minorEastAsia" w:hAnsi="Cambria Math"/>
                </w:rPr>
                <m:t>1.15</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200</m:t>
              </m:r>
            </m:num>
            <m:den>
              <m:sSup>
                <m:sSupPr>
                  <m:ctrlPr>
                    <w:rPr>
                      <w:rFonts w:ascii="Cambria Math" w:eastAsiaTheme="minorEastAsia" w:hAnsi="Cambria Math"/>
                      <w:i/>
                    </w:rPr>
                  </m:ctrlPr>
                </m:sSupPr>
                <m:e>
                  <m:r>
                    <w:rPr>
                      <w:rFonts w:ascii="Cambria Math" w:eastAsiaTheme="minorEastAsia" w:hAnsi="Cambria Math"/>
                    </w:rPr>
                    <m:t>1.15</m:t>
                  </m:r>
                </m:e>
                <m:sup>
                  <m:r>
                    <w:rPr>
                      <w:rFonts w:ascii="Cambria Math" w:eastAsiaTheme="minorEastAsia" w:hAnsi="Cambria Math"/>
                    </w:rPr>
                    <m:t>2</m:t>
                  </m:r>
                </m:sup>
              </m:sSup>
            </m:den>
          </m:f>
          <m:r>
            <w:rPr>
              <w:rFonts w:ascii="Cambria Math" w:eastAsiaTheme="minorEastAsia" w:hAnsi="Cambria Math"/>
            </w:rPr>
            <m:t>=-$11.81</m:t>
          </m:r>
        </m:oMath>
      </m:oMathPara>
    </w:p>
    <w:p w14:paraId="6865B03A" w14:textId="77777777" w:rsidR="00A86709" w:rsidRDefault="00A86709" w:rsidP="005451CD">
      <w:pPr>
        <w:spacing w:after="0" w:line="240" w:lineRule="auto"/>
        <w:jc w:val="both"/>
        <w:rPr>
          <w:rFonts w:ascii="Bookman Old Style" w:eastAsiaTheme="minorEastAsia" w:hAnsi="Bookman Old Style"/>
        </w:rPr>
      </w:pPr>
    </w:p>
    <w:p w14:paraId="185A1975" w14:textId="77777777" w:rsidR="00A86709" w:rsidRDefault="00A86709" w:rsidP="005451CD">
      <w:pPr>
        <w:spacing w:after="0" w:line="240" w:lineRule="auto"/>
        <w:jc w:val="both"/>
        <w:rPr>
          <w:rFonts w:ascii="Bookman Old Style" w:eastAsiaTheme="minorEastAsia" w:hAnsi="Bookman Old Style"/>
        </w:rPr>
      </w:pPr>
    </w:p>
    <w:p w14:paraId="20269390" w14:textId="5E1B2EB6" w:rsidR="00A86709" w:rsidRPr="00A86709" w:rsidRDefault="00A86709" w:rsidP="005451CD">
      <w:pPr>
        <w:spacing w:after="0" w:line="240" w:lineRule="auto"/>
        <w:jc w:val="both"/>
        <w:rPr>
          <w:rFonts w:ascii="Bookman Old Style" w:eastAsiaTheme="minorEastAsia" w:hAnsi="Bookman Old Style"/>
        </w:rPr>
      </w:pPr>
      <m:oMathPara>
        <m:oMath>
          <m:r>
            <w:rPr>
              <w:rFonts w:ascii="Cambria Math" w:eastAsiaTheme="minorEastAsia" w:hAnsi="Cambria Math"/>
            </w:rPr>
            <m:t xml:space="preserve">NPV </m:t>
          </m:r>
          <m:d>
            <m:dPr>
              <m:ctrlPr>
                <w:rPr>
                  <w:rFonts w:ascii="Cambria Math" w:eastAsiaTheme="minorEastAsia" w:hAnsi="Cambria Math"/>
                  <w:i/>
                </w:rPr>
              </m:ctrlPr>
            </m:dPr>
            <m:e>
              <m:r>
                <w:rPr>
                  <w:rFonts w:ascii="Cambria Math" w:eastAsiaTheme="minorEastAsia" w:hAnsi="Cambria Math"/>
                </w:rPr>
                <m:t>Long</m:t>
              </m:r>
            </m:e>
          </m:d>
          <m:r>
            <w:rPr>
              <w:rFonts w:ascii="Cambria Math" w:eastAsiaTheme="minorEastAsia" w:hAnsi="Cambria Math"/>
            </w:rPr>
            <m:t>=-$250+100*</m:t>
          </m:r>
          <m:f>
            <m:fPr>
              <m:ctrlPr>
                <w:rPr>
                  <w:rFonts w:ascii="Cambria Math" w:eastAsiaTheme="minorEastAsia" w:hAnsi="Cambria Math"/>
                  <w:i/>
                </w:rPr>
              </m:ctrlPr>
            </m:fPr>
            <m:num>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r>
                        <w:rPr>
                          <w:rFonts w:ascii="Cambria Math" w:eastAsiaTheme="minorEastAsia" w:hAnsi="Cambria Math"/>
                        </w:rPr>
                        <m:t>1.15</m:t>
                      </m:r>
                    </m:e>
                    <m:sup>
                      <m:r>
                        <w:rPr>
                          <w:rFonts w:ascii="Cambria Math" w:eastAsiaTheme="minorEastAsia" w:hAnsi="Cambria Math"/>
                        </w:rPr>
                        <m:t>4</m:t>
                      </m:r>
                    </m:sup>
                  </m:sSup>
                </m:den>
              </m:f>
            </m:num>
            <m:den>
              <m:r>
                <w:rPr>
                  <w:rFonts w:ascii="Cambria Math" w:eastAsiaTheme="minorEastAsia" w:hAnsi="Cambria Math"/>
                </w:rPr>
                <m:t>.15</m:t>
              </m:r>
            </m:den>
          </m:f>
          <m:r>
            <w:rPr>
              <w:rFonts w:ascii="Cambria Math" w:eastAsiaTheme="minorEastAsia" w:hAnsi="Cambria Math"/>
            </w:rPr>
            <m:t>=$35.50</m:t>
          </m:r>
        </m:oMath>
      </m:oMathPara>
    </w:p>
    <w:p w14:paraId="029B3C04" w14:textId="77777777" w:rsidR="00A86709" w:rsidRDefault="00A86709" w:rsidP="005451CD">
      <w:pPr>
        <w:spacing w:after="0" w:line="240" w:lineRule="auto"/>
        <w:jc w:val="both"/>
        <w:rPr>
          <w:rFonts w:ascii="Bookman Old Style" w:eastAsiaTheme="minorEastAsia" w:hAnsi="Bookman Old Style"/>
        </w:rPr>
      </w:pPr>
    </w:p>
    <w:p w14:paraId="538F6A3A" w14:textId="5C5116B4" w:rsidR="00A86709" w:rsidRDefault="00A86709" w:rsidP="005451CD">
      <w:pPr>
        <w:spacing w:after="0" w:line="240" w:lineRule="auto"/>
        <w:jc w:val="both"/>
        <w:rPr>
          <w:rFonts w:ascii="Bookman Old Style" w:eastAsiaTheme="minorEastAsia" w:hAnsi="Bookman Old Style"/>
        </w:rPr>
      </w:pPr>
      <w:r>
        <w:rPr>
          <w:rFonts w:ascii="Bookman Old Style" w:eastAsiaTheme="minorEastAsia" w:hAnsi="Bookman Old Style"/>
        </w:rPr>
        <w:t>Now we have a problem 0 the NPV of the shorter-term investment is actually negative, meaning that taking it diminishes the value of the shareholders’ equity. The opposite is true for the longer term investment – it increases share value.</w:t>
      </w:r>
    </w:p>
    <w:p w14:paraId="2B0AE71D" w14:textId="77777777" w:rsidR="00A86709" w:rsidRDefault="00A86709" w:rsidP="005451CD">
      <w:pPr>
        <w:spacing w:after="0" w:line="240" w:lineRule="auto"/>
        <w:jc w:val="both"/>
        <w:rPr>
          <w:rFonts w:ascii="Bookman Old Style" w:eastAsiaTheme="minorEastAsia" w:hAnsi="Bookman Old Style"/>
        </w:rPr>
      </w:pPr>
    </w:p>
    <w:p w14:paraId="2DE0E90F" w14:textId="3666971D" w:rsidR="00A86709" w:rsidRDefault="00456C34" w:rsidP="005451CD">
      <w:pPr>
        <w:spacing w:after="0" w:line="240" w:lineRule="auto"/>
        <w:jc w:val="both"/>
        <w:rPr>
          <w:rFonts w:ascii="Bookman Old Style" w:eastAsiaTheme="minorEastAsia" w:hAnsi="Bookman Old Style"/>
        </w:rPr>
      </w:pPr>
      <w:r>
        <w:rPr>
          <w:rFonts w:ascii="Bookman Old Style" w:eastAsiaTheme="minorEastAsia" w:hAnsi="Bookman Old Style"/>
        </w:rPr>
        <w:t>Our example shows the 2 primary shortcomings of the payback period rule:</w:t>
      </w:r>
    </w:p>
    <w:p w14:paraId="6E75C07E" w14:textId="77777777" w:rsidR="00456C34" w:rsidRDefault="00456C34" w:rsidP="005451CD">
      <w:pPr>
        <w:spacing w:after="0" w:line="240" w:lineRule="auto"/>
        <w:jc w:val="both"/>
        <w:rPr>
          <w:rFonts w:ascii="Bookman Old Style" w:eastAsiaTheme="minorEastAsia" w:hAnsi="Bookman Old Style"/>
        </w:rPr>
      </w:pPr>
    </w:p>
    <w:p w14:paraId="18BFF866" w14:textId="1CACC3D0" w:rsidR="00456C34" w:rsidRDefault="00456C34" w:rsidP="005451CD">
      <w:pPr>
        <w:spacing w:after="0" w:line="240" w:lineRule="auto"/>
        <w:jc w:val="both"/>
        <w:rPr>
          <w:rFonts w:ascii="Bookman Old Style" w:eastAsiaTheme="minorEastAsia" w:hAnsi="Bookman Old Style"/>
        </w:rPr>
      </w:pPr>
      <w:r>
        <w:rPr>
          <w:rFonts w:ascii="Bookman Old Style" w:eastAsiaTheme="minorEastAsia" w:hAnsi="Bookman Old Style"/>
        </w:rPr>
        <w:t>#1 – By ignoring time value, we may lead to take investments (like Short) that actually are worth less than they cost.</w:t>
      </w:r>
    </w:p>
    <w:p w14:paraId="75A02B5F" w14:textId="77777777" w:rsidR="00456C34" w:rsidRDefault="00456C34" w:rsidP="005451CD">
      <w:pPr>
        <w:spacing w:after="0" w:line="240" w:lineRule="auto"/>
        <w:jc w:val="both"/>
        <w:rPr>
          <w:rFonts w:ascii="Bookman Old Style" w:eastAsiaTheme="minorEastAsia" w:hAnsi="Bookman Old Style"/>
        </w:rPr>
      </w:pPr>
    </w:p>
    <w:p w14:paraId="2AE0D669" w14:textId="0670C750" w:rsidR="00456C34" w:rsidRDefault="00456C34" w:rsidP="005451CD">
      <w:pPr>
        <w:spacing w:after="0" w:line="240" w:lineRule="auto"/>
        <w:jc w:val="both"/>
        <w:rPr>
          <w:rFonts w:ascii="Bookman Old Style" w:eastAsiaTheme="minorEastAsia" w:hAnsi="Bookman Old Style"/>
        </w:rPr>
      </w:pPr>
      <w:r>
        <w:rPr>
          <w:rFonts w:ascii="Bookman Old Style" w:eastAsiaTheme="minorEastAsia" w:hAnsi="Bookman Old Style"/>
        </w:rPr>
        <w:t>#2 – By ignoring cash flows beyond the cutoff, we may be led to reject profitable long-term investments (like Long).</w:t>
      </w:r>
    </w:p>
    <w:p w14:paraId="70B26244" w14:textId="77777777" w:rsidR="00456C34" w:rsidRDefault="00456C34" w:rsidP="005451CD">
      <w:pPr>
        <w:spacing w:after="0" w:line="240" w:lineRule="auto"/>
        <w:jc w:val="both"/>
        <w:rPr>
          <w:rFonts w:ascii="Bookman Old Style" w:eastAsiaTheme="minorEastAsia" w:hAnsi="Bookman Old Style"/>
        </w:rPr>
      </w:pPr>
    </w:p>
    <w:p w14:paraId="2F9AFE3D" w14:textId="70BDAB65" w:rsidR="00456C34" w:rsidRDefault="00456C34" w:rsidP="005451CD">
      <w:pPr>
        <w:spacing w:after="0" w:line="240" w:lineRule="auto"/>
        <w:jc w:val="both"/>
        <w:rPr>
          <w:rFonts w:ascii="Bookman Old Style" w:eastAsiaTheme="minorEastAsia" w:hAnsi="Bookman Old Style"/>
        </w:rPr>
      </w:pPr>
      <w:r>
        <w:rPr>
          <w:rFonts w:ascii="Bookman Old Style" w:eastAsiaTheme="minorEastAsia" w:hAnsi="Bookman Old Style"/>
        </w:rPr>
        <w:t>Generally, using the payback period rule tends to be bias toward shorter-term investments.</w:t>
      </w:r>
    </w:p>
    <w:p w14:paraId="376536A8" w14:textId="77777777" w:rsidR="00456C34" w:rsidRDefault="00456C34" w:rsidP="005451CD">
      <w:pPr>
        <w:spacing w:after="0" w:line="240" w:lineRule="auto"/>
        <w:jc w:val="both"/>
        <w:rPr>
          <w:rFonts w:ascii="Bookman Old Style" w:eastAsiaTheme="minorEastAsia" w:hAnsi="Bookman Old Style"/>
        </w:rPr>
      </w:pPr>
    </w:p>
    <w:p w14:paraId="40EE9356" w14:textId="77777777" w:rsidR="00456C34" w:rsidRDefault="00456C34" w:rsidP="005451CD">
      <w:pPr>
        <w:spacing w:after="0" w:line="240" w:lineRule="auto"/>
        <w:jc w:val="both"/>
        <w:rPr>
          <w:rFonts w:ascii="Bookman Old Style" w:eastAsiaTheme="minorEastAsia" w:hAnsi="Bookman Old Style"/>
        </w:rPr>
      </w:pPr>
    </w:p>
    <w:p w14:paraId="1B972EF3" w14:textId="662165E6" w:rsidR="00456C34" w:rsidRDefault="002D6249" w:rsidP="005451CD">
      <w:pPr>
        <w:spacing w:after="0" w:line="240" w:lineRule="auto"/>
        <w:jc w:val="both"/>
        <w:rPr>
          <w:rFonts w:ascii="Bookman Old Style" w:eastAsiaTheme="minorEastAsia" w:hAnsi="Bookman Old Style"/>
          <w:b/>
          <w:u w:val="single"/>
        </w:rPr>
      </w:pPr>
      <w:r>
        <w:rPr>
          <w:rFonts w:ascii="Bookman Old Style" w:eastAsiaTheme="minorEastAsia" w:hAnsi="Bookman Old Style"/>
          <w:b/>
          <w:u w:val="single"/>
        </w:rPr>
        <w:t>Redeeming Qualities</w:t>
      </w:r>
    </w:p>
    <w:p w14:paraId="11F0D88D" w14:textId="2C8AEFB0" w:rsidR="00456C34" w:rsidRDefault="002D6249" w:rsidP="005451CD">
      <w:pPr>
        <w:spacing w:after="0" w:line="240" w:lineRule="auto"/>
        <w:jc w:val="both"/>
        <w:rPr>
          <w:rFonts w:ascii="Bookman Old Style" w:eastAsiaTheme="minorEastAsia" w:hAnsi="Bookman Old Style"/>
        </w:rPr>
      </w:pPr>
      <w:r>
        <w:rPr>
          <w:rFonts w:ascii="Bookman Old Style" w:eastAsiaTheme="minorEastAsia" w:hAnsi="Bookman Old Style"/>
        </w:rPr>
        <w:t>Despite the drawbacks, the payback period rule is often used by small companies whose managers lack financial skills. It’s also used by large and sophisticated companies when making relatively small decisions.</w:t>
      </w:r>
    </w:p>
    <w:p w14:paraId="6E902FE9" w14:textId="77777777" w:rsidR="002D6249" w:rsidRDefault="002D6249" w:rsidP="005451CD">
      <w:pPr>
        <w:spacing w:after="0" w:line="240" w:lineRule="auto"/>
        <w:jc w:val="both"/>
        <w:rPr>
          <w:rFonts w:ascii="Bookman Old Style" w:eastAsiaTheme="minorEastAsia" w:hAnsi="Bookman Old Style"/>
        </w:rPr>
      </w:pPr>
    </w:p>
    <w:p w14:paraId="6919F818" w14:textId="1E46564D" w:rsidR="002D6249" w:rsidRDefault="002D6249" w:rsidP="005451CD">
      <w:pPr>
        <w:spacing w:after="0" w:line="240" w:lineRule="auto"/>
        <w:jc w:val="both"/>
        <w:rPr>
          <w:rFonts w:ascii="Bookman Old Style" w:eastAsiaTheme="minorEastAsia" w:hAnsi="Bookman Old Style"/>
        </w:rPr>
      </w:pPr>
      <w:r>
        <w:rPr>
          <w:rFonts w:ascii="Bookman Old Style" w:eastAsiaTheme="minorEastAsia" w:hAnsi="Bookman Old Style"/>
        </w:rPr>
        <w:t>Why?</w:t>
      </w:r>
    </w:p>
    <w:p w14:paraId="244FA3A9" w14:textId="77777777" w:rsidR="002D6249" w:rsidRDefault="002D6249" w:rsidP="005451CD">
      <w:pPr>
        <w:spacing w:after="0" w:line="240" w:lineRule="auto"/>
        <w:jc w:val="both"/>
        <w:rPr>
          <w:rFonts w:ascii="Bookman Old Style" w:eastAsiaTheme="minorEastAsia" w:hAnsi="Bookman Old Style"/>
        </w:rPr>
      </w:pPr>
    </w:p>
    <w:p w14:paraId="0B697B87" w14:textId="310CF7EC" w:rsidR="002D6249" w:rsidRDefault="002D6249" w:rsidP="005451CD">
      <w:pPr>
        <w:spacing w:after="0" w:line="240" w:lineRule="auto"/>
        <w:jc w:val="both"/>
        <w:rPr>
          <w:rFonts w:ascii="Bookman Old Style" w:eastAsiaTheme="minorEastAsia" w:hAnsi="Bookman Old Style"/>
        </w:rPr>
      </w:pPr>
      <w:r>
        <w:rPr>
          <w:rFonts w:ascii="Bookman Old Style" w:eastAsiaTheme="minorEastAsia" w:hAnsi="Bookman Old Style"/>
        </w:rPr>
        <w:t xml:space="preserve">The main reason is that many decisions don’t warrant detailed analysis because the cost of analysis is higher than loss from a mistake. Practically, an investment that </w:t>
      </w:r>
      <w:r>
        <w:rPr>
          <w:rFonts w:ascii="Bookman Old Style" w:eastAsiaTheme="minorEastAsia" w:hAnsi="Bookman Old Style"/>
        </w:rPr>
        <w:lastRenderedPageBreak/>
        <w:t>pays back relatively quickly and has benefits extending beyond the cutoff period probably has a positive NPV.</w:t>
      </w:r>
    </w:p>
    <w:p w14:paraId="1E976511" w14:textId="77777777" w:rsidR="002D6249" w:rsidRDefault="002D6249" w:rsidP="005451CD">
      <w:pPr>
        <w:spacing w:after="0" w:line="240" w:lineRule="auto"/>
        <w:jc w:val="both"/>
        <w:rPr>
          <w:rFonts w:ascii="Bookman Old Style" w:eastAsiaTheme="minorEastAsia" w:hAnsi="Bookman Old Style"/>
        </w:rPr>
      </w:pPr>
    </w:p>
    <w:p w14:paraId="598FDBCB" w14:textId="4213F4C0" w:rsidR="002D6249" w:rsidRDefault="002D6249" w:rsidP="005451CD">
      <w:pPr>
        <w:spacing w:after="0" w:line="240" w:lineRule="auto"/>
        <w:jc w:val="both"/>
        <w:rPr>
          <w:rFonts w:ascii="Bookman Old Style" w:eastAsiaTheme="minorEastAsia" w:hAnsi="Bookman Old Style"/>
        </w:rPr>
      </w:pPr>
      <w:r>
        <w:rPr>
          <w:rFonts w:ascii="Bookman Old Style" w:eastAsiaTheme="minorEastAsia" w:hAnsi="Bookman Old Style"/>
        </w:rPr>
        <w:t>It wouldn’t be uncommon for a corporation to require, for example, a 2 year payback on all investments of less than $10,000 – investments larger than this are subjected to more scrutiny.</w:t>
      </w:r>
    </w:p>
    <w:p w14:paraId="59919BD4" w14:textId="77777777" w:rsidR="002D6249" w:rsidRDefault="002D6249" w:rsidP="005451CD">
      <w:pPr>
        <w:spacing w:after="0" w:line="240" w:lineRule="auto"/>
        <w:jc w:val="both"/>
        <w:rPr>
          <w:rFonts w:ascii="Bookman Old Style" w:eastAsiaTheme="minorEastAsia" w:hAnsi="Bookman Old Style"/>
        </w:rPr>
      </w:pPr>
    </w:p>
    <w:p w14:paraId="12A13056" w14:textId="7800663C" w:rsidR="002D6249" w:rsidRDefault="002D6249" w:rsidP="005451CD">
      <w:pPr>
        <w:spacing w:after="0" w:line="240" w:lineRule="auto"/>
        <w:jc w:val="both"/>
        <w:rPr>
          <w:rFonts w:ascii="Bookman Old Style" w:eastAsiaTheme="minorEastAsia" w:hAnsi="Bookman Old Style"/>
        </w:rPr>
      </w:pPr>
      <w:r>
        <w:rPr>
          <w:rFonts w:ascii="Bookman Old Style" w:eastAsiaTheme="minorEastAsia" w:hAnsi="Bookman Old Style"/>
        </w:rPr>
        <w:t>The payback period rule has several other features to recommend it:</w:t>
      </w:r>
    </w:p>
    <w:p w14:paraId="44CC986D" w14:textId="77777777" w:rsidR="002D6249" w:rsidRDefault="002D6249" w:rsidP="005451CD">
      <w:pPr>
        <w:spacing w:after="0" w:line="240" w:lineRule="auto"/>
        <w:jc w:val="both"/>
        <w:rPr>
          <w:rFonts w:ascii="Bookman Old Style" w:eastAsiaTheme="minorEastAsia" w:hAnsi="Bookman Old Style"/>
        </w:rPr>
      </w:pPr>
    </w:p>
    <w:p w14:paraId="425F076E" w14:textId="0A3314A6" w:rsidR="002D6249" w:rsidRDefault="002D6249" w:rsidP="005451CD">
      <w:pPr>
        <w:pStyle w:val="ListParagraph"/>
        <w:numPr>
          <w:ilvl w:val="0"/>
          <w:numId w:val="34"/>
        </w:numPr>
        <w:spacing w:after="0" w:line="240" w:lineRule="auto"/>
        <w:jc w:val="both"/>
        <w:rPr>
          <w:rFonts w:ascii="Bookman Old Style" w:eastAsiaTheme="minorEastAsia" w:hAnsi="Bookman Old Style"/>
        </w:rPr>
      </w:pPr>
      <w:r>
        <w:rPr>
          <w:rFonts w:ascii="Bookman Old Style" w:eastAsiaTheme="minorEastAsia" w:hAnsi="Bookman Old Style"/>
        </w:rPr>
        <w:t>Because it’s biased toward short-term projects, it’s biased toward liquidity. So a payback rule favors investments that free up cash for other uses more quickly. This could be important for a small company, less so for a large one.</w:t>
      </w:r>
    </w:p>
    <w:p w14:paraId="4B36A3B4" w14:textId="77777777" w:rsidR="002D6249" w:rsidRDefault="002D6249" w:rsidP="005451CD">
      <w:pPr>
        <w:spacing w:after="0" w:line="240" w:lineRule="auto"/>
        <w:jc w:val="both"/>
        <w:rPr>
          <w:rFonts w:ascii="Bookman Old Style" w:eastAsiaTheme="minorEastAsia" w:hAnsi="Bookman Old Style"/>
        </w:rPr>
      </w:pPr>
    </w:p>
    <w:p w14:paraId="4C0A4D7B" w14:textId="6D81F6E5" w:rsidR="002D6249" w:rsidRDefault="002D6249" w:rsidP="005451CD">
      <w:pPr>
        <w:pStyle w:val="ListParagraph"/>
        <w:numPr>
          <w:ilvl w:val="0"/>
          <w:numId w:val="34"/>
        </w:numPr>
        <w:spacing w:after="0" w:line="240" w:lineRule="auto"/>
        <w:jc w:val="both"/>
        <w:rPr>
          <w:rFonts w:ascii="Bookman Old Style" w:eastAsiaTheme="minorEastAsia" w:hAnsi="Bookman Old Style"/>
        </w:rPr>
      </w:pPr>
      <w:r>
        <w:rPr>
          <w:rFonts w:ascii="Bookman Old Style" w:eastAsiaTheme="minorEastAsia" w:hAnsi="Bookman Old Style"/>
        </w:rPr>
        <w:t>The cash flows that are expected to occur later in a project’s life are probably more uncertain. A payback period rule takes into account the extra riskiness of later cash flows, but it does so by ignoring them altogether.</w:t>
      </w:r>
    </w:p>
    <w:p w14:paraId="2DE99E50" w14:textId="77777777" w:rsidR="002D6249" w:rsidRPr="002D6249" w:rsidRDefault="002D6249" w:rsidP="005451CD">
      <w:pPr>
        <w:pStyle w:val="ListParagraph"/>
        <w:spacing w:after="0" w:line="240" w:lineRule="auto"/>
        <w:rPr>
          <w:rFonts w:ascii="Bookman Old Style" w:eastAsiaTheme="minorEastAsia" w:hAnsi="Bookman Old Style"/>
        </w:rPr>
      </w:pPr>
    </w:p>
    <w:p w14:paraId="12DAC345" w14:textId="3604D1EE" w:rsidR="002D6249" w:rsidRDefault="002D6249" w:rsidP="005451CD">
      <w:pPr>
        <w:spacing w:after="0" w:line="240" w:lineRule="auto"/>
        <w:jc w:val="both"/>
        <w:rPr>
          <w:rFonts w:ascii="Bookman Old Style" w:eastAsiaTheme="minorEastAsia" w:hAnsi="Bookman Old Style"/>
        </w:rPr>
      </w:pPr>
      <w:r>
        <w:rPr>
          <w:rFonts w:ascii="Bookman Old Style" w:eastAsiaTheme="minorEastAsia" w:hAnsi="Bookman Old Style"/>
        </w:rPr>
        <w:t>The payback rule isn’t as simple as it seems – we still have to come up with cash flows first and this isn’t easy to do. It’s probably more accurate to say that the concept of a payback period is both intuitive and easy to understand.</w:t>
      </w:r>
    </w:p>
    <w:p w14:paraId="56AC960A" w14:textId="77777777" w:rsidR="002D6249" w:rsidRDefault="002D6249" w:rsidP="005451CD">
      <w:pPr>
        <w:spacing w:after="0" w:line="240" w:lineRule="auto"/>
        <w:jc w:val="both"/>
        <w:rPr>
          <w:rFonts w:ascii="Bookman Old Style" w:eastAsiaTheme="minorEastAsia" w:hAnsi="Bookman Old Style"/>
        </w:rPr>
      </w:pPr>
    </w:p>
    <w:p w14:paraId="71F65832" w14:textId="77777777" w:rsidR="002D6249" w:rsidRDefault="002D6249" w:rsidP="005451CD">
      <w:pPr>
        <w:spacing w:after="0" w:line="240" w:lineRule="auto"/>
        <w:jc w:val="both"/>
        <w:rPr>
          <w:rFonts w:ascii="Bookman Old Style" w:eastAsiaTheme="minorEastAsia" w:hAnsi="Bookman Old Style"/>
        </w:rPr>
      </w:pPr>
    </w:p>
    <w:p w14:paraId="12A273F9" w14:textId="1C095EFE" w:rsidR="002D6249" w:rsidRPr="002D6249" w:rsidRDefault="002D6249" w:rsidP="005451CD">
      <w:pPr>
        <w:spacing w:after="0" w:line="240" w:lineRule="auto"/>
        <w:jc w:val="both"/>
        <w:rPr>
          <w:rFonts w:ascii="Bookman Old Style" w:eastAsiaTheme="minorEastAsia" w:hAnsi="Bookman Old Style"/>
          <w:b/>
          <w:u w:val="single"/>
        </w:rPr>
      </w:pPr>
      <w:r>
        <w:rPr>
          <w:rFonts w:ascii="Bookman Old Style" w:eastAsiaTheme="minorEastAsia" w:hAnsi="Bookman Old Style"/>
          <w:b/>
          <w:u w:val="single"/>
        </w:rPr>
        <w:t>Summary of the Rule</w:t>
      </w:r>
    </w:p>
    <w:p w14:paraId="4CC80AC3" w14:textId="1CC8C1DB" w:rsidR="002D6249" w:rsidRDefault="00B617A6" w:rsidP="005451CD">
      <w:pPr>
        <w:spacing w:after="0" w:line="240" w:lineRule="auto"/>
        <w:jc w:val="both"/>
        <w:rPr>
          <w:rFonts w:ascii="Bookman Old Style" w:eastAsiaTheme="minorEastAsia" w:hAnsi="Bookman Old Style"/>
        </w:rPr>
      </w:pPr>
      <w:r>
        <w:rPr>
          <w:rFonts w:ascii="Bookman Old Style" w:eastAsiaTheme="minorEastAsia" w:hAnsi="Bookman Old Style"/>
        </w:rPr>
        <w:t>The payback period rule is a kind of “break-even” measure. Because time value is ignored, you can think of the payback period as the length of time it takes to break even in an accounting sense, but not in an economic sense.</w:t>
      </w:r>
    </w:p>
    <w:p w14:paraId="5CC1A28F" w14:textId="77777777" w:rsidR="00B617A6" w:rsidRDefault="00B617A6" w:rsidP="005451CD">
      <w:pPr>
        <w:spacing w:after="0" w:line="240" w:lineRule="auto"/>
        <w:jc w:val="both"/>
        <w:rPr>
          <w:rFonts w:ascii="Bookman Old Style" w:eastAsiaTheme="minorEastAsia" w:hAnsi="Bookman Old Style"/>
        </w:rPr>
      </w:pPr>
    </w:p>
    <w:p w14:paraId="0B86240A" w14:textId="29AE01E7" w:rsidR="00B617A6" w:rsidRDefault="00B617A6" w:rsidP="005451CD">
      <w:pPr>
        <w:spacing w:after="0" w:line="240" w:lineRule="auto"/>
        <w:jc w:val="both"/>
        <w:rPr>
          <w:rFonts w:ascii="Bookman Old Style" w:eastAsiaTheme="minorEastAsia" w:hAnsi="Bookman Old Style"/>
        </w:rPr>
      </w:pPr>
      <w:r>
        <w:rPr>
          <w:rFonts w:ascii="Bookman Old Style" w:eastAsiaTheme="minorEastAsia" w:hAnsi="Bookman Old Style"/>
        </w:rPr>
        <w:t>The biggest drawback to the rule is that it doesn’t ask the right question – the relevant issue is the impact an investment will have on the value of our stock, not how long it takes to recover the initial investment.</w:t>
      </w:r>
    </w:p>
    <w:p w14:paraId="018A1756" w14:textId="77777777" w:rsidR="00B617A6" w:rsidRDefault="00B617A6" w:rsidP="005451CD">
      <w:pPr>
        <w:spacing w:after="0" w:line="240" w:lineRule="auto"/>
        <w:jc w:val="both"/>
        <w:rPr>
          <w:rFonts w:ascii="Bookman Old Style" w:eastAsiaTheme="minorEastAsia" w:hAnsi="Bookman Old Style"/>
        </w:rPr>
      </w:pPr>
    </w:p>
    <w:p w14:paraId="138BD596" w14:textId="0483D734" w:rsidR="00B617A6" w:rsidRDefault="00B617A6" w:rsidP="005451CD">
      <w:pPr>
        <w:spacing w:after="0" w:line="240" w:lineRule="auto"/>
        <w:jc w:val="both"/>
        <w:rPr>
          <w:rFonts w:ascii="Bookman Old Style" w:eastAsiaTheme="minorEastAsia" w:hAnsi="Bookman Old Style"/>
        </w:rPr>
      </w:pPr>
      <w:r>
        <w:rPr>
          <w:rFonts w:ascii="Bookman Old Style" w:eastAsiaTheme="minorEastAsia" w:hAnsi="Bookman Old Style"/>
        </w:rPr>
        <w:t>So, the payback period rule fails to meet all 3 decision criteria.</w:t>
      </w:r>
    </w:p>
    <w:p w14:paraId="2D85E3E0" w14:textId="77777777" w:rsidR="00B617A6" w:rsidRDefault="00B617A6" w:rsidP="005451CD">
      <w:pPr>
        <w:spacing w:after="0" w:line="240" w:lineRule="auto"/>
        <w:jc w:val="both"/>
        <w:rPr>
          <w:rFonts w:ascii="Bookman Old Style" w:eastAsiaTheme="minorEastAsia" w:hAnsi="Bookman Old Style"/>
        </w:rPr>
      </w:pPr>
    </w:p>
    <w:p w14:paraId="50E39CAA" w14:textId="6CDE4F15" w:rsidR="00B617A6" w:rsidRDefault="00B617A6" w:rsidP="005451CD">
      <w:pPr>
        <w:spacing w:after="0" w:line="240" w:lineRule="auto"/>
        <w:jc w:val="both"/>
        <w:rPr>
          <w:rFonts w:ascii="Bookman Old Style" w:eastAsiaTheme="minorEastAsia" w:hAnsi="Bookman Old Style"/>
        </w:rPr>
      </w:pPr>
      <w:r>
        <w:rPr>
          <w:rFonts w:ascii="Bookman Old Style" w:eastAsiaTheme="minorEastAsia" w:hAnsi="Bookman Old Style"/>
        </w:rPr>
        <w:t>But because it’s so simple, companies often use it as a screen for dealing with minor investment decisions. Like with any simple rule, there will be some errors in using it, but it wouldn’t have survived all this time if it wasn’t useful.</w:t>
      </w:r>
    </w:p>
    <w:p w14:paraId="01747CA4" w14:textId="77777777" w:rsidR="00B617A6" w:rsidRDefault="00B617A6" w:rsidP="005451CD">
      <w:pPr>
        <w:spacing w:after="0" w:line="240" w:lineRule="auto"/>
        <w:jc w:val="both"/>
        <w:rPr>
          <w:rFonts w:ascii="Bookman Old Style" w:eastAsiaTheme="minorEastAsia" w:hAnsi="Bookman Old Style"/>
        </w:rPr>
      </w:pPr>
    </w:p>
    <w:tbl>
      <w:tblPr>
        <w:tblStyle w:val="MediumGrid1-Accent3"/>
        <w:tblW w:w="0" w:type="auto"/>
        <w:tblLook w:val="04A0" w:firstRow="1" w:lastRow="0" w:firstColumn="1" w:lastColumn="0" w:noHBand="0" w:noVBand="1"/>
      </w:tblPr>
      <w:tblGrid>
        <w:gridCol w:w="4788"/>
        <w:gridCol w:w="4788"/>
      </w:tblGrid>
      <w:tr w:rsidR="00B617A6" w14:paraId="5852FB3B" w14:textId="77777777" w:rsidTr="00B617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gridSpan w:val="2"/>
          </w:tcPr>
          <w:p w14:paraId="50369084" w14:textId="10B9D034" w:rsidR="00B617A6" w:rsidRPr="00B617A6" w:rsidRDefault="00B617A6" w:rsidP="005451CD">
            <w:pPr>
              <w:jc w:val="center"/>
              <w:rPr>
                <w:rFonts w:ascii="Bookman Old Style" w:eastAsiaTheme="minorEastAsia" w:hAnsi="Bookman Old Style"/>
                <w:sz w:val="20"/>
              </w:rPr>
            </w:pPr>
            <w:r w:rsidRPr="00B617A6">
              <w:rPr>
                <w:rFonts w:ascii="Bookman Old Style" w:eastAsiaTheme="minorEastAsia" w:hAnsi="Bookman Old Style"/>
                <w:sz w:val="20"/>
              </w:rPr>
              <w:t>Advantages &amp; Disadvantages of the Payback Period Rule</w:t>
            </w:r>
          </w:p>
        </w:tc>
      </w:tr>
      <w:tr w:rsidR="00B617A6" w14:paraId="4A93061E" w14:textId="77777777" w:rsidTr="00B617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027CFA21" w14:textId="5852EDE5" w:rsidR="00B617A6" w:rsidRPr="00B617A6" w:rsidRDefault="00B617A6" w:rsidP="005451CD">
            <w:pPr>
              <w:jc w:val="center"/>
              <w:rPr>
                <w:rFonts w:ascii="Bookman Old Style" w:eastAsiaTheme="minorEastAsia" w:hAnsi="Bookman Old Style"/>
                <w:i/>
                <w:sz w:val="20"/>
              </w:rPr>
            </w:pPr>
            <w:r w:rsidRPr="00B617A6">
              <w:rPr>
                <w:rFonts w:ascii="Bookman Old Style" w:eastAsiaTheme="minorEastAsia" w:hAnsi="Bookman Old Style"/>
                <w:i/>
                <w:sz w:val="20"/>
              </w:rPr>
              <w:t>Advantages</w:t>
            </w:r>
          </w:p>
        </w:tc>
        <w:tc>
          <w:tcPr>
            <w:tcW w:w="4788" w:type="dxa"/>
          </w:tcPr>
          <w:p w14:paraId="0F94627D" w14:textId="007D4622" w:rsidR="00B617A6" w:rsidRPr="00B617A6" w:rsidRDefault="00B617A6" w:rsidP="005451CD">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b/>
                <w:i/>
                <w:sz w:val="20"/>
              </w:rPr>
            </w:pPr>
            <w:r w:rsidRPr="00B617A6">
              <w:rPr>
                <w:rFonts w:ascii="Bookman Old Style" w:eastAsiaTheme="minorEastAsia" w:hAnsi="Bookman Old Style"/>
                <w:b/>
                <w:i/>
                <w:sz w:val="20"/>
              </w:rPr>
              <w:t>Disadvantages</w:t>
            </w:r>
          </w:p>
        </w:tc>
      </w:tr>
      <w:tr w:rsidR="00B617A6" w14:paraId="658024F7" w14:textId="77777777" w:rsidTr="00B617A6">
        <w:tc>
          <w:tcPr>
            <w:cnfStyle w:val="001000000000" w:firstRow="0" w:lastRow="0" w:firstColumn="1" w:lastColumn="0" w:oddVBand="0" w:evenVBand="0" w:oddHBand="0" w:evenHBand="0" w:firstRowFirstColumn="0" w:firstRowLastColumn="0" w:lastRowFirstColumn="0" w:lastRowLastColumn="0"/>
            <w:tcW w:w="4788" w:type="dxa"/>
          </w:tcPr>
          <w:p w14:paraId="055E79EE" w14:textId="1E41EEC5" w:rsidR="00B617A6" w:rsidRPr="00B617A6" w:rsidRDefault="00B617A6" w:rsidP="005451CD">
            <w:pPr>
              <w:jc w:val="both"/>
              <w:rPr>
                <w:rFonts w:ascii="Bookman Old Style" w:eastAsiaTheme="minorEastAsia" w:hAnsi="Bookman Old Style"/>
                <w:b w:val="0"/>
                <w:sz w:val="20"/>
              </w:rPr>
            </w:pPr>
            <w:r w:rsidRPr="00B617A6">
              <w:rPr>
                <w:rFonts w:ascii="Bookman Old Style" w:eastAsiaTheme="minorEastAsia" w:hAnsi="Bookman Old Style"/>
                <w:b w:val="0"/>
                <w:sz w:val="20"/>
              </w:rPr>
              <w:t>1. Easy to understand</w:t>
            </w:r>
          </w:p>
        </w:tc>
        <w:tc>
          <w:tcPr>
            <w:tcW w:w="4788" w:type="dxa"/>
          </w:tcPr>
          <w:p w14:paraId="14784873" w14:textId="6271BF60" w:rsidR="00B617A6" w:rsidRPr="00B617A6" w:rsidRDefault="00B617A6" w:rsidP="005451CD">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B617A6">
              <w:rPr>
                <w:rFonts w:ascii="Bookman Old Style" w:eastAsiaTheme="minorEastAsia" w:hAnsi="Bookman Old Style"/>
                <w:sz w:val="20"/>
              </w:rPr>
              <w:t>1. Ignores the time value of money</w:t>
            </w:r>
          </w:p>
        </w:tc>
      </w:tr>
      <w:tr w:rsidR="00B617A6" w14:paraId="1A34FD54" w14:textId="77777777" w:rsidTr="00B617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4F88A689" w14:textId="0EDD3C16" w:rsidR="00B617A6" w:rsidRPr="00B617A6" w:rsidRDefault="00B617A6" w:rsidP="005451CD">
            <w:pPr>
              <w:jc w:val="both"/>
              <w:rPr>
                <w:rFonts w:ascii="Bookman Old Style" w:eastAsiaTheme="minorEastAsia" w:hAnsi="Bookman Old Style"/>
                <w:b w:val="0"/>
                <w:sz w:val="20"/>
              </w:rPr>
            </w:pPr>
            <w:r w:rsidRPr="00B617A6">
              <w:rPr>
                <w:rFonts w:ascii="Bookman Old Style" w:eastAsiaTheme="minorEastAsia" w:hAnsi="Bookman Old Style"/>
                <w:b w:val="0"/>
                <w:sz w:val="20"/>
              </w:rPr>
              <w:t>2. Adjusts for uncertainty of later cash flows</w:t>
            </w:r>
          </w:p>
        </w:tc>
        <w:tc>
          <w:tcPr>
            <w:tcW w:w="4788" w:type="dxa"/>
          </w:tcPr>
          <w:p w14:paraId="4869B441" w14:textId="5856C9D1" w:rsidR="00B617A6" w:rsidRPr="00B617A6" w:rsidRDefault="00B617A6" w:rsidP="005451CD">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B617A6">
              <w:rPr>
                <w:rFonts w:ascii="Bookman Old Style" w:eastAsiaTheme="minorEastAsia" w:hAnsi="Bookman Old Style"/>
                <w:sz w:val="20"/>
              </w:rPr>
              <w:t>2. Requires an arbitrary cutoff point</w:t>
            </w:r>
          </w:p>
        </w:tc>
      </w:tr>
      <w:tr w:rsidR="00B617A6" w14:paraId="6DEE72E5" w14:textId="77777777" w:rsidTr="00B617A6">
        <w:trPr>
          <w:trHeight w:val="68"/>
        </w:trPr>
        <w:tc>
          <w:tcPr>
            <w:cnfStyle w:val="001000000000" w:firstRow="0" w:lastRow="0" w:firstColumn="1" w:lastColumn="0" w:oddVBand="0" w:evenVBand="0" w:oddHBand="0" w:evenHBand="0" w:firstRowFirstColumn="0" w:firstRowLastColumn="0" w:lastRowFirstColumn="0" w:lastRowLastColumn="0"/>
            <w:tcW w:w="4788" w:type="dxa"/>
          </w:tcPr>
          <w:p w14:paraId="6A2E107B" w14:textId="04B63E1F" w:rsidR="00B617A6" w:rsidRPr="00B617A6" w:rsidRDefault="00B617A6" w:rsidP="005451CD">
            <w:pPr>
              <w:jc w:val="both"/>
              <w:rPr>
                <w:rFonts w:ascii="Bookman Old Style" w:eastAsiaTheme="minorEastAsia" w:hAnsi="Bookman Old Style"/>
                <w:b w:val="0"/>
                <w:sz w:val="20"/>
              </w:rPr>
            </w:pPr>
            <w:r w:rsidRPr="00B617A6">
              <w:rPr>
                <w:rFonts w:ascii="Bookman Old Style" w:eastAsiaTheme="minorEastAsia" w:hAnsi="Bookman Old Style"/>
                <w:b w:val="0"/>
                <w:sz w:val="20"/>
              </w:rPr>
              <w:t>3. Biased towards liquidity</w:t>
            </w:r>
          </w:p>
        </w:tc>
        <w:tc>
          <w:tcPr>
            <w:tcW w:w="4788" w:type="dxa"/>
          </w:tcPr>
          <w:p w14:paraId="043B31B4" w14:textId="5E79D213" w:rsidR="00B617A6" w:rsidRPr="00B617A6" w:rsidRDefault="00B617A6" w:rsidP="005451CD">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B617A6">
              <w:rPr>
                <w:rFonts w:ascii="Bookman Old Style" w:eastAsiaTheme="minorEastAsia" w:hAnsi="Bookman Old Style"/>
                <w:sz w:val="20"/>
              </w:rPr>
              <w:t>3. Ignores cash flows beyond the cutoff point</w:t>
            </w:r>
          </w:p>
        </w:tc>
      </w:tr>
      <w:tr w:rsidR="00B617A6" w14:paraId="6D284315" w14:textId="77777777" w:rsidTr="00B617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28F84B07" w14:textId="77777777" w:rsidR="00B617A6" w:rsidRPr="00B617A6" w:rsidRDefault="00B617A6" w:rsidP="005451CD">
            <w:pPr>
              <w:jc w:val="both"/>
              <w:rPr>
                <w:rFonts w:ascii="Bookman Old Style" w:eastAsiaTheme="minorEastAsia" w:hAnsi="Bookman Old Style"/>
                <w:b w:val="0"/>
                <w:sz w:val="20"/>
              </w:rPr>
            </w:pPr>
          </w:p>
        </w:tc>
        <w:tc>
          <w:tcPr>
            <w:tcW w:w="4788" w:type="dxa"/>
          </w:tcPr>
          <w:p w14:paraId="58631BA4" w14:textId="45CC2ECB" w:rsidR="00B617A6" w:rsidRPr="00B617A6" w:rsidRDefault="00B617A6" w:rsidP="005451CD">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B617A6">
              <w:rPr>
                <w:rFonts w:ascii="Bookman Old Style" w:eastAsiaTheme="minorEastAsia" w:hAnsi="Bookman Old Style"/>
                <w:sz w:val="20"/>
              </w:rPr>
              <w:t>4. Biased against long-term projects, such as R&amp;D and new projects</w:t>
            </w:r>
          </w:p>
        </w:tc>
      </w:tr>
      <w:tr w:rsidR="00B617A6" w14:paraId="2A4AEE7F" w14:textId="77777777" w:rsidTr="00B617A6">
        <w:tc>
          <w:tcPr>
            <w:cnfStyle w:val="001000000000" w:firstRow="0" w:lastRow="0" w:firstColumn="1" w:lastColumn="0" w:oddVBand="0" w:evenVBand="0" w:oddHBand="0" w:evenHBand="0" w:firstRowFirstColumn="0" w:firstRowLastColumn="0" w:lastRowFirstColumn="0" w:lastRowLastColumn="0"/>
            <w:tcW w:w="4788" w:type="dxa"/>
          </w:tcPr>
          <w:p w14:paraId="5E27C223" w14:textId="77777777" w:rsidR="00B617A6" w:rsidRPr="00B617A6" w:rsidRDefault="00B617A6" w:rsidP="005451CD">
            <w:pPr>
              <w:jc w:val="both"/>
              <w:rPr>
                <w:rFonts w:ascii="Bookman Old Style" w:eastAsiaTheme="minorEastAsia" w:hAnsi="Bookman Old Style"/>
                <w:sz w:val="20"/>
              </w:rPr>
            </w:pPr>
          </w:p>
        </w:tc>
        <w:tc>
          <w:tcPr>
            <w:tcW w:w="4788" w:type="dxa"/>
          </w:tcPr>
          <w:p w14:paraId="364FB120" w14:textId="17AC37C2" w:rsidR="00B617A6" w:rsidRPr="00B617A6" w:rsidRDefault="00B617A6" w:rsidP="005451CD">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B617A6">
              <w:rPr>
                <w:rFonts w:ascii="Bookman Old Style" w:eastAsiaTheme="minorEastAsia" w:hAnsi="Bookman Old Style"/>
                <w:sz w:val="20"/>
              </w:rPr>
              <w:t>5. Ignores any risks associated with projects</w:t>
            </w:r>
          </w:p>
        </w:tc>
      </w:tr>
    </w:tbl>
    <w:p w14:paraId="278CB89D" w14:textId="77777777" w:rsidR="00B617A6" w:rsidRPr="002D6249" w:rsidRDefault="00B617A6" w:rsidP="005451CD">
      <w:pPr>
        <w:spacing w:after="0" w:line="240" w:lineRule="auto"/>
        <w:jc w:val="both"/>
        <w:rPr>
          <w:rFonts w:ascii="Bookman Old Style" w:eastAsiaTheme="minorEastAsia" w:hAnsi="Bookman Old Style"/>
        </w:rPr>
      </w:pPr>
    </w:p>
    <w:p w14:paraId="29FA0171" w14:textId="77777777" w:rsidR="002D6249" w:rsidRPr="00456C34" w:rsidRDefault="002D6249" w:rsidP="005451CD">
      <w:pPr>
        <w:spacing w:after="0" w:line="240" w:lineRule="auto"/>
        <w:jc w:val="both"/>
        <w:rPr>
          <w:rFonts w:ascii="Bookman Old Style" w:eastAsiaTheme="minorEastAsia" w:hAnsi="Bookman Old Style"/>
        </w:rPr>
      </w:pPr>
    </w:p>
    <w:p w14:paraId="3BA25A76" w14:textId="77777777" w:rsidR="00B617A6" w:rsidRDefault="00B617A6" w:rsidP="005451CD">
      <w:pPr>
        <w:spacing w:after="0" w:line="240" w:lineRule="auto"/>
        <w:jc w:val="center"/>
        <w:rPr>
          <w:rFonts w:ascii="Bookman Old Style" w:eastAsiaTheme="minorEastAsia" w:hAnsi="Bookman Old Style"/>
          <w:b/>
          <w:u w:val="single"/>
        </w:rPr>
      </w:pPr>
    </w:p>
    <w:p w14:paraId="5E753E9A" w14:textId="77777777" w:rsidR="00B617A6" w:rsidRDefault="00B617A6" w:rsidP="005451CD">
      <w:pPr>
        <w:spacing w:after="0" w:line="240" w:lineRule="auto"/>
        <w:jc w:val="center"/>
        <w:rPr>
          <w:rFonts w:ascii="Bookman Old Style" w:eastAsiaTheme="minorEastAsia" w:hAnsi="Bookman Old Style"/>
          <w:b/>
          <w:u w:val="single"/>
        </w:rPr>
      </w:pPr>
    </w:p>
    <w:p w14:paraId="52EF7CB3" w14:textId="77777777" w:rsidR="00B617A6" w:rsidRDefault="00B617A6" w:rsidP="005451CD">
      <w:pPr>
        <w:spacing w:after="0" w:line="240" w:lineRule="auto"/>
        <w:jc w:val="center"/>
        <w:rPr>
          <w:rFonts w:ascii="Bookman Old Style" w:eastAsiaTheme="minorEastAsia" w:hAnsi="Bookman Old Style"/>
          <w:b/>
          <w:u w:val="single"/>
        </w:rPr>
      </w:pPr>
    </w:p>
    <w:p w14:paraId="74907B77" w14:textId="3B911CF2" w:rsidR="00085AF7" w:rsidRDefault="00B617A6" w:rsidP="005451CD">
      <w:pPr>
        <w:spacing w:after="0" w:line="240" w:lineRule="auto"/>
        <w:jc w:val="center"/>
        <w:rPr>
          <w:rFonts w:ascii="Bookman Old Style" w:eastAsiaTheme="minorEastAsia" w:hAnsi="Bookman Old Style"/>
          <w:b/>
          <w:u w:val="single"/>
        </w:rPr>
      </w:pPr>
      <w:r>
        <w:rPr>
          <w:rFonts w:ascii="Bookman Old Style" w:eastAsiaTheme="minorEastAsia" w:hAnsi="Bookman Old Style"/>
          <w:b/>
          <w:u w:val="single"/>
        </w:rPr>
        <w:lastRenderedPageBreak/>
        <w:t>THE DISCOUNTED PAYBACK RULE</w:t>
      </w:r>
    </w:p>
    <w:p w14:paraId="49103513" w14:textId="77777777" w:rsidR="00B617A6" w:rsidRDefault="00B617A6" w:rsidP="005451CD">
      <w:pPr>
        <w:spacing w:after="0" w:line="240" w:lineRule="auto"/>
        <w:jc w:val="center"/>
        <w:rPr>
          <w:rFonts w:ascii="Bookman Old Style" w:eastAsiaTheme="minorEastAsia" w:hAnsi="Bookman Old Style"/>
          <w:b/>
          <w:u w:val="single"/>
        </w:rPr>
      </w:pPr>
    </w:p>
    <w:p w14:paraId="0DD0E67C" w14:textId="640C55EC" w:rsidR="00B617A6" w:rsidRDefault="00B617A6" w:rsidP="005451CD">
      <w:pPr>
        <w:spacing w:after="0" w:line="240" w:lineRule="auto"/>
        <w:jc w:val="both"/>
        <w:rPr>
          <w:rFonts w:ascii="Bookman Old Style" w:eastAsiaTheme="minorEastAsia" w:hAnsi="Bookman Old Style"/>
        </w:rPr>
      </w:pPr>
      <w:r>
        <w:rPr>
          <w:rFonts w:ascii="Bookman Old Style" w:eastAsiaTheme="minorEastAsia" w:hAnsi="Bookman Old Style"/>
        </w:rPr>
        <w:t xml:space="preserve">One shortcoming of the payback rule was that it ignored time value. There’s a variation of the payback period rule known as the </w:t>
      </w:r>
      <w:r>
        <w:rPr>
          <w:rFonts w:ascii="Bookman Old Style" w:eastAsiaTheme="minorEastAsia" w:hAnsi="Bookman Old Style"/>
          <w:b/>
        </w:rPr>
        <w:t>discounted payback period</w:t>
      </w:r>
      <w:r>
        <w:rPr>
          <w:rFonts w:ascii="Bookman Old Style" w:eastAsiaTheme="minorEastAsia" w:hAnsi="Bookman Old Style"/>
        </w:rPr>
        <w:t xml:space="preserve"> – that fixes this particular problem.</w:t>
      </w:r>
    </w:p>
    <w:p w14:paraId="765CE00D" w14:textId="77777777" w:rsidR="00B617A6" w:rsidRDefault="00B617A6" w:rsidP="005451CD">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B617A6" w14:paraId="60BB784F" w14:textId="77777777" w:rsidTr="00B617A6">
        <w:tc>
          <w:tcPr>
            <w:tcW w:w="9576" w:type="dxa"/>
          </w:tcPr>
          <w:p w14:paraId="13036337" w14:textId="281D847E" w:rsidR="00B617A6" w:rsidRDefault="00B617A6" w:rsidP="005451CD">
            <w:pPr>
              <w:jc w:val="both"/>
              <w:rPr>
                <w:rFonts w:ascii="Bookman Old Style" w:eastAsiaTheme="minorEastAsia" w:hAnsi="Bookman Old Style"/>
              </w:rPr>
            </w:pPr>
          </w:p>
          <w:p w14:paraId="12E2F6AA" w14:textId="77777777" w:rsidR="00B617A6" w:rsidRDefault="00B617A6" w:rsidP="005451CD">
            <w:pPr>
              <w:jc w:val="both"/>
              <w:rPr>
                <w:rFonts w:ascii="Bookman Old Style" w:eastAsiaTheme="minorEastAsia" w:hAnsi="Bookman Old Style"/>
              </w:rPr>
            </w:pPr>
            <w:r>
              <w:rPr>
                <w:rFonts w:ascii="Bookman Old Style" w:eastAsiaTheme="minorEastAsia" w:hAnsi="Bookman Old Style"/>
                <w:b/>
              </w:rPr>
              <w:t>Discounted Payback Period</w:t>
            </w:r>
            <w:r>
              <w:rPr>
                <w:rFonts w:ascii="Bookman Old Style" w:eastAsiaTheme="minorEastAsia" w:hAnsi="Bookman Old Style"/>
              </w:rPr>
              <w:t xml:space="preserve"> – The length of time required for an investment’s discounted cash flows to equal its initial cost.</w:t>
            </w:r>
          </w:p>
          <w:p w14:paraId="7D91E2EC" w14:textId="0D79C0B7" w:rsidR="00B617A6" w:rsidRPr="00B617A6" w:rsidRDefault="00B617A6" w:rsidP="005451CD">
            <w:pPr>
              <w:jc w:val="both"/>
              <w:rPr>
                <w:rFonts w:ascii="Bookman Old Style" w:eastAsiaTheme="minorEastAsia" w:hAnsi="Bookman Old Style"/>
              </w:rPr>
            </w:pPr>
          </w:p>
        </w:tc>
      </w:tr>
    </w:tbl>
    <w:p w14:paraId="48491AAC" w14:textId="77777777" w:rsidR="00B617A6" w:rsidRDefault="00B617A6" w:rsidP="005451CD">
      <w:pPr>
        <w:spacing w:after="0" w:line="240" w:lineRule="auto"/>
        <w:jc w:val="both"/>
        <w:rPr>
          <w:rFonts w:ascii="Bookman Old Style" w:eastAsiaTheme="minorEastAsia" w:hAnsi="Bookman Old Style"/>
        </w:rPr>
      </w:pPr>
    </w:p>
    <w:p w14:paraId="0F709A1D" w14:textId="1D27A187" w:rsidR="00B617A6" w:rsidRDefault="00B617A6" w:rsidP="005451CD">
      <w:pPr>
        <w:spacing w:after="0" w:line="240" w:lineRule="auto"/>
        <w:jc w:val="both"/>
        <w:rPr>
          <w:rFonts w:ascii="Bookman Old Style" w:eastAsiaTheme="minorEastAsia" w:hAnsi="Bookman Old Style"/>
        </w:rPr>
      </w:pPr>
      <w:r>
        <w:rPr>
          <w:rFonts w:ascii="Bookman Old Style" w:eastAsiaTheme="minorEastAsia" w:hAnsi="Bookman Old Style"/>
        </w:rPr>
        <w:t xml:space="preserve">The </w:t>
      </w:r>
      <w:r w:rsidRPr="004D5709">
        <w:rPr>
          <w:rFonts w:ascii="Bookman Old Style" w:eastAsiaTheme="minorEastAsia" w:hAnsi="Bookman Old Style"/>
          <w:b/>
          <w:i/>
        </w:rPr>
        <w:t>discounted payback rule</w:t>
      </w:r>
      <w:r>
        <w:rPr>
          <w:rFonts w:ascii="Bookman Old Style" w:eastAsiaTheme="minorEastAsia" w:hAnsi="Bookman Old Style"/>
        </w:rPr>
        <w:t xml:space="preserve"> is:</w:t>
      </w:r>
    </w:p>
    <w:p w14:paraId="6DD4F0D2" w14:textId="77777777" w:rsidR="00B617A6" w:rsidRDefault="00B617A6" w:rsidP="005451CD">
      <w:pPr>
        <w:spacing w:after="0" w:line="240" w:lineRule="auto"/>
        <w:jc w:val="both"/>
        <w:rPr>
          <w:rFonts w:ascii="Bookman Old Style" w:eastAsiaTheme="minorEastAsia" w:hAnsi="Bookman Old Style"/>
        </w:rPr>
      </w:pPr>
    </w:p>
    <w:tbl>
      <w:tblPr>
        <w:tblStyle w:val="TableGrid"/>
        <w:tblW w:w="0" w:type="auto"/>
        <w:jc w:val="center"/>
        <w:tblCellSpacing w:w="20" w:type="dxa"/>
        <w:tblInd w:w="1098"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8558"/>
      </w:tblGrid>
      <w:tr w:rsidR="00CE7F30" w:rsidRPr="00CE7F30" w14:paraId="73D52C49" w14:textId="77777777" w:rsidTr="00CE7F30">
        <w:trPr>
          <w:tblCellSpacing w:w="20" w:type="dxa"/>
          <w:jc w:val="center"/>
        </w:trPr>
        <w:tc>
          <w:tcPr>
            <w:tcW w:w="8478" w:type="dxa"/>
          </w:tcPr>
          <w:p w14:paraId="7E1B2E89" w14:textId="27E34C21" w:rsidR="00CE7F30" w:rsidRPr="00CE7F30" w:rsidRDefault="00CE7F30" w:rsidP="005451CD">
            <w:pPr>
              <w:jc w:val="center"/>
              <w:rPr>
                <w:rFonts w:ascii="Bookman Old Style" w:eastAsiaTheme="minorEastAsia" w:hAnsi="Bookman Old Style"/>
                <w:i/>
              </w:rPr>
            </w:pPr>
            <w:r w:rsidRPr="00CE7F30">
              <w:rPr>
                <w:rFonts w:ascii="Bookman Old Style" w:eastAsiaTheme="minorEastAsia" w:hAnsi="Bookman Old Style"/>
                <w:i/>
              </w:rPr>
              <w:t>An investment is acceptable if its discounted payback is less than some prescribed number of years.</w:t>
            </w:r>
          </w:p>
        </w:tc>
      </w:tr>
    </w:tbl>
    <w:p w14:paraId="5543A6FC" w14:textId="77777777" w:rsidR="00B617A6" w:rsidRDefault="00B617A6" w:rsidP="005451CD">
      <w:pPr>
        <w:spacing w:after="0" w:line="240" w:lineRule="auto"/>
        <w:jc w:val="center"/>
        <w:rPr>
          <w:rFonts w:ascii="Bookman Old Style" w:eastAsiaTheme="minorEastAsia" w:hAnsi="Bookman Old Style"/>
          <w:i/>
        </w:rPr>
      </w:pPr>
    </w:p>
    <w:p w14:paraId="1F69F2A8" w14:textId="3E8EDA18" w:rsidR="00B617A6" w:rsidRDefault="00B617A6" w:rsidP="005451CD">
      <w:pPr>
        <w:spacing w:after="0" w:line="240" w:lineRule="auto"/>
        <w:jc w:val="both"/>
        <w:rPr>
          <w:rFonts w:ascii="Bookman Old Style" w:eastAsiaTheme="minorEastAsia" w:hAnsi="Bookman Old Style"/>
        </w:rPr>
      </w:pPr>
      <w:r>
        <w:rPr>
          <w:rFonts w:ascii="Bookman Old Style" w:eastAsiaTheme="minorEastAsia" w:hAnsi="Bookman Old Style"/>
          <w:i/>
          <w:u w:val="single"/>
        </w:rPr>
        <w:t>Ex.:</w:t>
      </w:r>
    </w:p>
    <w:p w14:paraId="09519401" w14:textId="1AB48F12" w:rsidR="00B617A6" w:rsidRDefault="00B617A6" w:rsidP="005451CD">
      <w:pPr>
        <w:spacing w:after="0" w:line="240" w:lineRule="auto"/>
        <w:jc w:val="both"/>
        <w:rPr>
          <w:rFonts w:ascii="Bookman Old Style" w:eastAsiaTheme="minorEastAsia" w:hAnsi="Bookman Old Style"/>
        </w:rPr>
      </w:pPr>
      <w:r>
        <w:rPr>
          <w:rFonts w:ascii="Bookman Old Style" w:eastAsiaTheme="minorEastAsia" w:hAnsi="Bookman Old Style"/>
        </w:rPr>
        <w:t>Suppose we require a 12.5% return on new investment.</w:t>
      </w:r>
    </w:p>
    <w:p w14:paraId="29338D4E" w14:textId="64D42665" w:rsidR="00B617A6" w:rsidRDefault="00B617A6" w:rsidP="005451CD">
      <w:pPr>
        <w:spacing w:after="0" w:line="240" w:lineRule="auto"/>
        <w:jc w:val="both"/>
        <w:rPr>
          <w:rFonts w:ascii="Bookman Old Style" w:eastAsiaTheme="minorEastAsia" w:hAnsi="Bookman Old Style"/>
        </w:rPr>
      </w:pPr>
      <w:r>
        <w:rPr>
          <w:rFonts w:ascii="Bookman Old Style" w:eastAsiaTheme="minorEastAsia" w:hAnsi="Bookman Old Style"/>
        </w:rPr>
        <w:t>We have an investment that costs $300 and has cash flows of $100 per year for 5 years. To get the discounted payback, we have to discount each cash flow at 12.5% and then start adding them up. We do this below:</w:t>
      </w:r>
    </w:p>
    <w:p w14:paraId="79D11309" w14:textId="77777777" w:rsidR="00B617A6" w:rsidRDefault="00B617A6" w:rsidP="005451CD">
      <w:pPr>
        <w:spacing w:after="0" w:line="240" w:lineRule="auto"/>
        <w:jc w:val="both"/>
        <w:rPr>
          <w:rFonts w:ascii="Bookman Old Style" w:eastAsiaTheme="minorEastAsia" w:hAnsi="Bookman Old Style"/>
        </w:rPr>
      </w:pPr>
    </w:p>
    <w:tbl>
      <w:tblPr>
        <w:tblStyle w:val="TableGrid"/>
        <w:tblW w:w="0" w:type="auto"/>
        <w:jc w:val="center"/>
        <w:tblLook w:val="04A0" w:firstRow="1" w:lastRow="0" w:firstColumn="1" w:lastColumn="0" w:noHBand="0" w:noVBand="1"/>
      </w:tblPr>
      <w:tblGrid>
        <w:gridCol w:w="738"/>
        <w:gridCol w:w="1980"/>
        <w:gridCol w:w="1890"/>
        <w:gridCol w:w="1800"/>
        <w:gridCol w:w="1890"/>
      </w:tblGrid>
      <w:tr w:rsidR="00457F0C" w14:paraId="46106C90" w14:textId="77777777" w:rsidTr="00457F0C">
        <w:trPr>
          <w:jc w:val="center"/>
        </w:trPr>
        <w:tc>
          <w:tcPr>
            <w:tcW w:w="738" w:type="dxa"/>
            <w:tcBorders>
              <w:right w:val="nil"/>
            </w:tcBorders>
          </w:tcPr>
          <w:p w14:paraId="3BB9E316" w14:textId="77777777" w:rsidR="00457F0C" w:rsidRPr="00EF6336" w:rsidRDefault="00457F0C" w:rsidP="005451CD">
            <w:pPr>
              <w:jc w:val="center"/>
              <w:rPr>
                <w:rFonts w:ascii="Bookman Old Style" w:eastAsiaTheme="minorEastAsia" w:hAnsi="Bookman Old Style"/>
                <w:sz w:val="20"/>
              </w:rPr>
            </w:pPr>
          </w:p>
        </w:tc>
        <w:tc>
          <w:tcPr>
            <w:tcW w:w="3870" w:type="dxa"/>
            <w:gridSpan w:val="2"/>
            <w:tcBorders>
              <w:left w:val="nil"/>
              <w:right w:val="nil"/>
            </w:tcBorders>
          </w:tcPr>
          <w:p w14:paraId="527D1B49" w14:textId="3F86B043" w:rsidR="00457F0C" w:rsidRPr="00EF6336" w:rsidRDefault="00457F0C" w:rsidP="005451CD">
            <w:pPr>
              <w:jc w:val="center"/>
              <w:rPr>
                <w:rFonts w:ascii="Bookman Old Style" w:eastAsiaTheme="minorEastAsia" w:hAnsi="Bookman Old Style"/>
                <w:sz w:val="20"/>
              </w:rPr>
            </w:pPr>
            <w:r w:rsidRPr="00EF6336">
              <w:rPr>
                <w:rFonts w:ascii="Bookman Old Style" w:eastAsiaTheme="minorEastAsia" w:hAnsi="Bookman Old Style"/>
                <w:sz w:val="20"/>
              </w:rPr>
              <w:t>Cash Flow</w:t>
            </w:r>
          </w:p>
        </w:tc>
        <w:tc>
          <w:tcPr>
            <w:tcW w:w="3690" w:type="dxa"/>
            <w:gridSpan w:val="2"/>
            <w:tcBorders>
              <w:left w:val="nil"/>
            </w:tcBorders>
          </w:tcPr>
          <w:p w14:paraId="41AA872C" w14:textId="39D6A060" w:rsidR="00457F0C" w:rsidRPr="00EF6336" w:rsidRDefault="00457F0C" w:rsidP="005451CD">
            <w:pPr>
              <w:jc w:val="center"/>
              <w:rPr>
                <w:rFonts w:ascii="Bookman Old Style" w:eastAsiaTheme="minorEastAsia" w:hAnsi="Bookman Old Style"/>
                <w:sz w:val="20"/>
              </w:rPr>
            </w:pPr>
            <w:r w:rsidRPr="00EF6336">
              <w:rPr>
                <w:rFonts w:ascii="Bookman Old Style" w:eastAsiaTheme="minorEastAsia" w:hAnsi="Bookman Old Style"/>
                <w:sz w:val="20"/>
              </w:rPr>
              <w:t>Accumulated Cash Flow</w:t>
            </w:r>
          </w:p>
        </w:tc>
      </w:tr>
      <w:tr w:rsidR="00B617A6" w14:paraId="11E2C756" w14:textId="77777777" w:rsidTr="00457F0C">
        <w:trPr>
          <w:jc w:val="center"/>
        </w:trPr>
        <w:tc>
          <w:tcPr>
            <w:tcW w:w="738" w:type="dxa"/>
            <w:tcBorders>
              <w:bottom w:val="single" w:sz="4" w:space="0" w:color="auto"/>
              <w:right w:val="nil"/>
            </w:tcBorders>
          </w:tcPr>
          <w:p w14:paraId="7F21B862" w14:textId="3F493C8A" w:rsidR="00B617A6" w:rsidRPr="00EF6336" w:rsidRDefault="00B617A6" w:rsidP="005451CD">
            <w:pPr>
              <w:jc w:val="center"/>
              <w:rPr>
                <w:rFonts w:ascii="Bookman Old Style" w:eastAsiaTheme="minorEastAsia" w:hAnsi="Bookman Old Style"/>
                <w:sz w:val="20"/>
              </w:rPr>
            </w:pPr>
            <w:r w:rsidRPr="00EF6336">
              <w:rPr>
                <w:rFonts w:ascii="Bookman Old Style" w:eastAsiaTheme="minorEastAsia" w:hAnsi="Bookman Old Style"/>
                <w:sz w:val="20"/>
              </w:rPr>
              <w:t>Year</w:t>
            </w:r>
          </w:p>
        </w:tc>
        <w:tc>
          <w:tcPr>
            <w:tcW w:w="1980" w:type="dxa"/>
            <w:tcBorders>
              <w:left w:val="nil"/>
              <w:bottom w:val="single" w:sz="4" w:space="0" w:color="auto"/>
              <w:right w:val="nil"/>
            </w:tcBorders>
          </w:tcPr>
          <w:p w14:paraId="4BAB9344" w14:textId="77A4540B" w:rsidR="00B617A6" w:rsidRPr="00EF6336" w:rsidRDefault="00B617A6" w:rsidP="005451CD">
            <w:pPr>
              <w:jc w:val="center"/>
              <w:rPr>
                <w:rFonts w:ascii="Bookman Old Style" w:eastAsiaTheme="minorEastAsia" w:hAnsi="Bookman Old Style"/>
                <w:sz w:val="20"/>
              </w:rPr>
            </w:pPr>
            <w:r w:rsidRPr="00EF6336">
              <w:rPr>
                <w:rFonts w:ascii="Bookman Old Style" w:eastAsiaTheme="minorEastAsia" w:hAnsi="Bookman Old Style"/>
                <w:sz w:val="20"/>
              </w:rPr>
              <w:t>Undiscounted</w:t>
            </w:r>
          </w:p>
        </w:tc>
        <w:tc>
          <w:tcPr>
            <w:tcW w:w="1890" w:type="dxa"/>
            <w:tcBorders>
              <w:left w:val="nil"/>
              <w:bottom w:val="single" w:sz="4" w:space="0" w:color="auto"/>
              <w:right w:val="nil"/>
            </w:tcBorders>
          </w:tcPr>
          <w:p w14:paraId="103D87B9" w14:textId="763928FF" w:rsidR="00B617A6" w:rsidRPr="00EF6336" w:rsidRDefault="00B617A6" w:rsidP="005451CD">
            <w:pPr>
              <w:jc w:val="center"/>
              <w:rPr>
                <w:rFonts w:ascii="Bookman Old Style" w:eastAsiaTheme="minorEastAsia" w:hAnsi="Bookman Old Style"/>
                <w:sz w:val="20"/>
              </w:rPr>
            </w:pPr>
            <w:r w:rsidRPr="00EF6336">
              <w:rPr>
                <w:rFonts w:ascii="Bookman Old Style" w:eastAsiaTheme="minorEastAsia" w:hAnsi="Bookman Old Style"/>
                <w:sz w:val="20"/>
              </w:rPr>
              <w:t>Discounted</w:t>
            </w:r>
          </w:p>
        </w:tc>
        <w:tc>
          <w:tcPr>
            <w:tcW w:w="1800" w:type="dxa"/>
            <w:tcBorders>
              <w:left w:val="nil"/>
              <w:bottom w:val="single" w:sz="4" w:space="0" w:color="auto"/>
              <w:right w:val="nil"/>
            </w:tcBorders>
          </w:tcPr>
          <w:p w14:paraId="238C8CE4" w14:textId="09E6BA59" w:rsidR="00B617A6" w:rsidRPr="00EF6336" w:rsidRDefault="00B617A6" w:rsidP="005451CD">
            <w:pPr>
              <w:jc w:val="center"/>
              <w:rPr>
                <w:rFonts w:ascii="Bookman Old Style" w:eastAsiaTheme="minorEastAsia" w:hAnsi="Bookman Old Style"/>
                <w:sz w:val="20"/>
              </w:rPr>
            </w:pPr>
            <w:r w:rsidRPr="00EF6336">
              <w:rPr>
                <w:rFonts w:ascii="Bookman Old Style" w:eastAsiaTheme="minorEastAsia" w:hAnsi="Bookman Old Style"/>
                <w:sz w:val="20"/>
              </w:rPr>
              <w:t>Undiscounted</w:t>
            </w:r>
          </w:p>
        </w:tc>
        <w:tc>
          <w:tcPr>
            <w:tcW w:w="1890" w:type="dxa"/>
            <w:tcBorders>
              <w:left w:val="nil"/>
              <w:bottom w:val="single" w:sz="4" w:space="0" w:color="auto"/>
            </w:tcBorders>
          </w:tcPr>
          <w:p w14:paraId="6205C1A5" w14:textId="7387979C" w:rsidR="00B617A6" w:rsidRPr="00EF6336" w:rsidRDefault="00B617A6" w:rsidP="005451CD">
            <w:pPr>
              <w:jc w:val="center"/>
              <w:rPr>
                <w:rFonts w:ascii="Bookman Old Style" w:eastAsiaTheme="minorEastAsia" w:hAnsi="Bookman Old Style"/>
                <w:sz w:val="20"/>
              </w:rPr>
            </w:pPr>
            <w:r w:rsidRPr="00EF6336">
              <w:rPr>
                <w:rFonts w:ascii="Bookman Old Style" w:eastAsiaTheme="minorEastAsia" w:hAnsi="Bookman Old Style"/>
                <w:sz w:val="20"/>
              </w:rPr>
              <w:t>Discounted</w:t>
            </w:r>
          </w:p>
        </w:tc>
      </w:tr>
      <w:tr w:rsidR="00B617A6" w14:paraId="0B2A549C" w14:textId="77777777" w:rsidTr="00457F0C">
        <w:trPr>
          <w:jc w:val="center"/>
        </w:trPr>
        <w:tc>
          <w:tcPr>
            <w:tcW w:w="738" w:type="dxa"/>
            <w:tcBorders>
              <w:bottom w:val="nil"/>
              <w:right w:val="nil"/>
            </w:tcBorders>
          </w:tcPr>
          <w:p w14:paraId="29EEF56C" w14:textId="3E478B9D" w:rsidR="00B617A6" w:rsidRPr="00EF6336" w:rsidRDefault="00457F0C" w:rsidP="005451CD">
            <w:pPr>
              <w:jc w:val="center"/>
              <w:rPr>
                <w:rFonts w:ascii="Bookman Old Style" w:eastAsiaTheme="minorEastAsia" w:hAnsi="Bookman Old Style"/>
                <w:sz w:val="20"/>
              </w:rPr>
            </w:pPr>
            <w:r w:rsidRPr="00EF6336">
              <w:rPr>
                <w:rFonts w:ascii="Bookman Old Style" w:eastAsiaTheme="minorEastAsia" w:hAnsi="Bookman Old Style"/>
                <w:sz w:val="20"/>
              </w:rPr>
              <w:t>1</w:t>
            </w:r>
          </w:p>
        </w:tc>
        <w:tc>
          <w:tcPr>
            <w:tcW w:w="1980" w:type="dxa"/>
            <w:tcBorders>
              <w:left w:val="nil"/>
              <w:bottom w:val="nil"/>
              <w:right w:val="nil"/>
            </w:tcBorders>
          </w:tcPr>
          <w:p w14:paraId="4F49F265" w14:textId="59C3E7F7" w:rsidR="00B617A6" w:rsidRPr="00EF6336" w:rsidRDefault="00457F0C" w:rsidP="005451CD">
            <w:pPr>
              <w:jc w:val="both"/>
              <w:rPr>
                <w:rFonts w:ascii="Bookman Old Style" w:eastAsiaTheme="minorEastAsia" w:hAnsi="Bookman Old Style"/>
                <w:sz w:val="20"/>
              </w:rPr>
            </w:pPr>
            <w:r w:rsidRPr="00EF6336">
              <w:rPr>
                <w:rFonts w:ascii="Bookman Old Style" w:eastAsiaTheme="minorEastAsia" w:hAnsi="Bookman Old Style"/>
                <w:sz w:val="20"/>
              </w:rPr>
              <w:t>$100</w:t>
            </w:r>
          </w:p>
        </w:tc>
        <w:tc>
          <w:tcPr>
            <w:tcW w:w="1890" w:type="dxa"/>
            <w:tcBorders>
              <w:left w:val="nil"/>
              <w:bottom w:val="nil"/>
              <w:right w:val="nil"/>
            </w:tcBorders>
          </w:tcPr>
          <w:p w14:paraId="62E4F570" w14:textId="4BA6D814" w:rsidR="00B617A6" w:rsidRPr="00EF6336" w:rsidRDefault="00457F0C" w:rsidP="005451CD">
            <w:pPr>
              <w:jc w:val="both"/>
              <w:rPr>
                <w:rFonts w:ascii="Bookman Old Style" w:eastAsiaTheme="minorEastAsia" w:hAnsi="Bookman Old Style"/>
                <w:sz w:val="20"/>
              </w:rPr>
            </w:pPr>
            <w:r w:rsidRPr="00EF6336">
              <w:rPr>
                <w:rFonts w:ascii="Bookman Old Style" w:eastAsiaTheme="minorEastAsia" w:hAnsi="Bookman Old Style"/>
                <w:sz w:val="20"/>
              </w:rPr>
              <w:t>$89</w:t>
            </w:r>
          </w:p>
        </w:tc>
        <w:tc>
          <w:tcPr>
            <w:tcW w:w="1800" w:type="dxa"/>
            <w:tcBorders>
              <w:left w:val="nil"/>
              <w:bottom w:val="nil"/>
              <w:right w:val="nil"/>
            </w:tcBorders>
          </w:tcPr>
          <w:p w14:paraId="04A8C759" w14:textId="5ABC5FF0" w:rsidR="00B617A6" w:rsidRPr="00EF6336" w:rsidRDefault="00457F0C" w:rsidP="005451CD">
            <w:pPr>
              <w:jc w:val="both"/>
              <w:rPr>
                <w:rFonts w:ascii="Bookman Old Style" w:eastAsiaTheme="minorEastAsia" w:hAnsi="Bookman Old Style"/>
                <w:sz w:val="20"/>
              </w:rPr>
            </w:pPr>
            <w:r w:rsidRPr="00EF6336">
              <w:rPr>
                <w:rFonts w:ascii="Bookman Old Style" w:eastAsiaTheme="minorEastAsia" w:hAnsi="Bookman Old Style"/>
                <w:sz w:val="20"/>
              </w:rPr>
              <w:t>$100</w:t>
            </w:r>
          </w:p>
        </w:tc>
        <w:tc>
          <w:tcPr>
            <w:tcW w:w="1890" w:type="dxa"/>
            <w:tcBorders>
              <w:left w:val="nil"/>
              <w:bottom w:val="nil"/>
            </w:tcBorders>
          </w:tcPr>
          <w:p w14:paraId="59F445E5" w14:textId="07B970E1" w:rsidR="00B617A6" w:rsidRPr="00EF6336" w:rsidRDefault="00457F0C" w:rsidP="005451CD">
            <w:pPr>
              <w:jc w:val="both"/>
              <w:rPr>
                <w:rFonts w:ascii="Bookman Old Style" w:eastAsiaTheme="minorEastAsia" w:hAnsi="Bookman Old Style"/>
                <w:sz w:val="20"/>
              </w:rPr>
            </w:pPr>
            <w:r w:rsidRPr="00EF6336">
              <w:rPr>
                <w:rFonts w:ascii="Bookman Old Style" w:eastAsiaTheme="minorEastAsia" w:hAnsi="Bookman Old Style"/>
                <w:sz w:val="20"/>
              </w:rPr>
              <w:t>$89</w:t>
            </w:r>
          </w:p>
        </w:tc>
      </w:tr>
      <w:tr w:rsidR="00457F0C" w14:paraId="5A1243FA" w14:textId="77777777" w:rsidTr="00457F0C">
        <w:trPr>
          <w:jc w:val="center"/>
        </w:trPr>
        <w:tc>
          <w:tcPr>
            <w:tcW w:w="738" w:type="dxa"/>
            <w:tcBorders>
              <w:top w:val="nil"/>
              <w:bottom w:val="nil"/>
              <w:right w:val="nil"/>
            </w:tcBorders>
          </w:tcPr>
          <w:p w14:paraId="5DA288CD" w14:textId="09C6AC75" w:rsidR="00457F0C" w:rsidRPr="00EF6336" w:rsidRDefault="00457F0C" w:rsidP="005451CD">
            <w:pPr>
              <w:jc w:val="center"/>
              <w:rPr>
                <w:rFonts w:ascii="Bookman Old Style" w:eastAsiaTheme="minorEastAsia" w:hAnsi="Bookman Old Style"/>
                <w:sz w:val="20"/>
              </w:rPr>
            </w:pPr>
            <w:r w:rsidRPr="00EF6336">
              <w:rPr>
                <w:rFonts w:ascii="Bookman Old Style" w:eastAsiaTheme="minorEastAsia" w:hAnsi="Bookman Old Style"/>
                <w:sz w:val="20"/>
              </w:rPr>
              <w:t>2</w:t>
            </w:r>
          </w:p>
        </w:tc>
        <w:tc>
          <w:tcPr>
            <w:tcW w:w="1980" w:type="dxa"/>
            <w:tcBorders>
              <w:top w:val="nil"/>
              <w:left w:val="nil"/>
              <w:bottom w:val="nil"/>
              <w:right w:val="nil"/>
            </w:tcBorders>
          </w:tcPr>
          <w:p w14:paraId="3F66F91D" w14:textId="25D2C7CB" w:rsidR="00457F0C" w:rsidRPr="00EF6336" w:rsidRDefault="00457F0C" w:rsidP="005451CD">
            <w:pPr>
              <w:jc w:val="both"/>
              <w:rPr>
                <w:rFonts w:ascii="Bookman Old Style" w:eastAsiaTheme="minorEastAsia" w:hAnsi="Bookman Old Style"/>
                <w:sz w:val="20"/>
              </w:rPr>
            </w:pPr>
            <w:r w:rsidRPr="00EF6336">
              <w:rPr>
                <w:rFonts w:ascii="Bookman Old Style" w:eastAsiaTheme="minorEastAsia" w:hAnsi="Bookman Old Style"/>
                <w:sz w:val="20"/>
              </w:rPr>
              <w:t>$100</w:t>
            </w:r>
          </w:p>
        </w:tc>
        <w:tc>
          <w:tcPr>
            <w:tcW w:w="1890" w:type="dxa"/>
            <w:tcBorders>
              <w:top w:val="nil"/>
              <w:left w:val="nil"/>
              <w:bottom w:val="nil"/>
              <w:right w:val="nil"/>
            </w:tcBorders>
          </w:tcPr>
          <w:p w14:paraId="6C6FA2CD" w14:textId="22476E92" w:rsidR="00457F0C" w:rsidRPr="00EF6336" w:rsidRDefault="00457F0C" w:rsidP="005451CD">
            <w:pPr>
              <w:jc w:val="both"/>
              <w:rPr>
                <w:rFonts w:ascii="Bookman Old Style" w:eastAsiaTheme="minorEastAsia" w:hAnsi="Bookman Old Style"/>
                <w:sz w:val="20"/>
              </w:rPr>
            </w:pPr>
            <w:r w:rsidRPr="00EF6336">
              <w:rPr>
                <w:rFonts w:ascii="Bookman Old Style" w:eastAsiaTheme="minorEastAsia" w:hAnsi="Bookman Old Style"/>
                <w:sz w:val="20"/>
              </w:rPr>
              <w:t>$79</w:t>
            </w:r>
          </w:p>
        </w:tc>
        <w:tc>
          <w:tcPr>
            <w:tcW w:w="1800" w:type="dxa"/>
            <w:tcBorders>
              <w:top w:val="nil"/>
              <w:left w:val="nil"/>
              <w:bottom w:val="nil"/>
              <w:right w:val="nil"/>
            </w:tcBorders>
          </w:tcPr>
          <w:p w14:paraId="11C58770" w14:textId="296996E1" w:rsidR="00457F0C" w:rsidRPr="00EF6336" w:rsidRDefault="00457F0C" w:rsidP="005451CD">
            <w:pPr>
              <w:jc w:val="both"/>
              <w:rPr>
                <w:rFonts w:ascii="Bookman Old Style" w:eastAsiaTheme="minorEastAsia" w:hAnsi="Bookman Old Style"/>
                <w:sz w:val="20"/>
              </w:rPr>
            </w:pPr>
            <w:r w:rsidRPr="00EF6336">
              <w:rPr>
                <w:rFonts w:ascii="Bookman Old Style" w:eastAsiaTheme="minorEastAsia" w:hAnsi="Bookman Old Style"/>
                <w:sz w:val="20"/>
              </w:rPr>
              <w:t>$200</w:t>
            </w:r>
          </w:p>
        </w:tc>
        <w:tc>
          <w:tcPr>
            <w:tcW w:w="1890" w:type="dxa"/>
            <w:tcBorders>
              <w:top w:val="nil"/>
              <w:left w:val="nil"/>
              <w:bottom w:val="nil"/>
            </w:tcBorders>
          </w:tcPr>
          <w:p w14:paraId="61E99BFE" w14:textId="52CE0649" w:rsidR="00457F0C" w:rsidRPr="00EF6336" w:rsidRDefault="00457F0C" w:rsidP="005451CD">
            <w:pPr>
              <w:jc w:val="both"/>
              <w:rPr>
                <w:rFonts w:ascii="Bookman Old Style" w:eastAsiaTheme="minorEastAsia" w:hAnsi="Bookman Old Style"/>
                <w:sz w:val="20"/>
              </w:rPr>
            </w:pPr>
            <w:r w:rsidRPr="00EF6336">
              <w:rPr>
                <w:rFonts w:ascii="Bookman Old Style" w:eastAsiaTheme="minorEastAsia" w:hAnsi="Bookman Old Style"/>
                <w:sz w:val="20"/>
              </w:rPr>
              <w:t>$168</w:t>
            </w:r>
          </w:p>
        </w:tc>
      </w:tr>
      <w:tr w:rsidR="00457F0C" w14:paraId="39A843C5" w14:textId="77777777" w:rsidTr="00457F0C">
        <w:trPr>
          <w:jc w:val="center"/>
        </w:trPr>
        <w:tc>
          <w:tcPr>
            <w:tcW w:w="738" w:type="dxa"/>
            <w:tcBorders>
              <w:top w:val="nil"/>
              <w:bottom w:val="nil"/>
              <w:right w:val="nil"/>
            </w:tcBorders>
          </w:tcPr>
          <w:p w14:paraId="1871BA8C" w14:textId="073CB177" w:rsidR="00457F0C" w:rsidRPr="00EF6336" w:rsidRDefault="00457F0C" w:rsidP="005451CD">
            <w:pPr>
              <w:jc w:val="center"/>
              <w:rPr>
                <w:rFonts w:ascii="Bookman Old Style" w:eastAsiaTheme="minorEastAsia" w:hAnsi="Bookman Old Style"/>
                <w:sz w:val="20"/>
              </w:rPr>
            </w:pPr>
            <w:r w:rsidRPr="00EF6336">
              <w:rPr>
                <w:rFonts w:ascii="Bookman Old Style" w:eastAsiaTheme="minorEastAsia" w:hAnsi="Bookman Old Style"/>
                <w:sz w:val="20"/>
              </w:rPr>
              <w:t>3</w:t>
            </w:r>
          </w:p>
        </w:tc>
        <w:tc>
          <w:tcPr>
            <w:tcW w:w="1980" w:type="dxa"/>
            <w:tcBorders>
              <w:top w:val="nil"/>
              <w:left w:val="nil"/>
              <w:bottom w:val="nil"/>
              <w:right w:val="nil"/>
            </w:tcBorders>
          </w:tcPr>
          <w:p w14:paraId="5E0E5E28" w14:textId="3E70CDFD" w:rsidR="00457F0C" w:rsidRPr="00EF6336" w:rsidRDefault="00457F0C" w:rsidP="005451CD">
            <w:pPr>
              <w:jc w:val="both"/>
              <w:rPr>
                <w:rFonts w:ascii="Bookman Old Style" w:eastAsiaTheme="minorEastAsia" w:hAnsi="Bookman Old Style"/>
                <w:sz w:val="20"/>
              </w:rPr>
            </w:pPr>
            <w:r w:rsidRPr="00EF6336">
              <w:rPr>
                <w:rFonts w:ascii="Bookman Old Style" w:eastAsiaTheme="minorEastAsia" w:hAnsi="Bookman Old Style"/>
                <w:sz w:val="20"/>
              </w:rPr>
              <w:t>$100</w:t>
            </w:r>
          </w:p>
        </w:tc>
        <w:tc>
          <w:tcPr>
            <w:tcW w:w="1890" w:type="dxa"/>
            <w:tcBorders>
              <w:top w:val="nil"/>
              <w:left w:val="nil"/>
              <w:bottom w:val="nil"/>
              <w:right w:val="nil"/>
            </w:tcBorders>
          </w:tcPr>
          <w:p w14:paraId="683F0171" w14:textId="089B3FC0" w:rsidR="00457F0C" w:rsidRPr="00EF6336" w:rsidRDefault="00457F0C" w:rsidP="005451CD">
            <w:pPr>
              <w:jc w:val="both"/>
              <w:rPr>
                <w:rFonts w:ascii="Bookman Old Style" w:eastAsiaTheme="minorEastAsia" w:hAnsi="Bookman Old Style"/>
                <w:sz w:val="20"/>
              </w:rPr>
            </w:pPr>
            <w:r w:rsidRPr="00EF6336">
              <w:rPr>
                <w:rFonts w:ascii="Bookman Old Style" w:eastAsiaTheme="minorEastAsia" w:hAnsi="Bookman Old Style"/>
                <w:sz w:val="20"/>
              </w:rPr>
              <w:t>$70</w:t>
            </w:r>
          </w:p>
        </w:tc>
        <w:tc>
          <w:tcPr>
            <w:tcW w:w="1800" w:type="dxa"/>
            <w:tcBorders>
              <w:top w:val="nil"/>
              <w:left w:val="nil"/>
              <w:bottom w:val="nil"/>
              <w:right w:val="nil"/>
            </w:tcBorders>
          </w:tcPr>
          <w:p w14:paraId="54272EE1" w14:textId="62CF77C3" w:rsidR="00457F0C" w:rsidRPr="00EF6336" w:rsidRDefault="00457F0C" w:rsidP="005451CD">
            <w:pPr>
              <w:jc w:val="both"/>
              <w:rPr>
                <w:rFonts w:ascii="Bookman Old Style" w:eastAsiaTheme="minorEastAsia" w:hAnsi="Bookman Old Style"/>
                <w:sz w:val="20"/>
              </w:rPr>
            </w:pPr>
            <w:r w:rsidRPr="00EF6336">
              <w:rPr>
                <w:rFonts w:ascii="Bookman Old Style" w:eastAsiaTheme="minorEastAsia" w:hAnsi="Bookman Old Style"/>
                <w:sz w:val="20"/>
              </w:rPr>
              <w:t>$300</w:t>
            </w:r>
            <w:r w:rsidR="00DB6316">
              <w:rPr>
                <w:rFonts w:ascii="Bookman Old Style" w:eastAsiaTheme="minorEastAsia" w:hAnsi="Bookman Old Style"/>
                <w:sz w:val="20"/>
              </w:rPr>
              <w:t>*</w:t>
            </w:r>
          </w:p>
        </w:tc>
        <w:tc>
          <w:tcPr>
            <w:tcW w:w="1890" w:type="dxa"/>
            <w:tcBorders>
              <w:top w:val="nil"/>
              <w:left w:val="nil"/>
              <w:bottom w:val="nil"/>
            </w:tcBorders>
          </w:tcPr>
          <w:p w14:paraId="7E3E5DFA" w14:textId="01D18B41" w:rsidR="00457F0C" w:rsidRPr="00EF6336" w:rsidRDefault="00457F0C" w:rsidP="005451CD">
            <w:pPr>
              <w:jc w:val="both"/>
              <w:rPr>
                <w:rFonts w:ascii="Bookman Old Style" w:eastAsiaTheme="minorEastAsia" w:hAnsi="Bookman Old Style"/>
                <w:sz w:val="20"/>
              </w:rPr>
            </w:pPr>
            <w:r w:rsidRPr="00EF6336">
              <w:rPr>
                <w:rFonts w:ascii="Bookman Old Style" w:eastAsiaTheme="minorEastAsia" w:hAnsi="Bookman Old Style"/>
                <w:sz w:val="20"/>
              </w:rPr>
              <w:t>$238</w:t>
            </w:r>
          </w:p>
        </w:tc>
      </w:tr>
      <w:tr w:rsidR="00457F0C" w14:paraId="2535759C" w14:textId="77777777" w:rsidTr="00457F0C">
        <w:trPr>
          <w:jc w:val="center"/>
        </w:trPr>
        <w:tc>
          <w:tcPr>
            <w:tcW w:w="738" w:type="dxa"/>
            <w:tcBorders>
              <w:top w:val="nil"/>
              <w:bottom w:val="nil"/>
              <w:right w:val="nil"/>
            </w:tcBorders>
          </w:tcPr>
          <w:p w14:paraId="74B60F69" w14:textId="0EEDAF73" w:rsidR="00457F0C" w:rsidRPr="00EF6336" w:rsidRDefault="00457F0C" w:rsidP="005451CD">
            <w:pPr>
              <w:jc w:val="center"/>
              <w:rPr>
                <w:rFonts w:ascii="Bookman Old Style" w:eastAsiaTheme="minorEastAsia" w:hAnsi="Bookman Old Style"/>
                <w:sz w:val="20"/>
              </w:rPr>
            </w:pPr>
            <w:r w:rsidRPr="00EF6336">
              <w:rPr>
                <w:rFonts w:ascii="Bookman Old Style" w:eastAsiaTheme="minorEastAsia" w:hAnsi="Bookman Old Style"/>
                <w:sz w:val="20"/>
              </w:rPr>
              <w:t>4</w:t>
            </w:r>
          </w:p>
        </w:tc>
        <w:tc>
          <w:tcPr>
            <w:tcW w:w="1980" w:type="dxa"/>
            <w:tcBorders>
              <w:top w:val="nil"/>
              <w:left w:val="nil"/>
              <w:bottom w:val="nil"/>
              <w:right w:val="nil"/>
            </w:tcBorders>
          </w:tcPr>
          <w:p w14:paraId="077A1799" w14:textId="4F709715" w:rsidR="00457F0C" w:rsidRPr="00EF6336" w:rsidRDefault="00457F0C" w:rsidP="005451CD">
            <w:pPr>
              <w:jc w:val="both"/>
              <w:rPr>
                <w:rFonts w:ascii="Bookman Old Style" w:eastAsiaTheme="minorEastAsia" w:hAnsi="Bookman Old Style"/>
                <w:sz w:val="20"/>
              </w:rPr>
            </w:pPr>
            <w:r w:rsidRPr="00EF6336">
              <w:rPr>
                <w:rFonts w:ascii="Bookman Old Style" w:eastAsiaTheme="minorEastAsia" w:hAnsi="Bookman Old Style"/>
                <w:sz w:val="20"/>
              </w:rPr>
              <w:t>$100</w:t>
            </w:r>
          </w:p>
        </w:tc>
        <w:tc>
          <w:tcPr>
            <w:tcW w:w="1890" w:type="dxa"/>
            <w:tcBorders>
              <w:top w:val="nil"/>
              <w:left w:val="nil"/>
              <w:bottom w:val="nil"/>
              <w:right w:val="nil"/>
            </w:tcBorders>
          </w:tcPr>
          <w:p w14:paraId="71E80426" w14:textId="2D60E556" w:rsidR="00457F0C" w:rsidRPr="00EF6336" w:rsidRDefault="00457F0C" w:rsidP="005451CD">
            <w:pPr>
              <w:jc w:val="both"/>
              <w:rPr>
                <w:rFonts w:ascii="Bookman Old Style" w:eastAsiaTheme="minorEastAsia" w:hAnsi="Bookman Old Style"/>
                <w:sz w:val="20"/>
              </w:rPr>
            </w:pPr>
            <w:r w:rsidRPr="00EF6336">
              <w:rPr>
                <w:rFonts w:ascii="Bookman Old Style" w:eastAsiaTheme="minorEastAsia" w:hAnsi="Bookman Old Style"/>
                <w:sz w:val="20"/>
              </w:rPr>
              <w:t>$62</w:t>
            </w:r>
          </w:p>
        </w:tc>
        <w:tc>
          <w:tcPr>
            <w:tcW w:w="1800" w:type="dxa"/>
            <w:tcBorders>
              <w:top w:val="nil"/>
              <w:left w:val="nil"/>
              <w:bottom w:val="nil"/>
              <w:right w:val="nil"/>
            </w:tcBorders>
          </w:tcPr>
          <w:p w14:paraId="6CF40F27" w14:textId="306CAEEA" w:rsidR="00457F0C" w:rsidRPr="00EF6336" w:rsidRDefault="00457F0C" w:rsidP="005451CD">
            <w:pPr>
              <w:jc w:val="both"/>
              <w:rPr>
                <w:rFonts w:ascii="Bookman Old Style" w:eastAsiaTheme="minorEastAsia" w:hAnsi="Bookman Old Style"/>
                <w:sz w:val="20"/>
              </w:rPr>
            </w:pPr>
            <w:r w:rsidRPr="00EF6336">
              <w:rPr>
                <w:rFonts w:ascii="Bookman Old Style" w:eastAsiaTheme="minorEastAsia" w:hAnsi="Bookman Old Style"/>
                <w:sz w:val="20"/>
              </w:rPr>
              <w:t>$400</w:t>
            </w:r>
          </w:p>
        </w:tc>
        <w:tc>
          <w:tcPr>
            <w:tcW w:w="1890" w:type="dxa"/>
            <w:tcBorders>
              <w:top w:val="nil"/>
              <w:left w:val="nil"/>
              <w:bottom w:val="nil"/>
            </w:tcBorders>
          </w:tcPr>
          <w:p w14:paraId="69F633FE" w14:textId="4C32717F" w:rsidR="00457F0C" w:rsidRPr="00EF6336" w:rsidRDefault="00457F0C" w:rsidP="005451CD">
            <w:pPr>
              <w:jc w:val="both"/>
              <w:rPr>
                <w:rFonts w:ascii="Bookman Old Style" w:eastAsiaTheme="minorEastAsia" w:hAnsi="Bookman Old Style"/>
                <w:sz w:val="20"/>
              </w:rPr>
            </w:pPr>
            <w:r w:rsidRPr="00EF6336">
              <w:rPr>
                <w:rFonts w:ascii="Bookman Old Style" w:eastAsiaTheme="minorEastAsia" w:hAnsi="Bookman Old Style"/>
                <w:sz w:val="20"/>
              </w:rPr>
              <w:t>$300</w:t>
            </w:r>
            <w:r w:rsidR="00DB6316">
              <w:rPr>
                <w:rFonts w:ascii="Bookman Old Style" w:eastAsiaTheme="minorEastAsia" w:hAnsi="Bookman Old Style"/>
                <w:sz w:val="20"/>
              </w:rPr>
              <w:t>*</w:t>
            </w:r>
          </w:p>
        </w:tc>
      </w:tr>
      <w:tr w:rsidR="00457F0C" w14:paraId="57592BD9" w14:textId="77777777" w:rsidTr="00EF6336">
        <w:trPr>
          <w:trHeight w:val="68"/>
          <w:jc w:val="center"/>
        </w:trPr>
        <w:tc>
          <w:tcPr>
            <w:tcW w:w="738" w:type="dxa"/>
            <w:tcBorders>
              <w:top w:val="nil"/>
              <w:right w:val="nil"/>
            </w:tcBorders>
          </w:tcPr>
          <w:p w14:paraId="28DC699B" w14:textId="12F40B50" w:rsidR="00457F0C" w:rsidRPr="00EF6336" w:rsidRDefault="00457F0C" w:rsidP="005451CD">
            <w:pPr>
              <w:jc w:val="center"/>
              <w:rPr>
                <w:rFonts w:ascii="Bookman Old Style" w:eastAsiaTheme="minorEastAsia" w:hAnsi="Bookman Old Style"/>
                <w:sz w:val="20"/>
              </w:rPr>
            </w:pPr>
            <w:r w:rsidRPr="00EF6336">
              <w:rPr>
                <w:rFonts w:ascii="Bookman Old Style" w:eastAsiaTheme="minorEastAsia" w:hAnsi="Bookman Old Style"/>
                <w:sz w:val="20"/>
              </w:rPr>
              <w:t>5</w:t>
            </w:r>
          </w:p>
        </w:tc>
        <w:tc>
          <w:tcPr>
            <w:tcW w:w="1980" w:type="dxa"/>
            <w:tcBorders>
              <w:top w:val="nil"/>
              <w:left w:val="nil"/>
              <w:right w:val="nil"/>
            </w:tcBorders>
          </w:tcPr>
          <w:p w14:paraId="2ACC200C" w14:textId="3762A99F" w:rsidR="00457F0C" w:rsidRPr="00EF6336" w:rsidRDefault="00457F0C" w:rsidP="005451CD">
            <w:pPr>
              <w:jc w:val="both"/>
              <w:rPr>
                <w:rFonts w:ascii="Bookman Old Style" w:eastAsiaTheme="minorEastAsia" w:hAnsi="Bookman Old Style"/>
                <w:sz w:val="20"/>
              </w:rPr>
            </w:pPr>
            <w:r w:rsidRPr="00EF6336">
              <w:rPr>
                <w:rFonts w:ascii="Bookman Old Style" w:eastAsiaTheme="minorEastAsia" w:hAnsi="Bookman Old Style"/>
                <w:sz w:val="20"/>
              </w:rPr>
              <w:t>$100</w:t>
            </w:r>
          </w:p>
        </w:tc>
        <w:tc>
          <w:tcPr>
            <w:tcW w:w="1890" w:type="dxa"/>
            <w:tcBorders>
              <w:top w:val="nil"/>
              <w:left w:val="nil"/>
              <w:right w:val="nil"/>
            </w:tcBorders>
          </w:tcPr>
          <w:p w14:paraId="73F643CC" w14:textId="5F11FD05" w:rsidR="00457F0C" w:rsidRPr="00EF6336" w:rsidRDefault="00457F0C" w:rsidP="005451CD">
            <w:pPr>
              <w:jc w:val="both"/>
              <w:rPr>
                <w:rFonts w:ascii="Bookman Old Style" w:eastAsiaTheme="minorEastAsia" w:hAnsi="Bookman Old Style"/>
                <w:sz w:val="20"/>
              </w:rPr>
            </w:pPr>
            <w:r w:rsidRPr="00EF6336">
              <w:rPr>
                <w:rFonts w:ascii="Bookman Old Style" w:eastAsiaTheme="minorEastAsia" w:hAnsi="Bookman Old Style"/>
                <w:sz w:val="20"/>
              </w:rPr>
              <w:t>$55</w:t>
            </w:r>
          </w:p>
        </w:tc>
        <w:tc>
          <w:tcPr>
            <w:tcW w:w="1800" w:type="dxa"/>
            <w:tcBorders>
              <w:top w:val="nil"/>
              <w:left w:val="nil"/>
              <w:right w:val="nil"/>
            </w:tcBorders>
          </w:tcPr>
          <w:p w14:paraId="4993E856" w14:textId="502494DD" w:rsidR="00457F0C" w:rsidRPr="00EF6336" w:rsidRDefault="00457F0C" w:rsidP="005451CD">
            <w:pPr>
              <w:jc w:val="both"/>
              <w:rPr>
                <w:rFonts w:ascii="Bookman Old Style" w:eastAsiaTheme="minorEastAsia" w:hAnsi="Bookman Old Style"/>
                <w:sz w:val="20"/>
              </w:rPr>
            </w:pPr>
            <w:r w:rsidRPr="00EF6336">
              <w:rPr>
                <w:rFonts w:ascii="Bookman Old Style" w:eastAsiaTheme="minorEastAsia" w:hAnsi="Bookman Old Style"/>
                <w:sz w:val="20"/>
              </w:rPr>
              <w:t>$500</w:t>
            </w:r>
          </w:p>
        </w:tc>
        <w:tc>
          <w:tcPr>
            <w:tcW w:w="1890" w:type="dxa"/>
            <w:tcBorders>
              <w:top w:val="nil"/>
              <w:left w:val="nil"/>
            </w:tcBorders>
          </w:tcPr>
          <w:p w14:paraId="4A451591" w14:textId="266FB947" w:rsidR="00457F0C" w:rsidRPr="00EF6336" w:rsidRDefault="00457F0C" w:rsidP="005451CD">
            <w:pPr>
              <w:jc w:val="both"/>
              <w:rPr>
                <w:rFonts w:ascii="Bookman Old Style" w:eastAsiaTheme="minorEastAsia" w:hAnsi="Bookman Old Style"/>
                <w:sz w:val="20"/>
              </w:rPr>
            </w:pPr>
            <w:r w:rsidRPr="00EF6336">
              <w:rPr>
                <w:rFonts w:ascii="Bookman Old Style" w:eastAsiaTheme="minorEastAsia" w:hAnsi="Bookman Old Style"/>
                <w:sz w:val="20"/>
              </w:rPr>
              <w:t>$355</w:t>
            </w:r>
          </w:p>
        </w:tc>
      </w:tr>
    </w:tbl>
    <w:p w14:paraId="39D1E0B6" w14:textId="77777777" w:rsidR="00B617A6" w:rsidRDefault="00B617A6" w:rsidP="005451CD">
      <w:pPr>
        <w:spacing w:after="0" w:line="240" w:lineRule="auto"/>
        <w:jc w:val="both"/>
        <w:rPr>
          <w:rFonts w:ascii="Bookman Old Style" w:eastAsiaTheme="minorEastAsia" w:hAnsi="Bookman Old Style"/>
        </w:rPr>
      </w:pPr>
    </w:p>
    <w:p w14:paraId="79D365DA" w14:textId="022E9473" w:rsidR="00457F0C" w:rsidRDefault="00DB6316" w:rsidP="005451CD">
      <w:pPr>
        <w:spacing w:after="0" w:line="240" w:lineRule="auto"/>
        <w:jc w:val="both"/>
        <w:rPr>
          <w:rFonts w:ascii="Bookman Old Style" w:eastAsiaTheme="minorEastAsia" w:hAnsi="Bookman Old Style"/>
        </w:rPr>
      </w:pPr>
      <w:r>
        <w:rPr>
          <w:rFonts w:ascii="Bookman Old Style" w:eastAsiaTheme="minorEastAsia" w:hAnsi="Bookman Old Style"/>
        </w:rPr>
        <w:t>We have both the discounted and the undiscounted cash flows. Looking at the accumulated cash flows, the regular payback period is exactly 3 years – the discounted cash flows total $300 only after 4 years, so the discounted payback is 4 years as shown.</w:t>
      </w:r>
    </w:p>
    <w:p w14:paraId="4FB8DE22" w14:textId="77777777" w:rsidR="00DB6316" w:rsidRDefault="00DB6316" w:rsidP="005451CD">
      <w:pPr>
        <w:spacing w:after="0" w:line="240" w:lineRule="auto"/>
        <w:jc w:val="both"/>
        <w:rPr>
          <w:rFonts w:ascii="Bookman Old Style" w:eastAsiaTheme="minorEastAsia" w:hAnsi="Bookman Old Style"/>
        </w:rPr>
      </w:pPr>
    </w:p>
    <w:p w14:paraId="5001A7F0" w14:textId="5F77E96C" w:rsidR="00DB6316" w:rsidRDefault="00DB6316" w:rsidP="005451CD">
      <w:pPr>
        <w:spacing w:after="0" w:line="240" w:lineRule="auto"/>
        <w:jc w:val="both"/>
        <w:rPr>
          <w:rFonts w:ascii="Bookman Old Style" w:eastAsiaTheme="minorEastAsia" w:hAnsi="Bookman Old Style"/>
        </w:rPr>
      </w:pPr>
      <w:r>
        <w:rPr>
          <w:rFonts w:ascii="Bookman Old Style" w:eastAsiaTheme="minorEastAsia" w:hAnsi="Bookman Old Style"/>
        </w:rPr>
        <w:t>So, how do we interpret the discounted payback?</w:t>
      </w:r>
    </w:p>
    <w:p w14:paraId="6A9489D0" w14:textId="1A0B3C41" w:rsidR="00DB6316" w:rsidRDefault="00DB6316" w:rsidP="005451CD">
      <w:pPr>
        <w:spacing w:after="0" w:line="240" w:lineRule="auto"/>
        <w:jc w:val="both"/>
        <w:rPr>
          <w:rFonts w:ascii="Bookman Old Style" w:eastAsiaTheme="minorEastAsia" w:hAnsi="Bookman Old Style"/>
        </w:rPr>
      </w:pPr>
      <w:r>
        <w:rPr>
          <w:rFonts w:ascii="Bookman Old Style" w:eastAsiaTheme="minorEastAsia" w:hAnsi="Bookman Old Style"/>
        </w:rPr>
        <w:t>Remember that ordinary payback is the time it takes to break even in an accounting sense. Since it includes the time value of money, the discounted payback is the time it takes to break even in an economic or financial sense.</w:t>
      </w:r>
    </w:p>
    <w:p w14:paraId="06482DA1" w14:textId="77777777" w:rsidR="00DB6316" w:rsidRDefault="00DB6316" w:rsidP="005451CD">
      <w:pPr>
        <w:spacing w:after="0" w:line="240" w:lineRule="auto"/>
        <w:jc w:val="both"/>
        <w:rPr>
          <w:rFonts w:ascii="Bookman Old Style" w:eastAsiaTheme="minorEastAsia" w:hAnsi="Bookman Old Style"/>
        </w:rPr>
      </w:pPr>
    </w:p>
    <w:p w14:paraId="3C133705" w14:textId="104F3C07" w:rsidR="00DB6316" w:rsidRDefault="00DB6316" w:rsidP="005451CD">
      <w:pPr>
        <w:spacing w:after="0" w:line="240" w:lineRule="auto"/>
        <w:jc w:val="both"/>
        <w:rPr>
          <w:rFonts w:ascii="Bookman Old Style" w:eastAsiaTheme="minorEastAsia" w:hAnsi="Bookman Old Style"/>
        </w:rPr>
      </w:pPr>
      <w:r>
        <w:rPr>
          <w:rFonts w:ascii="Bookman Old Style" w:eastAsiaTheme="minorEastAsia" w:hAnsi="Bookman Old Style"/>
        </w:rPr>
        <w:t>Loosely speaking, in our example, we’d get our money back along with the interest we could have earned elsewhere in 4 years.</w:t>
      </w:r>
    </w:p>
    <w:p w14:paraId="27194A97" w14:textId="77777777" w:rsidR="00DB6316" w:rsidRDefault="00DB6316" w:rsidP="005451CD">
      <w:pPr>
        <w:spacing w:after="0" w:line="240" w:lineRule="auto"/>
        <w:jc w:val="both"/>
        <w:rPr>
          <w:rFonts w:ascii="Bookman Old Style" w:eastAsiaTheme="minorEastAsia" w:hAnsi="Bookman Old Style"/>
        </w:rPr>
      </w:pPr>
    </w:p>
    <w:p w14:paraId="4ABEA2B9" w14:textId="6FD4E084" w:rsidR="00DB6316" w:rsidRDefault="00DB6316" w:rsidP="005451CD">
      <w:pPr>
        <w:spacing w:after="0" w:line="240" w:lineRule="auto"/>
        <w:jc w:val="both"/>
        <w:rPr>
          <w:rFonts w:ascii="Bookman Old Style" w:eastAsiaTheme="minorEastAsia" w:hAnsi="Bookman Old Style"/>
        </w:rPr>
      </w:pPr>
      <w:r>
        <w:rPr>
          <w:rFonts w:ascii="Bookman Old Style" w:eastAsiaTheme="minorEastAsia" w:hAnsi="Bookman Old Style"/>
        </w:rPr>
        <w:t>The discounted payback is actually rarely used.</w:t>
      </w:r>
    </w:p>
    <w:p w14:paraId="325B3389" w14:textId="6669AF50" w:rsidR="00DB6316" w:rsidRDefault="00DB6316" w:rsidP="005451CD">
      <w:pPr>
        <w:spacing w:after="0" w:line="240" w:lineRule="auto"/>
        <w:jc w:val="both"/>
        <w:rPr>
          <w:rFonts w:ascii="Bookman Old Style" w:eastAsiaTheme="minorEastAsia" w:hAnsi="Bookman Old Style"/>
        </w:rPr>
      </w:pPr>
      <w:r>
        <w:rPr>
          <w:rFonts w:ascii="Bookman Old Style" w:eastAsiaTheme="minorEastAsia" w:hAnsi="Bookman Old Style"/>
        </w:rPr>
        <w:t>Why?</w:t>
      </w:r>
    </w:p>
    <w:p w14:paraId="54B6084F" w14:textId="3E743F3E" w:rsidR="00DB6316" w:rsidRDefault="00DB6316" w:rsidP="005451CD">
      <w:pPr>
        <w:spacing w:after="0" w:line="240" w:lineRule="auto"/>
        <w:jc w:val="both"/>
        <w:rPr>
          <w:rFonts w:ascii="Bookman Old Style" w:eastAsiaTheme="minorEastAsia" w:hAnsi="Bookman Old Style"/>
        </w:rPr>
      </w:pPr>
      <w:r>
        <w:rPr>
          <w:rFonts w:ascii="Bookman Old Style" w:eastAsiaTheme="minorEastAsia" w:hAnsi="Bookman Old Style"/>
        </w:rPr>
        <w:t>Probably because it really isn’t any simpler than NPV - to calculate a discounted payback, you have to discount cash flows, add them up, and compare them to the cost, just as we do with NPV.</w:t>
      </w:r>
    </w:p>
    <w:p w14:paraId="6F878E8A" w14:textId="77777777" w:rsidR="00DB6316" w:rsidRDefault="00DB6316" w:rsidP="005451CD">
      <w:pPr>
        <w:spacing w:after="0" w:line="240" w:lineRule="auto"/>
        <w:jc w:val="both"/>
        <w:rPr>
          <w:rFonts w:ascii="Bookman Old Style" w:eastAsiaTheme="minorEastAsia" w:hAnsi="Bookman Old Style"/>
        </w:rPr>
      </w:pPr>
    </w:p>
    <w:p w14:paraId="0CAAF1C9" w14:textId="64190EC8" w:rsidR="00DB6316" w:rsidRDefault="00DB6316" w:rsidP="005451CD">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So unlike the ordinary payback, the discounted payback isn’t much simpler to calculate.</w:t>
      </w:r>
    </w:p>
    <w:p w14:paraId="487FA63B" w14:textId="77777777" w:rsidR="00DB6316" w:rsidRDefault="00DB6316" w:rsidP="005451CD">
      <w:pPr>
        <w:spacing w:after="0" w:line="240" w:lineRule="auto"/>
        <w:jc w:val="both"/>
        <w:rPr>
          <w:rFonts w:ascii="Bookman Old Style" w:eastAsiaTheme="minorEastAsia" w:hAnsi="Bookman Old Style"/>
        </w:rPr>
      </w:pPr>
    </w:p>
    <w:p w14:paraId="3058F755" w14:textId="678C9A6D" w:rsidR="00DB6316" w:rsidRDefault="00DB6316" w:rsidP="005451CD">
      <w:pPr>
        <w:spacing w:after="0" w:line="240" w:lineRule="auto"/>
        <w:jc w:val="both"/>
        <w:rPr>
          <w:rFonts w:ascii="Bookman Old Style" w:eastAsiaTheme="minorEastAsia" w:hAnsi="Bookman Old Style"/>
        </w:rPr>
      </w:pPr>
      <w:r>
        <w:rPr>
          <w:rFonts w:ascii="Bookman Old Style" w:eastAsiaTheme="minorEastAsia" w:hAnsi="Bookman Old Style"/>
        </w:rPr>
        <w:t>A discounted payback rule still has some drawbacks. The biggest one is that the cutoff still has to be arbitrarily set and cash flows beyond that point are ignored. So a project with a positive NPV might not be acceptable because the cutoff is too short. Just because one project has a shorter discounted payback period than another doesn’t mean it has a larger NPV.</w:t>
      </w:r>
    </w:p>
    <w:p w14:paraId="328D0885" w14:textId="77777777" w:rsidR="00DB6316" w:rsidRDefault="00DB6316" w:rsidP="005451CD">
      <w:pPr>
        <w:spacing w:after="0" w:line="240" w:lineRule="auto"/>
        <w:jc w:val="both"/>
        <w:rPr>
          <w:rFonts w:ascii="Bookman Old Style" w:eastAsiaTheme="minorEastAsia" w:hAnsi="Bookman Old Style"/>
        </w:rPr>
      </w:pPr>
    </w:p>
    <w:p w14:paraId="180D25B6" w14:textId="6B509F2A" w:rsidR="00DB6316" w:rsidRDefault="00DB6316" w:rsidP="005451CD">
      <w:pPr>
        <w:spacing w:after="0" w:line="240" w:lineRule="auto"/>
        <w:jc w:val="both"/>
        <w:rPr>
          <w:rFonts w:ascii="Bookman Old Style" w:eastAsiaTheme="minorEastAsia" w:hAnsi="Bookman Old Style"/>
        </w:rPr>
      </w:pPr>
      <w:r>
        <w:rPr>
          <w:rFonts w:ascii="Bookman Old Style" w:eastAsiaTheme="minorEastAsia" w:hAnsi="Bookman Old Style"/>
        </w:rPr>
        <w:t>So the discounted payback is a compromise between a regular payback and NPV that lacks the simplicity of the first and the conceptual rigor of the second.</w:t>
      </w:r>
    </w:p>
    <w:p w14:paraId="1BDC3E59" w14:textId="77777777" w:rsidR="00DB6316" w:rsidRDefault="00DB6316" w:rsidP="005451CD">
      <w:pPr>
        <w:spacing w:after="0" w:line="240" w:lineRule="auto"/>
        <w:jc w:val="both"/>
        <w:rPr>
          <w:rFonts w:ascii="Bookman Old Style" w:eastAsiaTheme="minorEastAsia" w:hAnsi="Bookman Old Style"/>
        </w:rPr>
      </w:pPr>
    </w:p>
    <w:p w14:paraId="0EF70F5D" w14:textId="7D2C70AF" w:rsidR="00DB6316" w:rsidRDefault="00DB6316" w:rsidP="005451CD">
      <w:pPr>
        <w:spacing w:after="0" w:line="240" w:lineRule="auto"/>
        <w:jc w:val="both"/>
        <w:rPr>
          <w:rFonts w:ascii="Bookman Old Style" w:eastAsiaTheme="minorEastAsia" w:hAnsi="Bookman Old Style"/>
        </w:rPr>
      </w:pPr>
      <w:r>
        <w:rPr>
          <w:rFonts w:ascii="Bookman Old Style" w:eastAsiaTheme="minorEastAsia" w:hAnsi="Bookman Old Style"/>
        </w:rPr>
        <w:t>But, if we need to assess the time it takes to recover the investment required by a project, the discounted payback is better than the ordinary payback because it considers time value.</w:t>
      </w:r>
    </w:p>
    <w:p w14:paraId="2CEBD95F" w14:textId="77777777" w:rsidR="00DB6316" w:rsidRDefault="00DB6316" w:rsidP="005451CD">
      <w:pPr>
        <w:spacing w:after="0" w:line="240" w:lineRule="auto"/>
        <w:jc w:val="both"/>
        <w:rPr>
          <w:rFonts w:ascii="Bookman Old Style" w:eastAsiaTheme="minorEastAsia" w:hAnsi="Bookman Old Style"/>
        </w:rPr>
      </w:pPr>
    </w:p>
    <w:p w14:paraId="6EFED0D3" w14:textId="2205849B" w:rsidR="00DB6316" w:rsidRDefault="00DB6316" w:rsidP="005451CD">
      <w:pPr>
        <w:spacing w:after="0" w:line="240" w:lineRule="auto"/>
        <w:jc w:val="both"/>
        <w:rPr>
          <w:rFonts w:ascii="Bookman Old Style" w:eastAsiaTheme="minorEastAsia" w:hAnsi="Bookman Old Style"/>
        </w:rPr>
      </w:pPr>
      <w:r>
        <w:rPr>
          <w:rFonts w:ascii="Bookman Old Style" w:eastAsiaTheme="minorEastAsia" w:hAnsi="Bookman Old Style"/>
        </w:rPr>
        <w:t>In other words, the discounted payback recognizes that we could’ve invested the money elsewhere and earned a return on it. The ordinary payback doesn’t take this into account.</w:t>
      </w:r>
    </w:p>
    <w:p w14:paraId="6D48EEFE" w14:textId="77777777" w:rsidR="00DB6316" w:rsidRDefault="00DB6316" w:rsidP="005451CD">
      <w:pPr>
        <w:spacing w:after="0" w:line="240" w:lineRule="auto"/>
        <w:jc w:val="both"/>
        <w:rPr>
          <w:rFonts w:ascii="Bookman Old Style" w:eastAsiaTheme="minorEastAsia" w:hAnsi="Bookman Old Style"/>
        </w:rPr>
      </w:pPr>
    </w:p>
    <w:tbl>
      <w:tblPr>
        <w:tblStyle w:val="MediumGrid1-Accent3"/>
        <w:tblW w:w="0" w:type="auto"/>
        <w:tblLook w:val="04A0" w:firstRow="1" w:lastRow="0" w:firstColumn="1" w:lastColumn="0" w:noHBand="0" w:noVBand="1"/>
      </w:tblPr>
      <w:tblGrid>
        <w:gridCol w:w="4788"/>
        <w:gridCol w:w="4788"/>
      </w:tblGrid>
      <w:tr w:rsidR="00DB6316" w14:paraId="114D4250" w14:textId="77777777" w:rsidTr="008927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gridSpan w:val="2"/>
          </w:tcPr>
          <w:p w14:paraId="3E7B0A77" w14:textId="668DCCAF" w:rsidR="00DB6316" w:rsidRPr="00B617A6" w:rsidRDefault="00DB6316" w:rsidP="005451CD">
            <w:pPr>
              <w:jc w:val="center"/>
              <w:rPr>
                <w:rFonts w:ascii="Bookman Old Style" w:eastAsiaTheme="minorEastAsia" w:hAnsi="Bookman Old Style"/>
                <w:sz w:val="20"/>
              </w:rPr>
            </w:pPr>
            <w:r w:rsidRPr="00B617A6">
              <w:rPr>
                <w:rFonts w:ascii="Bookman Old Style" w:eastAsiaTheme="minorEastAsia" w:hAnsi="Bookman Old Style"/>
                <w:sz w:val="20"/>
              </w:rPr>
              <w:t xml:space="preserve">Advantages &amp; Disadvantages of the </w:t>
            </w:r>
            <w:r>
              <w:rPr>
                <w:rFonts w:ascii="Bookman Old Style" w:eastAsiaTheme="minorEastAsia" w:hAnsi="Bookman Old Style"/>
                <w:sz w:val="20"/>
              </w:rPr>
              <w:t xml:space="preserve">Discounted </w:t>
            </w:r>
            <w:r w:rsidRPr="00B617A6">
              <w:rPr>
                <w:rFonts w:ascii="Bookman Old Style" w:eastAsiaTheme="minorEastAsia" w:hAnsi="Bookman Old Style"/>
                <w:sz w:val="20"/>
              </w:rPr>
              <w:t>Payback Period Rule</w:t>
            </w:r>
          </w:p>
        </w:tc>
      </w:tr>
      <w:tr w:rsidR="00DB6316" w14:paraId="34222902" w14:textId="77777777" w:rsidTr="008927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5BF5AAB0" w14:textId="77777777" w:rsidR="00DB6316" w:rsidRPr="00B617A6" w:rsidRDefault="00DB6316" w:rsidP="005451CD">
            <w:pPr>
              <w:jc w:val="center"/>
              <w:rPr>
                <w:rFonts w:ascii="Bookman Old Style" w:eastAsiaTheme="minorEastAsia" w:hAnsi="Bookman Old Style"/>
                <w:i/>
                <w:sz w:val="20"/>
              </w:rPr>
            </w:pPr>
            <w:r w:rsidRPr="00B617A6">
              <w:rPr>
                <w:rFonts w:ascii="Bookman Old Style" w:eastAsiaTheme="minorEastAsia" w:hAnsi="Bookman Old Style"/>
                <w:i/>
                <w:sz w:val="20"/>
              </w:rPr>
              <w:t>Advantages</w:t>
            </w:r>
          </w:p>
        </w:tc>
        <w:tc>
          <w:tcPr>
            <w:tcW w:w="4788" w:type="dxa"/>
          </w:tcPr>
          <w:p w14:paraId="7AA2018B" w14:textId="77777777" w:rsidR="00DB6316" w:rsidRPr="00B617A6" w:rsidRDefault="00DB6316" w:rsidP="005451CD">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b/>
                <w:i/>
                <w:sz w:val="20"/>
              </w:rPr>
            </w:pPr>
            <w:r w:rsidRPr="00B617A6">
              <w:rPr>
                <w:rFonts w:ascii="Bookman Old Style" w:eastAsiaTheme="minorEastAsia" w:hAnsi="Bookman Old Style"/>
                <w:b/>
                <w:i/>
                <w:sz w:val="20"/>
              </w:rPr>
              <w:t>Disadvantages</w:t>
            </w:r>
          </w:p>
        </w:tc>
      </w:tr>
      <w:tr w:rsidR="00DB6316" w14:paraId="5BE71E77" w14:textId="77777777" w:rsidTr="0089276B">
        <w:tc>
          <w:tcPr>
            <w:cnfStyle w:val="001000000000" w:firstRow="0" w:lastRow="0" w:firstColumn="1" w:lastColumn="0" w:oddVBand="0" w:evenVBand="0" w:oddHBand="0" w:evenHBand="0" w:firstRowFirstColumn="0" w:firstRowLastColumn="0" w:lastRowFirstColumn="0" w:lastRowLastColumn="0"/>
            <w:tcW w:w="4788" w:type="dxa"/>
          </w:tcPr>
          <w:p w14:paraId="1D8C00C7" w14:textId="4D6EF180" w:rsidR="00DB6316" w:rsidRPr="00B617A6" w:rsidRDefault="00DB6316" w:rsidP="005451CD">
            <w:pPr>
              <w:jc w:val="both"/>
              <w:rPr>
                <w:rFonts w:ascii="Bookman Old Style" w:eastAsiaTheme="minorEastAsia" w:hAnsi="Bookman Old Style"/>
                <w:b w:val="0"/>
                <w:sz w:val="20"/>
              </w:rPr>
            </w:pPr>
            <w:r w:rsidRPr="00B617A6">
              <w:rPr>
                <w:rFonts w:ascii="Bookman Old Style" w:eastAsiaTheme="minorEastAsia" w:hAnsi="Bookman Old Style"/>
                <w:b w:val="0"/>
                <w:sz w:val="20"/>
              </w:rPr>
              <w:t xml:space="preserve">1. </w:t>
            </w:r>
            <w:r>
              <w:rPr>
                <w:rFonts w:ascii="Bookman Old Style" w:eastAsiaTheme="minorEastAsia" w:hAnsi="Bookman Old Style"/>
                <w:b w:val="0"/>
                <w:sz w:val="20"/>
              </w:rPr>
              <w:t>Includes the time value of money</w:t>
            </w:r>
          </w:p>
        </w:tc>
        <w:tc>
          <w:tcPr>
            <w:tcW w:w="4788" w:type="dxa"/>
          </w:tcPr>
          <w:p w14:paraId="1F069DF9" w14:textId="3AF4D0C5" w:rsidR="00DB6316" w:rsidRPr="00B617A6" w:rsidRDefault="00DB6316" w:rsidP="005451CD">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B617A6">
              <w:rPr>
                <w:rFonts w:ascii="Bookman Old Style" w:eastAsiaTheme="minorEastAsia" w:hAnsi="Bookman Old Style"/>
                <w:sz w:val="20"/>
              </w:rPr>
              <w:t xml:space="preserve">1. </w:t>
            </w:r>
            <w:r>
              <w:rPr>
                <w:rFonts w:ascii="Bookman Old Style" w:eastAsiaTheme="minorEastAsia" w:hAnsi="Bookman Old Style"/>
                <w:sz w:val="20"/>
              </w:rPr>
              <w:t>May reject positive NPV investments</w:t>
            </w:r>
          </w:p>
        </w:tc>
      </w:tr>
      <w:tr w:rsidR="00DB6316" w14:paraId="048983B8" w14:textId="77777777" w:rsidTr="008927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4C88A03C" w14:textId="78180058" w:rsidR="00DB6316" w:rsidRPr="00B617A6" w:rsidRDefault="00DB6316" w:rsidP="005451CD">
            <w:pPr>
              <w:jc w:val="both"/>
              <w:rPr>
                <w:rFonts w:ascii="Bookman Old Style" w:eastAsiaTheme="minorEastAsia" w:hAnsi="Bookman Old Style"/>
                <w:b w:val="0"/>
                <w:sz w:val="20"/>
              </w:rPr>
            </w:pPr>
            <w:r w:rsidRPr="00B617A6">
              <w:rPr>
                <w:rFonts w:ascii="Bookman Old Style" w:eastAsiaTheme="minorEastAsia" w:hAnsi="Bookman Old Style"/>
                <w:b w:val="0"/>
                <w:sz w:val="20"/>
              </w:rPr>
              <w:t xml:space="preserve">2. </w:t>
            </w:r>
            <w:r>
              <w:rPr>
                <w:rFonts w:ascii="Bookman Old Style" w:eastAsiaTheme="minorEastAsia" w:hAnsi="Bookman Old Style"/>
                <w:b w:val="0"/>
                <w:sz w:val="20"/>
              </w:rPr>
              <w:t>Easy to understand</w:t>
            </w:r>
          </w:p>
        </w:tc>
        <w:tc>
          <w:tcPr>
            <w:tcW w:w="4788" w:type="dxa"/>
          </w:tcPr>
          <w:p w14:paraId="3077F1F1" w14:textId="77777777" w:rsidR="00DB6316" w:rsidRPr="00B617A6" w:rsidRDefault="00DB6316" w:rsidP="005451CD">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B617A6">
              <w:rPr>
                <w:rFonts w:ascii="Bookman Old Style" w:eastAsiaTheme="minorEastAsia" w:hAnsi="Bookman Old Style"/>
                <w:sz w:val="20"/>
              </w:rPr>
              <w:t>2. Requires an arbitrary cutoff point</w:t>
            </w:r>
          </w:p>
        </w:tc>
      </w:tr>
      <w:tr w:rsidR="00DB6316" w14:paraId="0D081FBB" w14:textId="77777777" w:rsidTr="0089276B">
        <w:trPr>
          <w:trHeight w:val="68"/>
        </w:trPr>
        <w:tc>
          <w:tcPr>
            <w:cnfStyle w:val="001000000000" w:firstRow="0" w:lastRow="0" w:firstColumn="1" w:lastColumn="0" w:oddVBand="0" w:evenVBand="0" w:oddHBand="0" w:evenHBand="0" w:firstRowFirstColumn="0" w:firstRowLastColumn="0" w:lastRowFirstColumn="0" w:lastRowLastColumn="0"/>
            <w:tcW w:w="4788" w:type="dxa"/>
          </w:tcPr>
          <w:p w14:paraId="2A8EE32A" w14:textId="5D6155B1" w:rsidR="00DB6316" w:rsidRPr="00B617A6" w:rsidRDefault="00DB6316" w:rsidP="005451CD">
            <w:pPr>
              <w:jc w:val="both"/>
              <w:rPr>
                <w:rFonts w:ascii="Bookman Old Style" w:eastAsiaTheme="minorEastAsia" w:hAnsi="Bookman Old Style"/>
                <w:b w:val="0"/>
                <w:sz w:val="20"/>
              </w:rPr>
            </w:pPr>
            <w:r w:rsidRPr="00B617A6">
              <w:rPr>
                <w:rFonts w:ascii="Bookman Old Style" w:eastAsiaTheme="minorEastAsia" w:hAnsi="Bookman Old Style"/>
                <w:b w:val="0"/>
                <w:sz w:val="20"/>
              </w:rPr>
              <w:t xml:space="preserve">3. </w:t>
            </w:r>
            <w:r w:rsidR="009C4033">
              <w:rPr>
                <w:rFonts w:ascii="Bookman Old Style" w:eastAsiaTheme="minorEastAsia" w:hAnsi="Bookman Old Style"/>
                <w:b w:val="0"/>
                <w:sz w:val="20"/>
              </w:rPr>
              <w:t>Doesn’t accept negative estimated NPV investments</w:t>
            </w:r>
          </w:p>
        </w:tc>
        <w:tc>
          <w:tcPr>
            <w:tcW w:w="4788" w:type="dxa"/>
          </w:tcPr>
          <w:p w14:paraId="46AD9A60" w14:textId="77777777" w:rsidR="00DB6316" w:rsidRPr="00B617A6" w:rsidRDefault="00DB6316" w:rsidP="005451CD">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B617A6">
              <w:rPr>
                <w:rFonts w:ascii="Bookman Old Style" w:eastAsiaTheme="minorEastAsia" w:hAnsi="Bookman Old Style"/>
                <w:sz w:val="20"/>
              </w:rPr>
              <w:t>3. Ignores cash flows beyond the cutoff point</w:t>
            </w:r>
          </w:p>
        </w:tc>
      </w:tr>
      <w:tr w:rsidR="00DB6316" w14:paraId="7D0B749E" w14:textId="77777777" w:rsidTr="008927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0BB60E05" w14:textId="7A21536B" w:rsidR="00DB6316" w:rsidRPr="00B617A6" w:rsidRDefault="009C4033" w:rsidP="005451CD">
            <w:pPr>
              <w:jc w:val="both"/>
              <w:rPr>
                <w:rFonts w:ascii="Bookman Old Style" w:eastAsiaTheme="minorEastAsia" w:hAnsi="Bookman Old Style"/>
                <w:b w:val="0"/>
                <w:sz w:val="20"/>
              </w:rPr>
            </w:pPr>
            <w:r>
              <w:rPr>
                <w:rFonts w:ascii="Bookman Old Style" w:eastAsiaTheme="minorEastAsia" w:hAnsi="Bookman Old Style"/>
                <w:b w:val="0"/>
                <w:sz w:val="20"/>
              </w:rPr>
              <w:t>4. Biased towards liquidity</w:t>
            </w:r>
          </w:p>
        </w:tc>
        <w:tc>
          <w:tcPr>
            <w:tcW w:w="4788" w:type="dxa"/>
          </w:tcPr>
          <w:p w14:paraId="62449B6C" w14:textId="77777777" w:rsidR="00DB6316" w:rsidRPr="00B617A6" w:rsidRDefault="00DB6316" w:rsidP="005451CD">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B617A6">
              <w:rPr>
                <w:rFonts w:ascii="Bookman Old Style" w:eastAsiaTheme="minorEastAsia" w:hAnsi="Bookman Old Style"/>
                <w:sz w:val="20"/>
              </w:rPr>
              <w:t>4. Biased against long-term projects, such as R&amp;D and new projects</w:t>
            </w:r>
          </w:p>
        </w:tc>
      </w:tr>
    </w:tbl>
    <w:p w14:paraId="0EA3D6FB" w14:textId="77777777" w:rsidR="00DB6316" w:rsidRDefault="00DB6316" w:rsidP="005451CD">
      <w:pPr>
        <w:spacing w:after="0" w:line="240" w:lineRule="auto"/>
        <w:jc w:val="both"/>
        <w:rPr>
          <w:rFonts w:ascii="Bookman Old Style" w:eastAsiaTheme="minorEastAsia" w:hAnsi="Bookman Old Style"/>
        </w:rPr>
      </w:pPr>
    </w:p>
    <w:p w14:paraId="48BCEB60" w14:textId="77777777" w:rsidR="00DB6316" w:rsidRDefault="00DB6316" w:rsidP="005451CD">
      <w:pPr>
        <w:spacing w:after="0" w:line="240" w:lineRule="auto"/>
        <w:jc w:val="both"/>
        <w:rPr>
          <w:rFonts w:ascii="Bookman Old Style" w:eastAsiaTheme="minorEastAsia" w:hAnsi="Bookman Old Style"/>
        </w:rPr>
      </w:pPr>
    </w:p>
    <w:p w14:paraId="6B8A3431" w14:textId="3925D298" w:rsidR="009C4033" w:rsidRDefault="009C4033" w:rsidP="005451CD">
      <w:pPr>
        <w:spacing w:after="0" w:line="240" w:lineRule="auto"/>
        <w:jc w:val="center"/>
        <w:rPr>
          <w:rFonts w:ascii="Bookman Old Style" w:eastAsiaTheme="minorEastAsia" w:hAnsi="Bookman Old Style"/>
          <w:b/>
          <w:u w:val="single"/>
        </w:rPr>
      </w:pPr>
      <w:r>
        <w:rPr>
          <w:rFonts w:ascii="Bookman Old Style" w:eastAsiaTheme="minorEastAsia" w:hAnsi="Bookman Old Style"/>
          <w:b/>
          <w:u w:val="single"/>
        </w:rPr>
        <w:t>THE AVERAGE ACCOUNTING RETURN</w:t>
      </w:r>
    </w:p>
    <w:p w14:paraId="3001339D" w14:textId="77777777" w:rsidR="009C4033" w:rsidRDefault="009C4033" w:rsidP="005451CD">
      <w:pPr>
        <w:spacing w:after="0" w:line="240" w:lineRule="auto"/>
        <w:jc w:val="center"/>
        <w:rPr>
          <w:rFonts w:ascii="Bookman Old Style" w:eastAsiaTheme="minorEastAsia" w:hAnsi="Bookman Old Style"/>
          <w:b/>
          <w:u w:val="single"/>
        </w:rPr>
      </w:pPr>
    </w:p>
    <w:p w14:paraId="7B0CF2C6" w14:textId="32D56B02" w:rsidR="009C4033" w:rsidRDefault="009C4033" w:rsidP="005451CD">
      <w:pPr>
        <w:spacing w:after="0" w:line="240" w:lineRule="auto"/>
        <w:jc w:val="both"/>
        <w:rPr>
          <w:rFonts w:ascii="Bookman Old Style" w:eastAsiaTheme="minorEastAsia" w:hAnsi="Bookman Old Style"/>
        </w:rPr>
      </w:pPr>
      <w:r>
        <w:rPr>
          <w:rFonts w:ascii="Bookman Old Style" w:eastAsiaTheme="minorEastAsia" w:hAnsi="Bookman Old Style"/>
        </w:rPr>
        <w:t xml:space="preserve">Another attractive but flawed approach to making capital budgeting decisions is the </w:t>
      </w:r>
      <w:r>
        <w:rPr>
          <w:rFonts w:ascii="Bookman Old Style" w:eastAsiaTheme="minorEastAsia" w:hAnsi="Bookman Old Style"/>
          <w:b/>
        </w:rPr>
        <w:t>average accounting return (AAR)</w:t>
      </w:r>
      <w:r>
        <w:rPr>
          <w:rFonts w:ascii="Bookman Old Style" w:eastAsiaTheme="minorEastAsia" w:hAnsi="Bookman Old Style"/>
        </w:rPr>
        <w:t xml:space="preserve"> – there are many different definitions of the AAR, but in one form or another, it’s always defined as:</w:t>
      </w:r>
    </w:p>
    <w:p w14:paraId="22F52D3E" w14:textId="77777777" w:rsidR="009C4033" w:rsidRDefault="009C4033" w:rsidP="005451CD">
      <w:pPr>
        <w:spacing w:after="0" w:line="240" w:lineRule="auto"/>
        <w:jc w:val="both"/>
        <w:rPr>
          <w:rFonts w:ascii="Bookman Old Style" w:eastAsiaTheme="minorEastAsia" w:hAnsi="Bookman Old Style"/>
        </w:rPr>
      </w:pPr>
    </w:p>
    <w:p w14:paraId="4076EA24" w14:textId="197BABFC" w:rsidR="009C4033" w:rsidRPr="009C4033" w:rsidRDefault="000E0536" w:rsidP="005451CD">
      <w:pPr>
        <w:spacing w:after="0" w:line="240" w:lineRule="auto"/>
        <w:jc w:val="both"/>
        <w:rPr>
          <w:rFonts w:ascii="Bookman Old Style" w:eastAsiaTheme="minorEastAsia" w:hAnsi="Bookman Old Style"/>
        </w:rPr>
      </w:pPr>
      <m:oMathPara>
        <m:oMath>
          <m:f>
            <m:fPr>
              <m:ctrlPr>
                <w:rPr>
                  <w:rFonts w:ascii="Cambria Math" w:eastAsiaTheme="minorEastAsia" w:hAnsi="Cambria Math"/>
                  <w:i/>
                </w:rPr>
              </m:ctrlPr>
            </m:fPr>
            <m:num>
              <m:r>
                <w:rPr>
                  <w:rFonts w:ascii="Cambria Math" w:eastAsiaTheme="minorEastAsia" w:hAnsi="Cambria Math"/>
                </w:rPr>
                <m:t>Some measure of average accounting profit</m:t>
              </m:r>
            </m:num>
            <m:den>
              <m:r>
                <w:rPr>
                  <w:rFonts w:ascii="Cambria Math" w:eastAsiaTheme="minorEastAsia" w:hAnsi="Cambria Math"/>
                </w:rPr>
                <m:t>Some measure of average accounting value</m:t>
              </m:r>
            </m:den>
          </m:f>
        </m:oMath>
      </m:oMathPara>
    </w:p>
    <w:p w14:paraId="625EC812" w14:textId="77777777" w:rsidR="009C4033" w:rsidRDefault="009C4033" w:rsidP="005451CD">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9C4033" w14:paraId="72FCC570" w14:textId="77777777" w:rsidTr="009C4033">
        <w:tc>
          <w:tcPr>
            <w:tcW w:w="9576" w:type="dxa"/>
          </w:tcPr>
          <w:p w14:paraId="3E8A74C0" w14:textId="77777777" w:rsidR="009C4033" w:rsidRDefault="009C4033" w:rsidP="005451CD">
            <w:pPr>
              <w:jc w:val="both"/>
              <w:rPr>
                <w:rFonts w:ascii="Bookman Old Style" w:eastAsiaTheme="minorEastAsia" w:hAnsi="Bookman Old Style"/>
                <w:b/>
              </w:rPr>
            </w:pPr>
          </w:p>
          <w:p w14:paraId="002308FF" w14:textId="77777777" w:rsidR="009C4033" w:rsidRDefault="009C4033" w:rsidP="005451CD">
            <w:pPr>
              <w:jc w:val="both"/>
              <w:rPr>
                <w:rFonts w:ascii="Bookman Old Style" w:eastAsiaTheme="minorEastAsia" w:hAnsi="Bookman Old Style"/>
              </w:rPr>
            </w:pPr>
            <w:r>
              <w:rPr>
                <w:rFonts w:ascii="Bookman Old Style" w:eastAsiaTheme="minorEastAsia" w:hAnsi="Bookman Old Style"/>
                <w:b/>
              </w:rPr>
              <w:t>Average Account Return (AAR)</w:t>
            </w:r>
            <w:r>
              <w:rPr>
                <w:rFonts w:ascii="Bookman Old Style" w:eastAsiaTheme="minorEastAsia" w:hAnsi="Bookman Old Style"/>
              </w:rPr>
              <w:t xml:space="preserve"> – An investment’s average net income divided by its average book value.</w:t>
            </w:r>
          </w:p>
          <w:p w14:paraId="63A60438" w14:textId="26B17004" w:rsidR="009C4033" w:rsidRPr="009C4033" w:rsidRDefault="009C4033" w:rsidP="005451CD">
            <w:pPr>
              <w:jc w:val="both"/>
              <w:rPr>
                <w:rFonts w:ascii="Bookman Old Style" w:eastAsiaTheme="minorEastAsia" w:hAnsi="Bookman Old Style"/>
              </w:rPr>
            </w:pPr>
          </w:p>
        </w:tc>
      </w:tr>
    </w:tbl>
    <w:p w14:paraId="692E32E1" w14:textId="77777777" w:rsidR="009C4033" w:rsidRDefault="009C4033" w:rsidP="005451CD">
      <w:pPr>
        <w:spacing w:after="0" w:line="240" w:lineRule="auto"/>
        <w:jc w:val="both"/>
        <w:rPr>
          <w:rFonts w:ascii="Bookman Old Style" w:eastAsiaTheme="minorEastAsia" w:hAnsi="Bookman Old Style"/>
        </w:rPr>
      </w:pPr>
    </w:p>
    <w:p w14:paraId="5B1CD34F" w14:textId="7BF4852C" w:rsidR="009C4033" w:rsidRDefault="009C4033" w:rsidP="005451CD">
      <w:pPr>
        <w:spacing w:after="0" w:line="240" w:lineRule="auto"/>
        <w:jc w:val="both"/>
        <w:rPr>
          <w:rFonts w:ascii="Bookman Old Style" w:eastAsiaTheme="minorEastAsia" w:hAnsi="Bookman Old Style"/>
        </w:rPr>
      </w:pPr>
      <w:r>
        <w:rPr>
          <w:rFonts w:ascii="Bookman Old Style" w:eastAsiaTheme="minorEastAsia" w:hAnsi="Bookman Old Style"/>
        </w:rPr>
        <w:t>The specific definition that we always use is:</w:t>
      </w:r>
    </w:p>
    <w:p w14:paraId="44654428" w14:textId="77777777" w:rsidR="009C4033" w:rsidRDefault="009C4033" w:rsidP="005451CD">
      <w:pPr>
        <w:spacing w:after="0" w:line="240" w:lineRule="auto"/>
        <w:jc w:val="both"/>
        <w:rPr>
          <w:rFonts w:ascii="Bookman Old Style" w:eastAsiaTheme="minorEastAsia" w:hAnsi="Bookman Old Style"/>
        </w:rPr>
      </w:pPr>
    </w:p>
    <w:p w14:paraId="6EA5F699" w14:textId="5F509EB4" w:rsidR="009C4033" w:rsidRPr="009C4033" w:rsidRDefault="000E0536" w:rsidP="005451CD">
      <w:pPr>
        <w:spacing w:after="0" w:line="240" w:lineRule="auto"/>
        <w:jc w:val="both"/>
        <w:rPr>
          <w:rFonts w:ascii="Bookman Old Style" w:eastAsiaTheme="minorEastAsia" w:hAnsi="Bookman Old Style"/>
        </w:rPr>
      </w:pPr>
      <m:oMathPara>
        <m:oMath>
          <m:f>
            <m:fPr>
              <m:ctrlPr>
                <w:rPr>
                  <w:rFonts w:ascii="Cambria Math" w:eastAsiaTheme="minorEastAsia" w:hAnsi="Cambria Math"/>
                  <w:i/>
                </w:rPr>
              </m:ctrlPr>
            </m:fPr>
            <m:num>
              <m:r>
                <w:rPr>
                  <w:rFonts w:ascii="Cambria Math" w:eastAsiaTheme="minorEastAsia" w:hAnsi="Cambria Math"/>
                </w:rPr>
                <m:t>Average net income</m:t>
              </m:r>
            </m:num>
            <m:den>
              <m:r>
                <w:rPr>
                  <w:rFonts w:ascii="Cambria Math" w:eastAsiaTheme="minorEastAsia" w:hAnsi="Cambria Math"/>
                </w:rPr>
                <m:t>Average book value</m:t>
              </m:r>
            </m:den>
          </m:f>
        </m:oMath>
      </m:oMathPara>
    </w:p>
    <w:p w14:paraId="23468AC4" w14:textId="77777777" w:rsidR="009C4033" w:rsidRDefault="009C4033" w:rsidP="005451CD">
      <w:pPr>
        <w:spacing w:after="0" w:line="240" w:lineRule="auto"/>
        <w:jc w:val="both"/>
        <w:rPr>
          <w:rFonts w:ascii="Bookman Old Style" w:eastAsiaTheme="minorEastAsia" w:hAnsi="Bookman Old Style"/>
        </w:rPr>
      </w:pPr>
    </w:p>
    <w:p w14:paraId="644641CA" w14:textId="7656D23F" w:rsidR="009C4033" w:rsidRDefault="009C4033" w:rsidP="005451CD">
      <w:pPr>
        <w:spacing w:after="0" w:line="240" w:lineRule="auto"/>
        <w:jc w:val="both"/>
        <w:rPr>
          <w:rFonts w:ascii="Bookman Old Style" w:eastAsiaTheme="minorEastAsia" w:hAnsi="Bookman Old Style"/>
          <w:u w:val="single"/>
        </w:rPr>
      </w:pPr>
      <w:r>
        <w:rPr>
          <w:rFonts w:ascii="Bookman Old Style" w:eastAsiaTheme="minorEastAsia" w:hAnsi="Bookman Old Style"/>
          <w:i/>
          <w:u w:val="single"/>
        </w:rPr>
        <w:lastRenderedPageBreak/>
        <w:t>Ex.:</w:t>
      </w:r>
    </w:p>
    <w:p w14:paraId="7BCCC25B" w14:textId="522E9BDD" w:rsidR="009C4033" w:rsidRDefault="009C4033" w:rsidP="005451CD">
      <w:pPr>
        <w:spacing w:after="0" w:line="240" w:lineRule="auto"/>
        <w:jc w:val="both"/>
        <w:rPr>
          <w:rFonts w:ascii="Bookman Old Style" w:eastAsiaTheme="minorEastAsia" w:hAnsi="Bookman Old Style"/>
        </w:rPr>
      </w:pPr>
      <w:r w:rsidRPr="009C4033">
        <w:rPr>
          <w:rFonts w:ascii="Bookman Old Style" w:eastAsiaTheme="minorEastAsia" w:hAnsi="Bookman Old Style"/>
        </w:rPr>
        <w:t xml:space="preserve">Suppose </w:t>
      </w:r>
      <w:r>
        <w:rPr>
          <w:rFonts w:ascii="Bookman Old Style" w:eastAsiaTheme="minorEastAsia" w:hAnsi="Bookman Old Style"/>
        </w:rPr>
        <w:t>we’re deciding whether to open a store in a new shopping mall – the investment requires $500,000 in improvements. The store would have a 5-year life because everything reverts to the mall owners after that time.</w:t>
      </w:r>
    </w:p>
    <w:p w14:paraId="75F4FA2E" w14:textId="77777777" w:rsidR="009C4033" w:rsidRDefault="009C4033" w:rsidP="005451CD">
      <w:pPr>
        <w:spacing w:after="0" w:line="240" w:lineRule="auto"/>
        <w:jc w:val="both"/>
        <w:rPr>
          <w:rFonts w:ascii="Bookman Old Style" w:eastAsiaTheme="minorEastAsia" w:hAnsi="Bookman Old Style"/>
        </w:rPr>
      </w:pPr>
    </w:p>
    <w:p w14:paraId="611E4F84" w14:textId="1E83D42F" w:rsidR="009C4033" w:rsidRDefault="009C4033" w:rsidP="005451CD">
      <w:pPr>
        <w:spacing w:after="0" w:line="240" w:lineRule="auto"/>
        <w:jc w:val="both"/>
        <w:rPr>
          <w:rFonts w:ascii="Bookman Old Style" w:eastAsiaTheme="minorEastAsia" w:hAnsi="Bookman Old Style"/>
        </w:rPr>
      </w:pPr>
      <w:r>
        <w:rPr>
          <w:rFonts w:ascii="Bookman Old Style" w:eastAsiaTheme="minorEastAsia" w:hAnsi="Bookman Old Style"/>
        </w:rPr>
        <w:t>The required investment would be 100% depreciated (straight-line) over 5 years, so the depreciation would be $500,000/5 = $100,000 per year.</w:t>
      </w:r>
    </w:p>
    <w:p w14:paraId="0E48EB9E" w14:textId="77777777" w:rsidR="009C4033" w:rsidRDefault="009C4033" w:rsidP="005451CD">
      <w:pPr>
        <w:spacing w:after="0" w:line="240" w:lineRule="auto"/>
        <w:jc w:val="both"/>
        <w:rPr>
          <w:rFonts w:ascii="Bookman Old Style" w:eastAsiaTheme="minorEastAsia" w:hAnsi="Bookman Old Style"/>
        </w:rPr>
      </w:pPr>
    </w:p>
    <w:p w14:paraId="50755E90" w14:textId="77777777" w:rsidR="0089276B" w:rsidRDefault="009C4033" w:rsidP="005451CD">
      <w:pPr>
        <w:spacing w:after="0" w:line="240" w:lineRule="auto"/>
        <w:jc w:val="both"/>
        <w:rPr>
          <w:rFonts w:ascii="Bookman Old Style" w:eastAsiaTheme="minorEastAsia" w:hAnsi="Bookman Old Style"/>
        </w:rPr>
      </w:pPr>
      <w:r>
        <w:rPr>
          <w:rFonts w:ascii="Bookman Old Style" w:eastAsiaTheme="minorEastAsia" w:hAnsi="Bookman Old Style"/>
        </w:rPr>
        <w:t>The tax rate for this small business is 25%</w:t>
      </w:r>
      <w:r w:rsidR="0089276B">
        <w:rPr>
          <w:rFonts w:ascii="Bookman Old Style" w:eastAsiaTheme="minorEastAsia" w:hAnsi="Bookman Old Style"/>
        </w:rPr>
        <w:t xml:space="preserve">. </w:t>
      </w:r>
    </w:p>
    <w:p w14:paraId="0552B94B" w14:textId="77777777" w:rsidR="001E3ECC" w:rsidRDefault="001E3ECC" w:rsidP="005451CD">
      <w:pPr>
        <w:spacing w:after="0" w:line="240" w:lineRule="auto"/>
        <w:jc w:val="both"/>
        <w:rPr>
          <w:rFonts w:ascii="Bookman Old Style" w:eastAsiaTheme="minorEastAsia" w:hAnsi="Bookman Old Style"/>
        </w:rPr>
      </w:pPr>
    </w:p>
    <w:p w14:paraId="4AD19B8C" w14:textId="77777777" w:rsidR="001E3ECC" w:rsidRPr="009C4033" w:rsidRDefault="001E3ECC" w:rsidP="005451CD">
      <w:pPr>
        <w:spacing w:after="0" w:line="240" w:lineRule="auto"/>
        <w:jc w:val="both"/>
        <w:rPr>
          <w:rFonts w:ascii="Bookman Old Style" w:eastAsiaTheme="minorEastAsia" w:hAnsi="Bookman Old Style"/>
        </w:rPr>
      </w:pPr>
      <w:r>
        <w:rPr>
          <w:rFonts w:ascii="Bookman Old Style" w:eastAsiaTheme="minorEastAsia" w:hAnsi="Bookman Old Style"/>
        </w:rPr>
        <w:t>The table below contains the projected revenues and expenses – based on these figures; net income in each year is also shown.</w:t>
      </w:r>
    </w:p>
    <w:p w14:paraId="519B3874" w14:textId="77777777" w:rsidR="001E3ECC" w:rsidRDefault="001E3ECC" w:rsidP="005451CD">
      <w:pPr>
        <w:spacing w:after="0" w:line="240" w:lineRule="auto"/>
        <w:jc w:val="both"/>
        <w:rPr>
          <w:rFonts w:ascii="Bookman Old Style" w:eastAsiaTheme="minorEastAsia" w:hAnsi="Bookman Old Style"/>
        </w:rPr>
      </w:pPr>
    </w:p>
    <w:p w14:paraId="0869C2DA" w14:textId="77777777" w:rsidR="0089276B" w:rsidRDefault="0089276B" w:rsidP="005451CD">
      <w:pPr>
        <w:spacing w:after="0" w:line="240" w:lineRule="auto"/>
        <w:jc w:val="both"/>
        <w:rPr>
          <w:rFonts w:ascii="Bookman Old Style" w:eastAsiaTheme="minorEastAsia" w:hAnsi="Bookman Old Style"/>
        </w:rPr>
      </w:pPr>
    </w:p>
    <w:tbl>
      <w:tblPr>
        <w:tblStyle w:val="TableGrid"/>
        <w:tblW w:w="0" w:type="auto"/>
        <w:tblLook w:val="04A0" w:firstRow="1" w:lastRow="0" w:firstColumn="1" w:lastColumn="0" w:noHBand="0" w:noVBand="1"/>
      </w:tblPr>
      <w:tblGrid>
        <w:gridCol w:w="2631"/>
        <w:gridCol w:w="630"/>
        <w:gridCol w:w="1304"/>
        <w:gridCol w:w="180"/>
        <w:gridCol w:w="1060"/>
        <w:gridCol w:w="534"/>
        <w:gridCol w:w="706"/>
        <w:gridCol w:w="1149"/>
        <w:gridCol w:w="1382"/>
      </w:tblGrid>
      <w:tr w:rsidR="0089276B" w14:paraId="05FE979A" w14:textId="77777777" w:rsidTr="001E3ECC">
        <w:tc>
          <w:tcPr>
            <w:tcW w:w="9576" w:type="dxa"/>
            <w:gridSpan w:val="9"/>
            <w:tcBorders>
              <w:bottom w:val="nil"/>
            </w:tcBorders>
          </w:tcPr>
          <w:p w14:paraId="3D01B80D" w14:textId="25E411DA" w:rsidR="0089276B" w:rsidRDefault="0089276B" w:rsidP="005451CD">
            <w:pPr>
              <w:jc w:val="center"/>
              <w:rPr>
                <w:rFonts w:ascii="Bookman Old Style" w:eastAsiaTheme="minorEastAsia" w:hAnsi="Bookman Old Style"/>
              </w:rPr>
            </w:pPr>
            <w:r>
              <w:rPr>
                <w:rFonts w:ascii="Bookman Old Style" w:eastAsiaTheme="minorEastAsia" w:hAnsi="Bookman Old Style"/>
                <w:i/>
              </w:rPr>
              <w:t xml:space="preserve">Projected Yearly Revenue &amp; Costs for </w:t>
            </w:r>
            <w:proofErr w:type="spellStart"/>
            <w:r>
              <w:rPr>
                <w:rFonts w:ascii="Bookman Old Style" w:eastAsiaTheme="minorEastAsia" w:hAnsi="Bookman Old Style"/>
                <w:i/>
              </w:rPr>
              <w:t>Avg</w:t>
            </w:r>
            <w:proofErr w:type="spellEnd"/>
            <w:r>
              <w:rPr>
                <w:rFonts w:ascii="Bookman Old Style" w:eastAsiaTheme="minorEastAsia" w:hAnsi="Bookman Old Style"/>
                <w:i/>
              </w:rPr>
              <w:t xml:space="preserve"> Accounting Return</w:t>
            </w:r>
          </w:p>
        </w:tc>
      </w:tr>
      <w:tr w:rsidR="001E3ECC" w14:paraId="0B044186" w14:textId="77777777" w:rsidTr="001E3ECC">
        <w:tc>
          <w:tcPr>
            <w:tcW w:w="3300" w:type="dxa"/>
            <w:gridSpan w:val="2"/>
            <w:tcBorders>
              <w:top w:val="nil"/>
              <w:bottom w:val="single" w:sz="4" w:space="0" w:color="auto"/>
              <w:right w:val="nil"/>
            </w:tcBorders>
          </w:tcPr>
          <w:p w14:paraId="130AB05C" w14:textId="77777777" w:rsidR="0089276B" w:rsidRDefault="0089276B" w:rsidP="005451CD">
            <w:pPr>
              <w:jc w:val="both"/>
              <w:rPr>
                <w:rFonts w:ascii="Bookman Old Style" w:eastAsiaTheme="minorEastAsia" w:hAnsi="Bookman Old Style"/>
              </w:rPr>
            </w:pPr>
          </w:p>
        </w:tc>
        <w:tc>
          <w:tcPr>
            <w:tcW w:w="1308" w:type="dxa"/>
            <w:tcBorders>
              <w:top w:val="nil"/>
              <w:left w:val="nil"/>
              <w:bottom w:val="single" w:sz="4" w:space="0" w:color="auto"/>
              <w:right w:val="nil"/>
            </w:tcBorders>
          </w:tcPr>
          <w:p w14:paraId="1C1C82DB" w14:textId="2CEF0A90" w:rsidR="0089276B" w:rsidRDefault="0089276B" w:rsidP="005451CD">
            <w:pPr>
              <w:jc w:val="center"/>
              <w:rPr>
                <w:rFonts w:ascii="Bookman Old Style" w:eastAsiaTheme="minorEastAsia" w:hAnsi="Bookman Old Style"/>
              </w:rPr>
            </w:pPr>
            <w:r>
              <w:rPr>
                <w:rFonts w:ascii="Bookman Old Style" w:eastAsiaTheme="minorEastAsia" w:hAnsi="Bookman Old Style"/>
              </w:rPr>
              <w:t>Year 1</w:t>
            </w:r>
          </w:p>
        </w:tc>
        <w:tc>
          <w:tcPr>
            <w:tcW w:w="1242" w:type="dxa"/>
            <w:gridSpan w:val="2"/>
            <w:tcBorders>
              <w:top w:val="nil"/>
              <w:left w:val="nil"/>
              <w:bottom w:val="single" w:sz="4" w:space="0" w:color="auto"/>
              <w:right w:val="nil"/>
            </w:tcBorders>
          </w:tcPr>
          <w:p w14:paraId="0CD4BF56" w14:textId="6974FEB1" w:rsidR="0089276B" w:rsidRDefault="0089276B" w:rsidP="005451CD">
            <w:pPr>
              <w:jc w:val="center"/>
              <w:rPr>
                <w:rFonts w:ascii="Bookman Old Style" w:eastAsiaTheme="minorEastAsia" w:hAnsi="Bookman Old Style"/>
              </w:rPr>
            </w:pPr>
            <w:r>
              <w:rPr>
                <w:rFonts w:ascii="Bookman Old Style" w:eastAsiaTheme="minorEastAsia" w:hAnsi="Bookman Old Style"/>
              </w:rPr>
              <w:t>Year 2</w:t>
            </w:r>
          </w:p>
        </w:tc>
        <w:tc>
          <w:tcPr>
            <w:tcW w:w="1242" w:type="dxa"/>
            <w:gridSpan w:val="2"/>
            <w:tcBorders>
              <w:top w:val="nil"/>
              <w:left w:val="nil"/>
              <w:bottom w:val="single" w:sz="4" w:space="0" w:color="auto"/>
              <w:right w:val="nil"/>
            </w:tcBorders>
          </w:tcPr>
          <w:p w14:paraId="58BD0D6C" w14:textId="7CFC0697" w:rsidR="0089276B" w:rsidRDefault="0089276B" w:rsidP="005451CD">
            <w:pPr>
              <w:jc w:val="center"/>
              <w:rPr>
                <w:rFonts w:ascii="Bookman Old Style" w:eastAsiaTheme="minorEastAsia" w:hAnsi="Bookman Old Style"/>
              </w:rPr>
            </w:pPr>
            <w:r>
              <w:rPr>
                <w:rFonts w:ascii="Bookman Old Style" w:eastAsiaTheme="minorEastAsia" w:hAnsi="Bookman Old Style"/>
              </w:rPr>
              <w:t>Year 3</w:t>
            </w:r>
          </w:p>
        </w:tc>
        <w:tc>
          <w:tcPr>
            <w:tcW w:w="1096" w:type="dxa"/>
            <w:tcBorders>
              <w:top w:val="nil"/>
              <w:left w:val="nil"/>
              <w:bottom w:val="single" w:sz="4" w:space="0" w:color="auto"/>
              <w:right w:val="nil"/>
            </w:tcBorders>
          </w:tcPr>
          <w:p w14:paraId="67B8D780" w14:textId="6B95CF94" w:rsidR="0089276B" w:rsidRDefault="0089276B" w:rsidP="005451CD">
            <w:pPr>
              <w:jc w:val="center"/>
              <w:rPr>
                <w:rFonts w:ascii="Bookman Old Style" w:eastAsiaTheme="minorEastAsia" w:hAnsi="Bookman Old Style"/>
              </w:rPr>
            </w:pPr>
            <w:r>
              <w:rPr>
                <w:rFonts w:ascii="Bookman Old Style" w:eastAsiaTheme="minorEastAsia" w:hAnsi="Bookman Old Style"/>
              </w:rPr>
              <w:t>Year 4</w:t>
            </w:r>
          </w:p>
        </w:tc>
        <w:tc>
          <w:tcPr>
            <w:tcW w:w="1388" w:type="dxa"/>
            <w:tcBorders>
              <w:top w:val="nil"/>
              <w:left w:val="nil"/>
              <w:bottom w:val="single" w:sz="4" w:space="0" w:color="auto"/>
            </w:tcBorders>
          </w:tcPr>
          <w:p w14:paraId="39303F96" w14:textId="6D49635D" w:rsidR="0089276B" w:rsidRDefault="0089276B" w:rsidP="005451CD">
            <w:pPr>
              <w:jc w:val="center"/>
              <w:rPr>
                <w:rFonts w:ascii="Bookman Old Style" w:eastAsiaTheme="minorEastAsia" w:hAnsi="Bookman Old Style"/>
              </w:rPr>
            </w:pPr>
            <w:r>
              <w:rPr>
                <w:rFonts w:ascii="Bookman Old Style" w:eastAsiaTheme="minorEastAsia" w:hAnsi="Bookman Old Style"/>
              </w:rPr>
              <w:t>Year 5</w:t>
            </w:r>
          </w:p>
        </w:tc>
      </w:tr>
      <w:tr w:rsidR="001E3ECC" w14:paraId="362FCFEC" w14:textId="77777777" w:rsidTr="001E3ECC">
        <w:tc>
          <w:tcPr>
            <w:tcW w:w="3300" w:type="dxa"/>
            <w:gridSpan w:val="2"/>
            <w:tcBorders>
              <w:bottom w:val="nil"/>
              <w:right w:val="nil"/>
            </w:tcBorders>
          </w:tcPr>
          <w:p w14:paraId="3D5277F7" w14:textId="3375D7B4" w:rsidR="0089276B" w:rsidRPr="001E3ECC" w:rsidRDefault="0089276B" w:rsidP="005451CD">
            <w:pPr>
              <w:rPr>
                <w:rFonts w:ascii="Bookman Old Style" w:eastAsiaTheme="minorEastAsia" w:hAnsi="Bookman Old Style"/>
                <w:sz w:val="20"/>
              </w:rPr>
            </w:pPr>
            <w:r w:rsidRPr="001E3ECC">
              <w:rPr>
                <w:rFonts w:ascii="Bookman Old Style" w:eastAsiaTheme="minorEastAsia" w:hAnsi="Bookman Old Style"/>
                <w:sz w:val="20"/>
              </w:rPr>
              <w:t>Revenue</w:t>
            </w:r>
          </w:p>
        </w:tc>
        <w:tc>
          <w:tcPr>
            <w:tcW w:w="1308" w:type="dxa"/>
            <w:tcBorders>
              <w:left w:val="nil"/>
              <w:bottom w:val="nil"/>
              <w:right w:val="nil"/>
            </w:tcBorders>
          </w:tcPr>
          <w:p w14:paraId="1FD100BF" w14:textId="4AE0E40A" w:rsidR="0089276B" w:rsidRPr="001E3ECC" w:rsidRDefault="0089276B" w:rsidP="005451CD">
            <w:pPr>
              <w:jc w:val="right"/>
              <w:rPr>
                <w:rFonts w:ascii="Bookman Old Style" w:eastAsiaTheme="minorEastAsia" w:hAnsi="Bookman Old Style"/>
                <w:sz w:val="20"/>
              </w:rPr>
            </w:pPr>
            <w:r w:rsidRPr="001E3ECC">
              <w:rPr>
                <w:rFonts w:ascii="Bookman Old Style" w:eastAsiaTheme="minorEastAsia" w:hAnsi="Bookman Old Style"/>
                <w:sz w:val="20"/>
              </w:rPr>
              <w:t>$433,333</w:t>
            </w:r>
          </w:p>
        </w:tc>
        <w:tc>
          <w:tcPr>
            <w:tcW w:w="1242" w:type="dxa"/>
            <w:gridSpan w:val="2"/>
            <w:tcBorders>
              <w:left w:val="nil"/>
              <w:bottom w:val="nil"/>
              <w:right w:val="nil"/>
            </w:tcBorders>
          </w:tcPr>
          <w:p w14:paraId="301653D6" w14:textId="309930B2" w:rsidR="0089276B" w:rsidRPr="001E3ECC" w:rsidRDefault="0089276B" w:rsidP="005451CD">
            <w:pPr>
              <w:jc w:val="right"/>
              <w:rPr>
                <w:rFonts w:ascii="Bookman Old Style" w:eastAsiaTheme="minorEastAsia" w:hAnsi="Bookman Old Style"/>
                <w:sz w:val="20"/>
              </w:rPr>
            </w:pPr>
            <w:r w:rsidRPr="001E3ECC">
              <w:rPr>
                <w:rFonts w:ascii="Bookman Old Style" w:eastAsiaTheme="minorEastAsia" w:hAnsi="Bookman Old Style"/>
                <w:sz w:val="20"/>
              </w:rPr>
              <w:t>$450,000</w:t>
            </w:r>
          </w:p>
        </w:tc>
        <w:tc>
          <w:tcPr>
            <w:tcW w:w="1242" w:type="dxa"/>
            <w:gridSpan w:val="2"/>
            <w:tcBorders>
              <w:left w:val="nil"/>
              <w:bottom w:val="nil"/>
              <w:right w:val="nil"/>
            </w:tcBorders>
          </w:tcPr>
          <w:p w14:paraId="639B1846" w14:textId="7FEDE710" w:rsidR="0089276B" w:rsidRPr="001E3ECC" w:rsidRDefault="0089276B" w:rsidP="005451CD">
            <w:pPr>
              <w:jc w:val="right"/>
              <w:rPr>
                <w:rFonts w:ascii="Bookman Old Style" w:eastAsiaTheme="minorEastAsia" w:hAnsi="Bookman Old Style"/>
                <w:sz w:val="20"/>
              </w:rPr>
            </w:pPr>
            <w:r w:rsidRPr="001E3ECC">
              <w:rPr>
                <w:rFonts w:ascii="Bookman Old Style" w:eastAsiaTheme="minorEastAsia" w:hAnsi="Bookman Old Style"/>
                <w:sz w:val="20"/>
              </w:rPr>
              <w:t>$266,667</w:t>
            </w:r>
          </w:p>
        </w:tc>
        <w:tc>
          <w:tcPr>
            <w:tcW w:w="1096" w:type="dxa"/>
            <w:tcBorders>
              <w:left w:val="nil"/>
              <w:bottom w:val="nil"/>
              <w:right w:val="nil"/>
            </w:tcBorders>
          </w:tcPr>
          <w:p w14:paraId="4FFF25F9" w14:textId="64C65F2D" w:rsidR="0089276B" w:rsidRPr="001E3ECC" w:rsidRDefault="0089276B" w:rsidP="005451CD">
            <w:pPr>
              <w:jc w:val="right"/>
              <w:rPr>
                <w:rFonts w:ascii="Bookman Old Style" w:eastAsiaTheme="minorEastAsia" w:hAnsi="Bookman Old Style"/>
                <w:sz w:val="20"/>
              </w:rPr>
            </w:pPr>
            <w:r w:rsidRPr="001E3ECC">
              <w:rPr>
                <w:rFonts w:ascii="Bookman Old Style" w:eastAsiaTheme="minorEastAsia" w:hAnsi="Bookman Old Style"/>
                <w:sz w:val="20"/>
              </w:rPr>
              <w:t>$200,000</w:t>
            </w:r>
          </w:p>
        </w:tc>
        <w:tc>
          <w:tcPr>
            <w:tcW w:w="1388" w:type="dxa"/>
            <w:tcBorders>
              <w:left w:val="nil"/>
              <w:bottom w:val="nil"/>
            </w:tcBorders>
          </w:tcPr>
          <w:p w14:paraId="0A60948E" w14:textId="293E1FAF" w:rsidR="0089276B" w:rsidRPr="001E3ECC" w:rsidRDefault="0089276B" w:rsidP="005451CD">
            <w:pPr>
              <w:jc w:val="right"/>
              <w:rPr>
                <w:rFonts w:ascii="Bookman Old Style" w:eastAsiaTheme="minorEastAsia" w:hAnsi="Bookman Old Style"/>
                <w:sz w:val="20"/>
              </w:rPr>
            </w:pPr>
            <w:r w:rsidRPr="001E3ECC">
              <w:rPr>
                <w:rFonts w:ascii="Bookman Old Style" w:eastAsiaTheme="minorEastAsia" w:hAnsi="Bookman Old Style"/>
                <w:sz w:val="20"/>
              </w:rPr>
              <w:t>$133,333</w:t>
            </w:r>
          </w:p>
        </w:tc>
      </w:tr>
      <w:tr w:rsidR="001E3ECC" w14:paraId="1897C56B" w14:textId="77777777" w:rsidTr="001E3ECC">
        <w:tc>
          <w:tcPr>
            <w:tcW w:w="3300" w:type="dxa"/>
            <w:gridSpan w:val="2"/>
            <w:tcBorders>
              <w:top w:val="nil"/>
              <w:bottom w:val="nil"/>
              <w:right w:val="nil"/>
            </w:tcBorders>
          </w:tcPr>
          <w:p w14:paraId="63485D62" w14:textId="4F524A59" w:rsidR="0089276B" w:rsidRPr="001E3ECC" w:rsidRDefault="0089276B" w:rsidP="005451CD">
            <w:pPr>
              <w:rPr>
                <w:rFonts w:ascii="Bookman Old Style" w:eastAsiaTheme="minorEastAsia" w:hAnsi="Bookman Old Style"/>
                <w:sz w:val="20"/>
              </w:rPr>
            </w:pPr>
            <w:r w:rsidRPr="001E3ECC">
              <w:rPr>
                <w:rFonts w:ascii="Bookman Old Style" w:eastAsiaTheme="minorEastAsia" w:hAnsi="Bookman Old Style"/>
                <w:sz w:val="20"/>
              </w:rPr>
              <w:t>Expenses</w:t>
            </w:r>
          </w:p>
        </w:tc>
        <w:tc>
          <w:tcPr>
            <w:tcW w:w="1308" w:type="dxa"/>
            <w:tcBorders>
              <w:top w:val="nil"/>
              <w:left w:val="nil"/>
              <w:bottom w:val="nil"/>
              <w:right w:val="nil"/>
            </w:tcBorders>
          </w:tcPr>
          <w:p w14:paraId="6A3371D5" w14:textId="22FB2701" w:rsidR="0089276B" w:rsidRPr="001E3ECC" w:rsidRDefault="0089276B" w:rsidP="005451CD">
            <w:pPr>
              <w:jc w:val="right"/>
              <w:rPr>
                <w:rFonts w:ascii="Bookman Old Style" w:eastAsiaTheme="minorEastAsia" w:hAnsi="Bookman Old Style"/>
                <w:sz w:val="20"/>
                <w:u w:val="single"/>
              </w:rPr>
            </w:pPr>
            <w:r w:rsidRPr="001E3ECC">
              <w:rPr>
                <w:rFonts w:ascii="Bookman Old Style" w:eastAsiaTheme="minorEastAsia" w:hAnsi="Bookman Old Style"/>
                <w:sz w:val="20"/>
                <w:u w:val="single"/>
              </w:rPr>
              <w:t>200,000</w:t>
            </w:r>
          </w:p>
        </w:tc>
        <w:tc>
          <w:tcPr>
            <w:tcW w:w="1242" w:type="dxa"/>
            <w:gridSpan w:val="2"/>
            <w:tcBorders>
              <w:top w:val="nil"/>
              <w:left w:val="nil"/>
              <w:bottom w:val="nil"/>
              <w:right w:val="nil"/>
            </w:tcBorders>
          </w:tcPr>
          <w:p w14:paraId="52A2F489" w14:textId="18140FB5" w:rsidR="0089276B" w:rsidRPr="001E3ECC" w:rsidRDefault="0089276B" w:rsidP="005451CD">
            <w:pPr>
              <w:jc w:val="right"/>
              <w:rPr>
                <w:rFonts w:ascii="Bookman Old Style" w:eastAsiaTheme="minorEastAsia" w:hAnsi="Bookman Old Style"/>
                <w:sz w:val="20"/>
                <w:u w:val="single"/>
              </w:rPr>
            </w:pPr>
            <w:r w:rsidRPr="001E3ECC">
              <w:rPr>
                <w:rFonts w:ascii="Bookman Old Style" w:eastAsiaTheme="minorEastAsia" w:hAnsi="Bookman Old Style"/>
                <w:sz w:val="20"/>
                <w:u w:val="single"/>
              </w:rPr>
              <w:t>150,000</w:t>
            </w:r>
          </w:p>
        </w:tc>
        <w:tc>
          <w:tcPr>
            <w:tcW w:w="1242" w:type="dxa"/>
            <w:gridSpan w:val="2"/>
            <w:tcBorders>
              <w:top w:val="nil"/>
              <w:left w:val="nil"/>
              <w:bottom w:val="nil"/>
              <w:right w:val="nil"/>
            </w:tcBorders>
          </w:tcPr>
          <w:p w14:paraId="508C04C9" w14:textId="54AB4B06" w:rsidR="0089276B" w:rsidRPr="001E3ECC" w:rsidRDefault="0089276B" w:rsidP="005451CD">
            <w:pPr>
              <w:jc w:val="right"/>
              <w:rPr>
                <w:rFonts w:ascii="Bookman Old Style" w:eastAsiaTheme="minorEastAsia" w:hAnsi="Bookman Old Style"/>
                <w:sz w:val="20"/>
                <w:u w:val="single"/>
              </w:rPr>
            </w:pPr>
            <w:r w:rsidRPr="001E3ECC">
              <w:rPr>
                <w:rFonts w:ascii="Bookman Old Style" w:eastAsiaTheme="minorEastAsia" w:hAnsi="Bookman Old Style"/>
                <w:sz w:val="20"/>
                <w:u w:val="single"/>
              </w:rPr>
              <w:t>100,000</w:t>
            </w:r>
          </w:p>
        </w:tc>
        <w:tc>
          <w:tcPr>
            <w:tcW w:w="1096" w:type="dxa"/>
            <w:tcBorders>
              <w:top w:val="nil"/>
              <w:left w:val="nil"/>
              <w:bottom w:val="nil"/>
              <w:right w:val="nil"/>
            </w:tcBorders>
          </w:tcPr>
          <w:p w14:paraId="26A064C5" w14:textId="4A6A0ED4" w:rsidR="0089276B" w:rsidRPr="001E3ECC" w:rsidRDefault="0089276B" w:rsidP="005451CD">
            <w:pPr>
              <w:jc w:val="right"/>
              <w:rPr>
                <w:rFonts w:ascii="Bookman Old Style" w:eastAsiaTheme="minorEastAsia" w:hAnsi="Bookman Old Style"/>
                <w:sz w:val="20"/>
                <w:u w:val="single"/>
              </w:rPr>
            </w:pPr>
            <w:r w:rsidRPr="001E3ECC">
              <w:rPr>
                <w:rFonts w:ascii="Bookman Old Style" w:eastAsiaTheme="minorEastAsia" w:hAnsi="Bookman Old Style"/>
                <w:sz w:val="20"/>
                <w:u w:val="single"/>
              </w:rPr>
              <w:t>100,000</w:t>
            </w:r>
          </w:p>
        </w:tc>
        <w:tc>
          <w:tcPr>
            <w:tcW w:w="1388" w:type="dxa"/>
            <w:tcBorders>
              <w:top w:val="nil"/>
              <w:left w:val="nil"/>
              <w:bottom w:val="nil"/>
            </w:tcBorders>
          </w:tcPr>
          <w:p w14:paraId="7246938F" w14:textId="61C7B933" w:rsidR="0089276B" w:rsidRPr="001E3ECC" w:rsidRDefault="0089276B" w:rsidP="005451CD">
            <w:pPr>
              <w:jc w:val="right"/>
              <w:rPr>
                <w:rFonts w:ascii="Bookman Old Style" w:eastAsiaTheme="minorEastAsia" w:hAnsi="Bookman Old Style"/>
                <w:sz w:val="20"/>
                <w:u w:val="single"/>
              </w:rPr>
            </w:pPr>
            <w:r w:rsidRPr="001E3ECC">
              <w:rPr>
                <w:rFonts w:ascii="Bookman Old Style" w:eastAsiaTheme="minorEastAsia" w:hAnsi="Bookman Old Style"/>
                <w:sz w:val="20"/>
                <w:u w:val="single"/>
              </w:rPr>
              <w:t>100,000</w:t>
            </w:r>
          </w:p>
        </w:tc>
      </w:tr>
      <w:tr w:rsidR="001E3ECC" w14:paraId="73E498E8" w14:textId="77777777" w:rsidTr="001E3ECC">
        <w:tc>
          <w:tcPr>
            <w:tcW w:w="3300" w:type="dxa"/>
            <w:gridSpan w:val="2"/>
            <w:tcBorders>
              <w:top w:val="nil"/>
              <w:bottom w:val="nil"/>
              <w:right w:val="nil"/>
            </w:tcBorders>
          </w:tcPr>
          <w:p w14:paraId="117D6614" w14:textId="4618BFBB" w:rsidR="0089276B" w:rsidRPr="001E3ECC" w:rsidRDefault="0089276B" w:rsidP="005451CD">
            <w:pPr>
              <w:rPr>
                <w:rFonts w:ascii="Bookman Old Style" w:eastAsiaTheme="minorEastAsia" w:hAnsi="Bookman Old Style"/>
                <w:sz w:val="20"/>
              </w:rPr>
            </w:pPr>
            <w:r w:rsidRPr="001E3ECC">
              <w:rPr>
                <w:rFonts w:ascii="Bookman Old Style" w:eastAsiaTheme="minorEastAsia" w:hAnsi="Bookman Old Style"/>
                <w:sz w:val="20"/>
              </w:rPr>
              <w:t>Earnings before Depreciation</w:t>
            </w:r>
          </w:p>
        </w:tc>
        <w:tc>
          <w:tcPr>
            <w:tcW w:w="1308" w:type="dxa"/>
            <w:tcBorders>
              <w:top w:val="nil"/>
              <w:left w:val="nil"/>
              <w:bottom w:val="nil"/>
              <w:right w:val="nil"/>
            </w:tcBorders>
          </w:tcPr>
          <w:p w14:paraId="12C1B654" w14:textId="3E80397B" w:rsidR="0089276B" w:rsidRPr="001E3ECC" w:rsidRDefault="0089276B" w:rsidP="005451CD">
            <w:pPr>
              <w:jc w:val="right"/>
              <w:rPr>
                <w:rFonts w:ascii="Bookman Old Style" w:eastAsiaTheme="minorEastAsia" w:hAnsi="Bookman Old Style"/>
                <w:sz w:val="20"/>
              </w:rPr>
            </w:pPr>
            <w:r w:rsidRPr="001E3ECC">
              <w:rPr>
                <w:rFonts w:ascii="Bookman Old Style" w:eastAsiaTheme="minorEastAsia" w:hAnsi="Bookman Old Style"/>
                <w:sz w:val="20"/>
              </w:rPr>
              <w:t>$233,333</w:t>
            </w:r>
          </w:p>
        </w:tc>
        <w:tc>
          <w:tcPr>
            <w:tcW w:w="1242" w:type="dxa"/>
            <w:gridSpan w:val="2"/>
            <w:tcBorders>
              <w:top w:val="nil"/>
              <w:left w:val="nil"/>
              <w:bottom w:val="nil"/>
              <w:right w:val="nil"/>
            </w:tcBorders>
          </w:tcPr>
          <w:p w14:paraId="2C7C7CAC" w14:textId="582A07A3" w:rsidR="0089276B" w:rsidRPr="001E3ECC" w:rsidRDefault="0089276B" w:rsidP="005451CD">
            <w:pPr>
              <w:jc w:val="right"/>
              <w:rPr>
                <w:rFonts w:ascii="Bookman Old Style" w:eastAsiaTheme="minorEastAsia" w:hAnsi="Bookman Old Style"/>
                <w:sz w:val="20"/>
              </w:rPr>
            </w:pPr>
            <w:r w:rsidRPr="001E3ECC">
              <w:rPr>
                <w:rFonts w:ascii="Bookman Old Style" w:eastAsiaTheme="minorEastAsia" w:hAnsi="Bookman Old Style"/>
                <w:sz w:val="20"/>
              </w:rPr>
              <w:t>$300,000</w:t>
            </w:r>
          </w:p>
        </w:tc>
        <w:tc>
          <w:tcPr>
            <w:tcW w:w="1242" w:type="dxa"/>
            <w:gridSpan w:val="2"/>
            <w:tcBorders>
              <w:top w:val="nil"/>
              <w:left w:val="nil"/>
              <w:bottom w:val="nil"/>
              <w:right w:val="nil"/>
            </w:tcBorders>
          </w:tcPr>
          <w:p w14:paraId="3EC7A940" w14:textId="5F73DDE4" w:rsidR="0089276B" w:rsidRPr="001E3ECC" w:rsidRDefault="0089276B" w:rsidP="005451CD">
            <w:pPr>
              <w:jc w:val="right"/>
              <w:rPr>
                <w:rFonts w:ascii="Bookman Old Style" w:eastAsiaTheme="minorEastAsia" w:hAnsi="Bookman Old Style"/>
                <w:sz w:val="20"/>
              </w:rPr>
            </w:pPr>
            <w:r w:rsidRPr="001E3ECC">
              <w:rPr>
                <w:rFonts w:ascii="Bookman Old Style" w:eastAsiaTheme="minorEastAsia" w:hAnsi="Bookman Old Style"/>
                <w:sz w:val="20"/>
              </w:rPr>
              <w:t>$166,667</w:t>
            </w:r>
          </w:p>
        </w:tc>
        <w:tc>
          <w:tcPr>
            <w:tcW w:w="1096" w:type="dxa"/>
            <w:tcBorders>
              <w:top w:val="nil"/>
              <w:left w:val="nil"/>
              <w:bottom w:val="nil"/>
              <w:right w:val="nil"/>
            </w:tcBorders>
          </w:tcPr>
          <w:p w14:paraId="0CB4E321" w14:textId="7B146052" w:rsidR="0089276B" w:rsidRPr="001E3ECC" w:rsidRDefault="0089276B" w:rsidP="005451CD">
            <w:pPr>
              <w:jc w:val="right"/>
              <w:rPr>
                <w:rFonts w:ascii="Bookman Old Style" w:eastAsiaTheme="minorEastAsia" w:hAnsi="Bookman Old Style"/>
                <w:sz w:val="20"/>
              </w:rPr>
            </w:pPr>
            <w:r w:rsidRPr="001E3ECC">
              <w:rPr>
                <w:rFonts w:ascii="Bookman Old Style" w:eastAsiaTheme="minorEastAsia" w:hAnsi="Bookman Old Style"/>
                <w:sz w:val="20"/>
              </w:rPr>
              <w:t>$100,000</w:t>
            </w:r>
          </w:p>
        </w:tc>
        <w:tc>
          <w:tcPr>
            <w:tcW w:w="1388" w:type="dxa"/>
            <w:tcBorders>
              <w:top w:val="nil"/>
              <w:left w:val="nil"/>
              <w:bottom w:val="nil"/>
            </w:tcBorders>
          </w:tcPr>
          <w:p w14:paraId="127A2B87" w14:textId="57C02A97" w:rsidR="0089276B" w:rsidRPr="001E3ECC" w:rsidRDefault="0089276B" w:rsidP="005451CD">
            <w:pPr>
              <w:jc w:val="right"/>
              <w:rPr>
                <w:rFonts w:ascii="Bookman Old Style" w:eastAsiaTheme="minorEastAsia" w:hAnsi="Bookman Old Style"/>
                <w:sz w:val="20"/>
              </w:rPr>
            </w:pPr>
            <w:r w:rsidRPr="001E3ECC">
              <w:rPr>
                <w:rFonts w:ascii="Bookman Old Style" w:eastAsiaTheme="minorEastAsia" w:hAnsi="Bookman Old Style"/>
                <w:sz w:val="20"/>
              </w:rPr>
              <w:t>$33,333</w:t>
            </w:r>
          </w:p>
        </w:tc>
      </w:tr>
      <w:tr w:rsidR="001E3ECC" w14:paraId="033D7056" w14:textId="77777777" w:rsidTr="001E3ECC">
        <w:tc>
          <w:tcPr>
            <w:tcW w:w="3300" w:type="dxa"/>
            <w:gridSpan w:val="2"/>
            <w:tcBorders>
              <w:top w:val="nil"/>
              <w:bottom w:val="nil"/>
              <w:right w:val="nil"/>
            </w:tcBorders>
          </w:tcPr>
          <w:p w14:paraId="23CAE555" w14:textId="022EC5FD" w:rsidR="0089276B" w:rsidRPr="001E3ECC" w:rsidRDefault="0089276B" w:rsidP="005451CD">
            <w:pPr>
              <w:rPr>
                <w:rFonts w:ascii="Bookman Old Style" w:eastAsiaTheme="minorEastAsia" w:hAnsi="Bookman Old Style"/>
                <w:sz w:val="20"/>
              </w:rPr>
            </w:pPr>
            <w:r w:rsidRPr="001E3ECC">
              <w:rPr>
                <w:rFonts w:ascii="Bookman Old Style" w:eastAsiaTheme="minorEastAsia" w:hAnsi="Bookman Old Style"/>
                <w:sz w:val="20"/>
              </w:rPr>
              <w:t>Depreciation</w:t>
            </w:r>
          </w:p>
        </w:tc>
        <w:tc>
          <w:tcPr>
            <w:tcW w:w="1308" w:type="dxa"/>
            <w:tcBorders>
              <w:top w:val="nil"/>
              <w:left w:val="nil"/>
              <w:bottom w:val="nil"/>
              <w:right w:val="nil"/>
            </w:tcBorders>
          </w:tcPr>
          <w:p w14:paraId="39CCBAD5" w14:textId="576E3A4C" w:rsidR="0089276B" w:rsidRPr="001E3ECC" w:rsidRDefault="0089276B" w:rsidP="005451CD">
            <w:pPr>
              <w:jc w:val="right"/>
              <w:rPr>
                <w:rFonts w:ascii="Bookman Old Style" w:eastAsiaTheme="minorEastAsia" w:hAnsi="Bookman Old Style"/>
                <w:sz w:val="20"/>
                <w:u w:val="single"/>
              </w:rPr>
            </w:pPr>
            <w:r w:rsidRPr="001E3ECC">
              <w:rPr>
                <w:rFonts w:ascii="Bookman Old Style" w:eastAsiaTheme="minorEastAsia" w:hAnsi="Bookman Old Style"/>
                <w:sz w:val="20"/>
                <w:u w:val="single"/>
              </w:rPr>
              <w:t>100,000</w:t>
            </w:r>
          </w:p>
        </w:tc>
        <w:tc>
          <w:tcPr>
            <w:tcW w:w="1242" w:type="dxa"/>
            <w:gridSpan w:val="2"/>
            <w:tcBorders>
              <w:top w:val="nil"/>
              <w:left w:val="nil"/>
              <w:bottom w:val="nil"/>
              <w:right w:val="nil"/>
            </w:tcBorders>
          </w:tcPr>
          <w:p w14:paraId="7E2845C2" w14:textId="3ABF6914" w:rsidR="0089276B" w:rsidRPr="001E3ECC" w:rsidRDefault="0089276B" w:rsidP="005451CD">
            <w:pPr>
              <w:jc w:val="right"/>
              <w:rPr>
                <w:rFonts w:ascii="Bookman Old Style" w:eastAsiaTheme="minorEastAsia" w:hAnsi="Bookman Old Style"/>
                <w:sz w:val="20"/>
                <w:u w:val="single"/>
              </w:rPr>
            </w:pPr>
            <w:r w:rsidRPr="001E3ECC">
              <w:rPr>
                <w:rFonts w:ascii="Bookman Old Style" w:eastAsiaTheme="minorEastAsia" w:hAnsi="Bookman Old Style"/>
                <w:sz w:val="20"/>
                <w:u w:val="single"/>
              </w:rPr>
              <w:t>100,000</w:t>
            </w:r>
          </w:p>
        </w:tc>
        <w:tc>
          <w:tcPr>
            <w:tcW w:w="1242" w:type="dxa"/>
            <w:gridSpan w:val="2"/>
            <w:tcBorders>
              <w:top w:val="nil"/>
              <w:left w:val="nil"/>
              <w:bottom w:val="nil"/>
              <w:right w:val="nil"/>
            </w:tcBorders>
          </w:tcPr>
          <w:p w14:paraId="6A090F25" w14:textId="5C2EEB39" w:rsidR="0089276B" w:rsidRPr="001E3ECC" w:rsidRDefault="0089276B" w:rsidP="005451CD">
            <w:pPr>
              <w:jc w:val="right"/>
              <w:rPr>
                <w:rFonts w:ascii="Bookman Old Style" w:eastAsiaTheme="minorEastAsia" w:hAnsi="Bookman Old Style"/>
                <w:sz w:val="20"/>
                <w:u w:val="single"/>
              </w:rPr>
            </w:pPr>
            <w:r w:rsidRPr="001E3ECC">
              <w:rPr>
                <w:rFonts w:ascii="Bookman Old Style" w:eastAsiaTheme="minorEastAsia" w:hAnsi="Bookman Old Style"/>
                <w:sz w:val="20"/>
                <w:u w:val="single"/>
              </w:rPr>
              <w:t>100,000</w:t>
            </w:r>
          </w:p>
        </w:tc>
        <w:tc>
          <w:tcPr>
            <w:tcW w:w="1096" w:type="dxa"/>
            <w:tcBorders>
              <w:top w:val="nil"/>
              <w:left w:val="nil"/>
              <w:bottom w:val="nil"/>
              <w:right w:val="nil"/>
            </w:tcBorders>
          </w:tcPr>
          <w:p w14:paraId="7896FF64" w14:textId="0F02C413" w:rsidR="0089276B" w:rsidRPr="001E3ECC" w:rsidRDefault="0089276B" w:rsidP="005451CD">
            <w:pPr>
              <w:jc w:val="right"/>
              <w:rPr>
                <w:rFonts w:ascii="Bookman Old Style" w:eastAsiaTheme="minorEastAsia" w:hAnsi="Bookman Old Style"/>
                <w:sz w:val="20"/>
                <w:u w:val="single"/>
              </w:rPr>
            </w:pPr>
            <w:r w:rsidRPr="001E3ECC">
              <w:rPr>
                <w:rFonts w:ascii="Bookman Old Style" w:eastAsiaTheme="minorEastAsia" w:hAnsi="Bookman Old Style"/>
                <w:sz w:val="20"/>
                <w:u w:val="single"/>
              </w:rPr>
              <w:t>100,000</w:t>
            </w:r>
          </w:p>
        </w:tc>
        <w:tc>
          <w:tcPr>
            <w:tcW w:w="1388" w:type="dxa"/>
            <w:tcBorders>
              <w:top w:val="nil"/>
              <w:left w:val="nil"/>
              <w:bottom w:val="nil"/>
            </w:tcBorders>
          </w:tcPr>
          <w:p w14:paraId="53D09052" w14:textId="7828C29F" w:rsidR="0089276B" w:rsidRPr="001E3ECC" w:rsidRDefault="0089276B" w:rsidP="005451CD">
            <w:pPr>
              <w:jc w:val="right"/>
              <w:rPr>
                <w:rFonts w:ascii="Bookman Old Style" w:eastAsiaTheme="minorEastAsia" w:hAnsi="Bookman Old Style"/>
                <w:sz w:val="20"/>
                <w:u w:val="single"/>
              </w:rPr>
            </w:pPr>
            <w:r w:rsidRPr="001E3ECC">
              <w:rPr>
                <w:rFonts w:ascii="Bookman Old Style" w:eastAsiaTheme="minorEastAsia" w:hAnsi="Bookman Old Style"/>
                <w:sz w:val="20"/>
                <w:u w:val="single"/>
              </w:rPr>
              <w:t>100,000</w:t>
            </w:r>
          </w:p>
        </w:tc>
      </w:tr>
      <w:tr w:rsidR="001E3ECC" w14:paraId="6723F0A0" w14:textId="77777777" w:rsidTr="001E3ECC">
        <w:tc>
          <w:tcPr>
            <w:tcW w:w="3300" w:type="dxa"/>
            <w:gridSpan w:val="2"/>
            <w:tcBorders>
              <w:top w:val="nil"/>
              <w:bottom w:val="nil"/>
              <w:right w:val="nil"/>
            </w:tcBorders>
          </w:tcPr>
          <w:p w14:paraId="4DFC280E" w14:textId="68D306CF" w:rsidR="0089276B" w:rsidRPr="001E3ECC" w:rsidRDefault="0089276B" w:rsidP="005451CD">
            <w:pPr>
              <w:rPr>
                <w:rFonts w:ascii="Bookman Old Style" w:eastAsiaTheme="minorEastAsia" w:hAnsi="Bookman Old Style"/>
                <w:sz w:val="20"/>
              </w:rPr>
            </w:pPr>
            <w:r w:rsidRPr="001E3ECC">
              <w:rPr>
                <w:rFonts w:ascii="Bookman Old Style" w:eastAsiaTheme="minorEastAsia" w:hAnsi="Bookman Old Style"/>
                <w:sz w:val="20"/>
              </w:rPr>
              <w:t>Earnings before Taxes</w:t>
            </w:r>
          </w:p>
        </w:tc>
        <w:tc>
          <w:tcPr>
            <w:tcW w:w="1308" w:type="dxa"/>
            <w:tcBorders>
              <w:top w:val="nil"/>
              <w:left w:val="nil"/>
              <w:bottom w:val="nil"/>
              <w:right w:val="nil"/>
            </w:tcBorders>
          </w:tcPr>
          <w:p w14:paraId="5D99875D" w14:textId="02B9277E" w:rsidR="0089276B" w:rsidRPr="001E3ECC" w:rsidRDefault="0089276B" w:rsidP="005451CD">
            <w:pPr>
              <w:jc w:val="right"/>
              <w:rPr>
                <w:rFonts w:ascii="Bookman Old Style" w:eastAsiaTheme="minorEastAsia" w:hAnsi="Bookman Old Style"/>
                <w:sz w:val="20"/>
              </w:rPr>
            </w:pPr>
            <w:r w:rsidRPr="001E3ECC">
              <w:rPr>
                <w:rFonts w:ascii="Bookman Old Style" w:eastAsiaTheme="minorEastAsia" w:hAnsi="Bookman Old Style"/>
                <w:sz w:val="20"/>
              </w:rPr>
              <w:t>$133,333</w:t>
            </w:r>
          </w:p>
        </w:tc>
        <w:tc>
          <w:tcPr>
            <w:tcW w:w="1242" w:type="dxa"/>
            <w:gridSpan w:val="2"/>
            <w:tcBorders>
              <w:top w:val="nil"/>
              <w:left w:val="nil"/>
              <w:bottom w:val="nil"/>
              <w:right w:val="nil"/>
            </w:tcBorders>
          </w:tcPr>
          <w:p w14:paraId="65EAD24D" w14:textId="142CBCA8" w:rsidR="0089276B" w:rsidRPr="001E3ECC" w:rsidRDefault="0089276B" w:rsidP="005451CD">
            <w:pPr>
              <w:jc w:val="right"/>
              <w:rPr>
                <w:rFonts w:ascii="Bookman Old Style" w:eastAsiaTheme="minorEastAsia" w:hAnsi="Bookman Old Style"/>
                <w:sz w:val="20"/>
              </w:rPr>
            </w:pPr>
            <w:r w:rsidRPr="001E3ECC">
              <w:rPr>
                <w:rFonts w:ascii="Bookman Old Style" w:eastAsiaTheme="minorEastAsia" w:hAnsi="Bookman Old Style"/>
                <w:sz w:val="20"/>
              </w:rPr>
              <w:t>$200,000</w:t>
            </w:r>
          </w:p>
        </w:tc>
        <w:tc>
          <w:tcPr>
            <w:tcW w:w="1242" w:type="dxa"/>
            <w:gridSpan w:val="2"/>
            <w:tcBorders>
              <w:top w:val="nil"/>
              <w:left w:val="nil"/>
              <w:bottom w:val="nil"/>
              <w:right w:val="nil"/>
            </w:tcBorders>
          </w:tcPr>
          <w:p w14:paraId="7C92B3CD" w14:textId="134E2F23" w:rsidR="0089276B" w:rsidRPr="001E3ECC" w:rsidRDefault="0089276B" w:rsidP="005451CD">
            <w:pPr>
              <w:jc w:val="right"/>
              <w:rPr>
                <w:rFonts w:ascii="Bookman Old Style" w:eastAsiaTheme="minorEastAsia" w:hAnsi="Bookman Old Style"/>
                <w:sz w:val="20"/>
              </w:rPr>
            </w:pPr>
            <w:r w:rsidRPr="001E3ECC">
              <w:rPr>
                <w:rFonts w:ascii="Bookman Old Style" w:eastAsiaTheme="minorEastAsia" w:hAnsi="Bookman Old Style"/>
                <w:sz w:val="20"/>
              </w:rPr>
              <w:t>$66,667</w:t>
            </w:r>
          </w:p>
        </w:tc>
        <w:tc>
          <w:tcPr>
            <w:tcW w:w="1096" w:type="dxa"/>
            <w:tcBorders>
              <w:top w:val="nil"/>
              <w:left w:val="nil"/>
              <w:bottom w:val="nil"/>
              <w:right w:val="nil"/>
            </w:tcBorders>
          </w:tcPr>
          <w:p w14:paraId="2308CBE4" w14:textId="3972FB60" w:rsidR="0089276B" w:rsidRPr="001E3ECC" w:rsidRDefault="0089276B" w:rsidP="005451CD">
            <w:pPr>
              <w:jc w:val="right"/>
              <w:rPr>
                <w:rFonts w:ascii="Bookman Old Style" w:eastAsiaTheme="minorEastAsia" w:hAnsi="Bookman Old Style"/>
                <w:sz w:val="20"/>
              </w:rPr>
            </w:pPr>
            <w:r w:rsidRPr="001E3ECC">
              <w:rPr>
                <w:rFonts w:ascii="Bookman Old Style" w:eastAsiaTheme="minorEastAsia" w:hAnsi="Bookman Old Style"/>
                <w:sz w:val="20"/>
              </w:rPr>
              <w:t>$0</w:t>
            </w:r>
          </w:p>
        </w:tc>
        <w:tc>
          <w:tcPr>
            <w:tcW w:w="1388" w:type="dxa"/>
            <w:tcBorders>
              <w:top w:val="nil"/>
              <w:left w:val="nil"/>
              <w:bottom w:val="nil"/>
            </w:tcBorders>
          </w:tcPr>
          <w:p w14:paraId="2382AC97" w14:textId="0B226B6B" w:rsidR="0089276B" w:rsidRPr="001E3ECC" w:rsidRDefault="0089276B" w:rsidP="005451CD">
            <w:pPr>
              <w:jc w:val="right"/>
              <w:rPr>
                <w:rFonts w:ascii="Bookman Old Style" w:eastAsiaTheme="minorEastAsia" w:hAnsi="Bookman Old Style"/>
                <w:sz w:val="20"/>
              </w:rPr>
            </w:pPr>
            <w:r w:rsidRPr="001E3ECC">
              <w:rPr>
                <w:rFonts w:ascii="Bookman Old Style" w:eastAsiaTheme="minorEastAsia" w:hAnsi="Bookman Old Style"/>
                <w:sz w:val="20"/>
              </w:rPr>
              <w:t>-$66,667</w:t>
            </w:r>
          </w:p>
        </w:tc>
      </w:tr>
      <w:tr w:rsidR="001E3ECC" w14:paraId="589E36F3" w14:textId="77777777" w:rsidTr="001E3ECC">
        <w:tc>
          <w:tcPr>
            <w:tcW w:w="3300" w:type="dxa"/>
            <w:gridSpan w:val="2"/>
            <w:tcBorders>
              <w:top w:val="nil"/>
              <w:bottom w:val="nil"/>
              <w:right w:val="nil"/>
            </w:tcBorders>
          </w:tcPr>
          <w:p w14:paraId="6147888A" w14:textId="48AEF6B9" w:rsidR="0089276B" w:rsidRPr="001E3ECC" w:rsidRDefault="0089276B" w:rsidP="005451CD">
            <w:pPr>
              <w:rPr>
                <w:rFonts w:ascii="Bookman Old Style" w:eastAsiaTheme="minorEastAsia" w:hAnsi="Bookman Old Style"/>
                <w:sz w:val="20"/>
              </w:rPr>
            </w:pPr>
            <w:r w:rsidRPr="001E3ECC">
              <w:rPr>
                <w:rFonts w:ascii="Bookman Old Style" w:eastAsiaTheme="minorEastAsia" w:hAnsi="Bookman Old Style"/>
                <w:sz w:val="20"/>
              </w:rPr>
              <w:t>Taxes (T = 0.25)</w:t>
            </w:r>
          </w:p>
        </w:tc>
        <w:tc>
          <w:tcPr>
            <w:tcW w:w="1308" w:type="dxa"/>
            <w:tcBorders>
              <w:top w:val="nil"/>
              <w:left w:val="nil"/>
              <w:bottom w:val="nil"/>
              <w:right w:val="nil"/>
            </w:tcBorders>
          </w:tcPr>
          <w:p w14:paraId="104E06FA" w14:textId="7B3BE701" w:rsidR="0089276B" w:rsidRPr="001E3ECC" w:rsidRDefault="0089276B" w:rsidP="005451CD">
            <w:pPr>
              <w:jc w:val="right"/>
              <w:rPr>
                <w:rFonts w:ascii="Bookman Old Style" w:eastAsiaTheme="minorEastAsia" w:hAnsi="Bookman Old Style"/>
                <w:sz w:val="20"/>
              </w:rPr>
            </w:pPr>
            <w:r w:rsidRPr="001E3ECC">
              <w:rPr>
                <w:rFonts w:ascii="Bookman Old Style" w:eastAsiaTheme="minorEastAsia" w:hAnsi="Bookman Old Style"/>
                <w:sz w:val="20"/>
              </w:rPr>
              <w:t>33,333</w:t>
            </w:r>
          </w:p>
        </w:tc>
        <w:tc>
          <w:tcPr>
            <w:tcW w:w="1242" w:type="dxa"/>
            <w:gridSpan w:val="2"/>
            <w:tcBorders>
              <w:top w:val="nil"/>
              <w:left w:val="nil"/>
              <w:bottom w:val="nil"/>
              <w:right w:val="nil"/>
            </w:tcBorders>
          </w:tcPr>
          <w:p w14:paraId="1C6E6D6E" w14:textId="4419FC5C" w:rsidR="0089276B" w:rsidRPr="001E3ECC" w:rsidRDefault="0089276B" w:rsidP="005451CD">
            <w:pPr>
              <w:jc w:val="right"/>
              <w:rPr>
                <w:rFonts w:ascii="Bookman Old Style" w:eastAsiaTheme="minorEastAsia" w:hAnsi="Bookman Old Style"/>
                <w:sz w:val="20"/>
              </w:rPr>
            </w:pPr>
            <w:r w:rsidRPr="001E3ECC">
              <w:rPr>
                <w:rFonts w:ascii="Bookman Old Style" w:eastAsiaTheme="minorEastAsia" w:hAnsi="Bookman Old Style"/>
                <w:sz w:val="20"/>
              </w:rPr>
              <w:t>50,000</w:t>
            </w:r>
          </w:p>
        </w:tc>
        <w:tc>
          <w:tcPr>
            <w:tcW w:w="1242" w:type="dxa"/>
            <w:gridSpan w:val="2"/>
            <w:tcBorders>
              <w:top w:val="nil"/>
              <w:left w:val="nil"/>
              <w:bottom w:val="nil"/>
              <w:right w:val="nil"/>
            </w:tcBorders>
          </w:tcPr>
          <w:p w14:paraId="5368C8CF" w14:textId="33F33DF3" w:rsidR="0089276B" w:rsidRPr="001E3ECC" w:rsidRDefault="0089276B" w:rsidP="005451CD">
            <w:pPr>
              <w:jc w:val="right"/>
              <w:rPr>
                <w:rFonts w:ascii="Bookman Old Style" w:eastAsiaTheme="minorEastAsia" w:hAnsi="Bookman Old Style"/>
                <w:sz w:val="20"/>
              </w:rPr>
            </w:pPr>
            <w:r w:rsidRPr="001E3ECC">
              <w:rPr>
                <w:rFonts w:ascii="Bookman Old Style" w:eastAsiaTheme="minorEastAsia" w:hAnsi="Bookman Old Style"/>
                <w:sz w:val="20"/>
              </w:rPr>
              <w:t>16,667</w:t>
            </w:r>
          </w:p>
        </w:tc>
        <w:tc>
          <w:tcPr>
            <w:tcW w:w="1096" w:type="dxa"/>
            <w:tcBorders>
              <w:top w:val="nil"/>
              <w:left w:val="nil"/>
              <w:bottom w:val="nil"/>
              <w:right w:val="nil"/>
            </w:tcBorders>
          </w:tcPr>
          <w:p w14:paraId="75ECA1B6" w14:textId="159C55AB" w:rsidR="0089276B" w:rsidRPr="001E3ECC" w:rsidRDefault="0089276B" w:rsidP="005451CD">
            <w:pPr>
              <w:jc w:val="right"/>
              <w:rPr>
                <w:rFonts w:ascii="Bookman Old Style" w:eastAsiaTheme="minorEastAsia" w:hAnsi="Bookman Old Style"/>
                <w:sz w:val="20"/>
              </w:rPr>
            </w:pPr>
            <w:r w:rsidRPr="001E3ECC">
              <w:rPr>
                <w:rFonts w:ascii="Bookman Old Style" w:eastAsiaTheme="minorEastAsia" w:hAnsi="Bookman Old Style"/>
                <w:sz w:val="20"/>
              </w:rPr>
              <w:t>0</w:t>
            </w:r>
          </w:p>
        </w:tc>
        <w:tc>
          <w:tcPr>
            <w:tcW w:w="1388" w:type="dxa"/>
            <w:tcBorders>
              <w:top w:val="nil"/>
              <w:left w:val="nil"/>
              <w:bottom w:val="nil"/>
            </w:tcBorders>
          </w:tcPr>
          <w:p w14:paraId="1204AE45" w14:textId="298F320D" w:rsidR="0089276B" w:rsidRPr="001E3ECC" w:rsidRDefault="0089276B" w:rsidP="005451CD">
            <w:pPr>
              <w:jc w:val="right"/>
              <w:rPr>
                <w:rFonts w:ascii="Bookman Old Style" w:eastAsiaTheme="minorEastAsia" w:hAnsi="Bookman Old Style"/>
                <w:sz w:val="20"/>
              </w:rPr>
            </w:pPr>
            <w:r w:rsidRPr="001E3ECC">
              <w:rPr>
                <w:rFonts w:ascii="Bookman Old Style" w:eastAsiaTheme="minorEastAsia" w:hAnsi="Bookman Old Style"/>
                <w:sz w:val="20"/>
              </w:rPr>
              <w:t>-16,667</w:t>
            </w:r>
          </w:p>
        </w:tc>
      </w:tr>
      <w:tr w:rsidR="001E3ECC" w14:paraId="04ED1C54" w14:textId="77777777" w:rsidTr="001E3ECC">
        <w:tc>
          <w:tcPr>
            <w:tcW w:w="3300" w:type="dxa"/>
            <w:gridSpan w:val="2"/>
            <w:tcBorders>
              <w:top w:val="nil"/>
              <w:bottom w:val="nil"/>
              <w:right w:val="nil"/>
            </w:tcBorders>
          </w:tcPr>
          <w:p w14:paraId="4FF6AC04" w14:textId="176466A2" w:rsidR="0089276B" w:rsidRPr="001E3ECC" w:rsidRDefault="0089276B" w:rsidP="005451CD">
            <w:pPr>
              <w:rPr>
                <w:rFonts w:ascii="Bookman Old Style" w:eastAsiaTheme="minorEastAsia" w:hAnsi="Bookman Old Style"/>
                <w:sz w:val="20"/>
              </w:rPr>
            </w:pPr>
            <w:r w:rsidRPr="001E3ECC">
              <w:rPr>
                <w:rFonts w:ascii="Bookman Old Style" w:eastAsiaTheme="minorEastAsia" w:hAnsi="Bookman Old Style"/>
                <w:sz w:val="20"/>
              </w:rPr>
              <w:t>Net Income</w:t>
            </w:r>
          </w:p>
        </w:tc>
        <w:tc>
          <w:tcPr>
            <w:tcW w:w="1308" w:type="dxa"/>
            <w:tcBorders>
              <w:top w:val="nil"/>
              <w:left w:val="nil"/>
              <w:bottom w:val="nil"/>
              <w:right w:val="nil"/>
            </w:tcBorders>
          </w:tcPr>
          <w:p w14:paraId="453206AB" w14:textId="01C21D76" w:rsidR="0089276B" w:rsidRPr="001E3ECC" w:rsidRDefault="0089276B" w:rsidP="005451CD">
            <w:pPr>
              <w:jc w:val="right"/>
              <w:rPr>
                <w:rFonts w:ascii="Bookman Old Style" w:eastAsiaTheme="minorEastAsia" w:hAnsi="Bookman Old Style"/>
                <w:sz w:val="20"/>
                <w:u w:val="single"/>
              </w:rPr>
            </w:pPr>
            <w:r w:rsidRPr="001E3ECC">
              <w:rPr>
                <w:rFonts w:ascii="Bookman Old Style" w:eastAsiaTheme="minorEastAsia" w:hAnsi="Bookman Old Style"/>
                <w:sz w:val="20"/>
                <w:u w:val="single"/>
              </w:rPr>
              <w:t>$100,000</w:t>
            </w:r>
          </w:p>
        </w:tc>
        <w:tc>
          <w:tcPr>
            <w:tcW w:w="1242" w:type="dxa"/>
            <w:gridSpan w:val="2"/>
            <w:tcBorders>
              <w:top w:val="nil"/>
              <w:left w:val="nil"/>
              <w:bottom w:val="nil"/>
              <w:right w:val="nil"/>
            </w:tcBorders>
          </w:tcPr>
          <w:p w14:paraId="2B36B992" w14:textId="4B8FBFFF" w:rsidR="0089276B" w:rsidRPr="001E3ECC" w:rsidRDefault="0089276B" w:rsidP="005451CD">
            <w:pPr>
              <w:jc w:val="right"/>
              <w:rPr>
                <w:rFonts w:ascii="Bookman Old Style" w:eastAsiaTheme="minorEastAsia" w:hAnsi="Bookman Old Style"/>
                <w:sz w:val="20"/>
                <w:u w:val="single"/>
              </w:rPr>
            </w:pPr>
            <w:r w:rsidRPr="001E3ECC">
              <w:rPr>
                <w:rFonts w:ascii="Bookman Old Style" w:eastAsiaTheme="minorEastAsia" w:hAnsi="Bookman Old Style"/>
                <w:sz w:val="20"/>
                <w:u w:val="single"/>
              </w:rPr>
              <w:t>$150,000</w:t>
            </w:r>
          </w:p>
        </w:tc>
        <w:tc>
          <w:tcPr>
            <w:tcW w:w="1242" w:type="dxa"/>
            <w:gridSpan w:val="2"/>
            <w:tcBorders>
              <w:top w:val="nil"/>
              <w:left w:val="nil"/>
              <w:bottom w:val="nil"/>
              <w:right w:val="nil"/>
            </w:tcBorders>
          </w:tcPr>
          <w:p w14:paraId="6D79DBA5" w14:textId="64C5756C" w:rsidR="0089276B" w:rsidRPr="001E3ECC" w:rsidRDefault="0089276B" w:rsidP="005451CD">
            <w:pPr>
              <w:jc w:val="right"/>
              <w:rPr>
                <w:rFonts w:ascii="Bookman Old Style" w:eastAsiaTheme="minorEastAsia" w:hAnsi="Bookman Old Style"/>
                <w:sz w:val="20"/>
                <w:u w:val="single"/>
              </w:rPr>
            </w:pPr>
            <w:r w:rsidRPr="001E3ECC">
              <w:rPr>
                <w:rFonts w:ascii="Bookman Old Style" w:eastAsiaTheme="minorEastAsia" w:hAnsi="Bookman Old Style"/>
                <w:sz w:val="20"/>
                <w:u w:val="single"/>
              </w:rPr>
              <w:t>$50,000</w:t>
            </w:r>
          </w:p>
        </w:tc>
        <w:tc>
          <w:tcPr>
            <w:tcW w:w="1096" w:type="dxa"/>
            <w:tcBorders>
              <w:top w:val="nil"/>
              <w:left w:val="nil"/>
              <w:bottom w:val="nil"/>
              <w:right w:val="nil"/>
            </w:tcBorders>
          </w:tcPr>
          <w:p w14:paraId="76EC3F53" w14:textId="06369DA2" w:rsidR="0089276B" w:rsidRPr="001E3ECC" w:rsidRDefault="0089276B" w:rsidP="005451CD">
            <w:pPr>
              <w:jc w:val="right"/>
              <w:rPr>
                <w:rFonts w:ascii="Bookman Old Style" w:eastAsiaTheme="minorEastAsia" w:hAnsi="Bookman Old Style"/>
                <w:sz w:val="20"/>
                <w:u w:val="single"/>
              </w:rPr>
            </w:pPr>
            <w:r w:rsidRPr="001E3ECC">
              <w:rPr>
                <w:rFonts w:ascii="Bookman Old Style" w:eastAsiaTheme="minorEastAsia" w:hAnsi="Bookman Old Style"/>
                <w:sz w:val="20"/>
                <w:u w:val="single"/>
              </w:rPr>
              <w:t>$0</w:t>
            </w:r>
          </w:p>
        </w:tc>
        <w:tc>
          <w:tcPr>
            <w:tcW w:w="1388" w:type="dxa"/>
            <w:tcBorders>
              <w:top w:val="nil"/>
              <w:left w:val="nil"/>
              <w:bottom w:val="nil"/>
            </w:tcBorders>
          </w:tcPr>
          <w:p w14:paraId="6046530E" w14:textId="79F57CE4" w:rsidR="0089276B" w:rsidRPr="001E3ECC" w:rsidRDefault="0089276B" w:rsidP="005451CD">
            <w:pPr>
              <w:jc w:val="right"/>
              <w:rPr>
                <w:rFonts w:ascii="Bookman Old Style" w:eastAsiaTheme="minorEastAsia" w:hAnsi="Bookman Old Style"/>
                <w:sz w:val="20"/>
                <w:u w:val="single"/>
              </w:rPr>
            </w:pPr>
            <w:r w:rsidRPr="001E3ECC">
              <w:rPr>
                <w:rFonts w:ascii="Bookman Old Style" w:eastAsiaTheme="minorEastAsia" w:hAnsi="Bookman Old Style"/>
                <w:sz w:val="20"/>
                <w:u w:val="single"/>
              </w:rPr>
              <w:t>-$50,000</w:t>
            </w:r>
          </w:p>
        </w:tc>
      </w:tr>
      <w:tr w:rsidR="001E3ECC" w14:paraId="23BDDDC9" w14:textId="77777777" w:rsidTr="001E3ECC">
        <w:tc>
          <w:tcPr>
            <w:tcW w:w="9576" w:type="dxa"/>
            <w:gridSpan w:val="9"/>
            <w:tcBorders>
              <w:top w:val="nil"/>
              <w:bottom w:val="nil"/>
            </w:tcBorders>
          </w:tcPr>
          <w:p w14:paraId="657A6692" w14:textId="77777777" w:rsidR="001E3ECC" w:rsidRDefault="001E3ECC" w:rsidP="005451CD">
            <w:pPr>
              <w:jc w:val="both"/>
              <w:rPr>
                <w:rFonts w:ascii="Bookman Old Style" w:eastAsiaTheme="minorEastAsia" w:hAnsi="Bookman Old Style"/>
                <w:u w:val="single"/>
              </w:rPr>
            </w:pPr>
          </w:p>
        </w:tc>
      </w:tr>
      <w:tr w:rsidR="001E3ECC" w14:paraId="19C4E6D6" w14:textId="77777777" w:rsidTr="001E3ECC">
        <w:tc>
          <w:tcPr>
            <w:tcW w:w="2660" w:type="dxa"/>
            <w:vMerge w:val="restart"/>
            <w:tcBorders>
              <w:top w:val="nil"/>
              <w:bottom w:val="nil"/>
              <w:right w:val="nil"/>
            </w:tcBorders>
            <w:vAlign w:val="center"/>
          </w:tcPr>
          <w:p w14:paraId="2460DC9D" w14:textId="3013E198" w:rsidR="001E3ECC" w:rsidRDefault="001E3ECC" w:rsidP="005451CD">
            <w:pPr>
              <w:jc w:val="center"/>
              <w:rPr>
                <w:rFonts w:ascii="Bookman Old Style" w:eastAsiaTheme="minorEastAsia" w:hAnsi="Bookman Old Style"/>
              </w:rPr>
            </w:pPr>
            <w:r>
              <w:rPr>
                <w:rFonts w:ascii="Bookman Old Style" w:eastAsiaTheme="minorEastAsia" w:hAnsi="Bookman Old Style"/>
              </w:rPr>
              <w:t>Average net income =</w:t>
            </w:r>
          </w:p>
        </w:tc>
        <w:tc>
          <w:tcPr>
            <w:tcW w:w="5528" w:type="dxa"/>
            <w:gridSpan w:val="7"/>
            <w:tcBorders>
              <w:top w:val="nil"/>
              <w:left w:val="nil"/>
              <w:bottom w:val="nil"/>
              <w:right w:val="nil"/>
            </w:tcBorders>
          </w:tcPr>
          <w:p w14:paraId="363E8B50" w14:textId="77059481" w:rsidR="001E3ECC" w:rsidRDefault="001E3ECC" w:rsidP="005451CD">
            <w:pPr>
              <w:jc w:val="center"/>
              <w:rPr>
                <w:rFonts w:ascii="Bookman Old Style" w:eastAsiaTheme="minorEastAsia" w:hAnsi="Bookman Old Style"/>
                <w:u w:val="single"/>
              </w:rPr>
            </w:pPr>
            <w:r>
              <w:rPr>
                <w:rFonts w:ascii="Bookman Old Style" w:eastAsiaTheme="minorEastAsia" w:hAnsi="Bookman Old Style"/>
                <w:u w:val="single"/>
              </w:rPr>
              <w:t>($100,000 + 150,000 + 50,000 + 0 – 50,000)</w:t>
            </w:r>
          </w:p>
        </w:tc>
        <w:tc>
          <w:tcPr>
            <w:tcW w:w="1388" w:type="dxa"/>
            <w:vMerge w:val="restart"/>
            <w:tcBorders>
              <w:top w:val="nil"/>
              <w:left w:val="nil"/>
              <w:bottom w:val="nil"/>
            </w:tcBorders>
            <w:vAlign w:val="center"/>
          </w:tcPr>
          <w:p w14:paraId="18734904" w14:textId="0AD53E5D" w:rsidR="001E3ECC" w:rsidRPr="0089276B" w:rsidRDefault="001E3ECC" w:rsidP="005451CD">
            <w:pPr>
              <w:jc w:val="center"/>
              <w:rPr>
                <w:rFonts w:ascii="Bookman Old Style" w:eastAsiaTheme="minorEastAsia" w:hAnsi="Bookman Old Style"/>
              </w:rPr>
            </w:pPr>
            <w:r>
              <w:rPr>
                <w:rFonts w:ascii="Bookman Old Style" w:eastAsiaTheme="minorEastAsia" w:hAnsi="Bookman Old Style"/>
              </w:rPr>
              <w:t>= $50,000</w:t>
            </w:r>
          </w:p>
        </w:tc>
      </w:tr>
      <w:tr w:rsidR="001E3ECC" w14:paraId="17C307EE" w14:textId="77777777" w:rsidTr="001E3ECC">
        <w:tc>
          <w:tcPr>
            <w:tcW w:w="2660" w:type="dxa"/>
            <w:vMerge/>
            <w:tcBorders>
              <w:top w:val="nil"/>
              <w:bottom w:val="nil"/>
              <w:right w:val="nil"/>
            </w:tcBorders>
            <w:vAlign w:val="center"/>
          </w:tcPr>
          <w:p w14:paraId="16F34D7A" w14:textId="77777777" w:rsidR="001E3ECC" w:rsidRDefault="001E3ECC" w:rsidP="005451CD">
            <w:pPr>
              <w:jc w:val="center"/>
              <w:rPr>
                <w:rFonts w:ascii="Bookman Old Style" w:eastAsiaTheme="minorEastAsia" w:hAnsi="Bookman Old Style"/>
              </w:rPr>
            </w:pPr>
          </w:p>
        </w:tc>
        <w:tc>
          <w:tcPr>
            <w:tcW w:w="5528" w:type="dxa"/>
            <w:gridSpan w:val="7"/>
            <w:tcBorders>
              <w:top w:val="nil"/>
              <w:left w:val="nil"/>
              <w:bottom w:val="nil"/>
              <w:right w:val="nil"/>
            </w:tcBorders>
          </w:tcPr>
          <w:p w14:paraId="0BA4A479" w14:textId="0DB2FF45" w:rsidR="001E3ECC" w:rsidRDefault="001E3ECC" w:rsidP="005451CD">
            <w:pPr>
              <w:jc w:val="center"/>
              <w:rPr>
                <w:rFonts w:ascii="Bookman Old Style" w:eastAsiaTheme="minorEastAsia" w:hAnsi="Bookman Old Style"/>
                <w:u w:val="single"/>
              </w:rPr>
            </w:pPr>
            <w:r w:rsidRPr="0089276B">
              <w:rPr>
                <w:rFonts w:ascii="Bookman Old Style" w:eastAsiaTheme="minorEastAsia" w:hAnsi="Bookman Old Style"/>
              </w:rPr>
              <w:t>5</w:t>
            </w:r>
          </w:p>
        </w:tc>
        <w:tc>
          <w:tcPr>
            <w:tcW w:w="1388" w:type="dxa"/>
            <w:vMerge/>
            <w:tcBorders>
              <w:top w:val="nil"/>
              <w:left w:val="nil"/>
              <w:bottom w:val="nil"/>
            </w:tcBorders>
          </w:tcPr>
          <w:p w14:paraId="46467353" w14:textId="77777777" w:rsidR="001E3ECC" w:rsidRDefault="001E3ECC" w:rsidP="005451CD">
            <w:pPr>
              <w:jc w:val="both"/>
              <w:rPr>
                <w:rFonts w:ascii="Bookman Old Style" w:eastAsiaTheme="minorEastAsia" w:hAnsi="Bookman Old Style"/>
                <w:u w:val="single"/>
              </w:rPr>
            </w:pPr>
          </w:p>
        </w:tc>
      </w:tr>
      <w:tr w:rsidR="001E3ECC" w14:paraId="455E6C8D" w14:textId="77777777" w:rsidTr="001E3ECC">
        <w:tc>
          <w:tcPr>
            <w:tcW w:w="9576" w:type="dxa"/>
            <w:gridSpan w:val="9"/>
            <w:tcBorders>
              <w:top w:val="nil"/>
              <w:bottom w:val="nil"/>
            </w:tcBorders>
            <w:vAlign w:val="center"/>
          </w:tcPr>
          <w:p w14:paraId="7D266786" w14:textId="77777777" w:rsidR="001E3ECC" w:rsidRDefault="001E3ECC" w:rsidP="005451CD">
            <w:pPr>
              <w:jc w:val="both"/>
              <w:rPr>
                <w:rFonts w:ascii="Bookman Old Style" w:eastAsiaTheme="minorEastAsia" w:hAnsi="Bookman Old Style"/>
                <w:u w:val="single"/>
              </w:rPr>
            </w:pPr>
          </w:p>
        </w:tc>
      </w:tr>
      <w:tr w:rsidR="001E3ECC" w14:paraId="03AE73E5" w14:textId="77777777" w:rsidTr="001E3ECC">
        <w:tc>
          <w:tcPr>
            <w:tcW w:w="2660" w:type="dxa"/>
            <w:vMerge w:val="restart"/>
            <w:tcBorders>
              <w:top w:val="nil"/>
              <w:bottom w:val="nil"/>
              <w:right w:val="nil"/>
            </w:tcBorders>
            <w:vAlign w:val="center"/>
          </w:tcPr>
          <w:p w14:paraId="2C6FE2F1" w14:textId="708CFDFB" w:rsidR="001E3ECC" w:rsidRDefault="001E3ECC" w:rsidP="005451CD">
            <w:pPr>
              <w:jc w:val="center"/>
              <w:rPr>
                <w:rFonts w:ascii="Bookman Old Style" w:eastAsiaTheme="minorEastAsia" w:hAnsi="Bookman Old Style"/>
              </w:rPr>
            </w:pPr>
            <w:r>
              <w:rPr>
                <w:rFonts w:ascii="Bookman Old Style" w:eastAsiaTheme="minorEastAsia" w:hAnsi="Bookman Old Style"/>
              </w:rPr>
              <w:t>Average Investment =</w:t>
            </w:r>
          </w:p>
        </w:tc>
        <w:tc>
          <w:tcPr>
            <w:tcW w:w="2128" w:type="dxa"/>
            <w:gridSpan w:val="3"/>
            <w:tcBorders>
              <w:top w:val="nil"/>
              <w:left w:val="nil"/>
              <w:bottom w:val="nil"/>
              <w:right w:val="nil"/>
            </w:tcBorders>
          </w:tcPr>
          <w:p w14:paraId="5842A90A" w14:textId="34A032A2" w:rsidR="001E3ECC" w:rsidRDefault="001E3ECC" w:rsidP="005451CD">
            <w:pPr>
              <w:jc w:val="center"/>
              <w:rPr>
                <w:rFonts w:ascii="Bookman Old Style" w:eastAsiaTheme="minorEastAsia" w:hAnsi="Bookman Old Style"/>
                <w:u w:val="single"/>
              </w:rPr>
            </w:pPr>
            <w:r>
              <w:rPr>
                <w:rFonts w:ascii="Bookman Old Style" w:eastAsiaTheme="minorEastAsia" w:hAnsi="Bookman Old Style"/>
                <w:u w:val="single"/>
              </w:rPr>
              <w:t>$500,000 + 0</w:t>
            </w:r>
          </w:p>
        </w:tc>
        <w:tc>
          <w:tcPr>
            <w:tcW w:w="1596" w:type="dxa"/>
            <w:gridSpan w:val="2"/>
            <w:vMerge w:val="restart"/>
            <w:tcBorders>
              <w:top w:val="nil"/>
              <w:left w:val="nil"/>
              <w:bottom w:val="nil"/>
              <w:right w:val="nil"/>
            </w:tcBorders>
            <w:vAlign w:val="center"/>
          </w:tcPr>
          <w:p w14:paraId="105BC751" w14:textId="7E4C97D7" w:rsidR="001E3ECC" w:rsidRPr="0089276B" w:rsidRDefault="001E3ECC" w:rsidP="005451CD">
            <w:pPr>
              <w:jc w:val="center"/>
              <w:rPr>
                <w:rFonts w:ascii="Bookman Old Style" w:eastAsiaTheme="minorEastAsia" w:hAnsi="Bookman Old Style"/>
              </w:rPr>
            </w:pPr>
            <w:r w:rsidRPr="0089276B">
              <w:rPr>
                <w:rFonts w:ascii="Bookman Old Style" w:eastAsiaTheme="minorEastAsia" w:hAnsi="Bookman Old Style"/>
              </w:rPr>
              <w:t>= $250,000</w:t>
            </w:r>
          </w:p>
        </w:tc>
        <w:tc>
          <w:tcPr>
            <w:tcW w:w="1804" w:type="dxa"/>
            <w:gridSpan w:val="2"/>
            <w:tcBorders>
              <w:top w:val="nil"/>
              <w:left w:val="nil"/>
              <w:bottom w:val="nil"/>
              <w:right w:val="nil"/>
            </w:tcBorders>
          </w:tcPr>
          <w:p w14:paraId="2BFA2A5F" w14:textId="77777777" w:rsidR="001E3ECC" w:rsidRDefault="001E3ECC" w:rsidP="005451CD">
            <w:pPr>
              <w:jc w:val="both"/>
              <w:rPr>
                <w:rFonts w:ascii="Bookman Old Style" w:eastAsiaTheme="minorEastAsia" w:hAnsi="Bookman Old Style"/>
                <w:u w:val="single"/>
              </w:rPr>
            </w:pPr>
          </w:p>
        </w:tc>
        <w:tc>
          <w:tcPr>
            <w:tcW w:w="1388" w:type="dxa"/>
            <w:tcBorders>
              <w:top w:val="nil"/>
              <w:left w:val="nil"/>
              <w:bottom w:val="nil"/>
            </w:tcBorders>
          </w:tcPr>
          <w:p w14:paraId="37383DFA" w14:textId="77777777" w:rsidR="001E3ECC" w:rsidRDefault="001E3ECC" w:rsidP="005451CD">
            <w:pPr>
              <w:jc w:val="both"/>
              <w:rPr>
                <w:rFonts w:ascii="Bookman Old Style" w:eastAsiaTheme="minorEastAsia" w:hAnsi="Bookman Old Style"/>
                <w:u w:val="single"/>
              </w:rPr>
            </w:pPr>
          </w:p>
        </w:tc>
      </w:tr>
      <w:tr w:rsidR="001E3ECC" w14:paraId="7231DF33" w14:textId="77777777" w:rsidTr="001E3ECC">
        <w:tc>
          <w:tcPr>
            <w:tcW w:w="2660" w:type="dxa"/>
            <w:vMerge/>
            <w:tcBorders>
              <w:top w:val="nil"/>
              <w:bottom w:val="nil"/>
              <w:right w:val="nil"/>
            </w:tcBorders>
          </w:tcPr>
          <w:p w14:paraId="010FD9D2" w14:textId="77777777" w:rsidR="001E3ECC" w:rsidRDefault="001E3ECC" w:rsidP="005451CD">
            <w:pPr>
              <w:jc w:val="both"/>
              <w:rPr>
                <w:rFonts w:ascii="Bookman Old Style" w:eastAsiaTheme="minorEastAsia" w:hAnsi="Bookman Old Style"/>
              </w:rPr>
            </w:pPr>
          </w:p>
        </w:tc>
        <w:tc>
          <w:tcPr>
            <w:tcW w:w="2128" w:type="dxa"/>
            <w:gridSpan w:val="3"/>
            <w:tcBorders>
              <w:top w:val="nil"/>
              <w:left w:val="nil"/>
              <w:bottom w:val="nil"/>
              <w:right w:val="nil"/>
            </w:tcBorders>
          </w:tcPr>
          <w:p w14:paraId="776C5A50" w14:textId="6C060E30" w:rsidR="001E3ECC" w:rsidRDefault="001E3ECC" w:rsidP="005451CD">
            <w:pPr>
              <w:jc w:val="center"/>
              <w:rPr>
                <w:rFonts w:ascii="Bookman Old Style" w:eastAsiaTheme="minorEastAsia" w:hAnsi="Bookman Old Style"/>
                <w:u w:val="single"/>
              </w:rPr>
            </w:pPr>
            <w:r>
              <w:rPr>
                <w:rFonts w:ascii="Bookman Old Style" w:eastAsiaTheme="minorEastAsia" w:hAnsi="Bookman Old Style"/>
              </w:rPr>
              <w:t>2</w:t>
            </w:r>
          </w:p>
        </w:tc>
        <w:tc>
          <w:tcPr>
            <w:tcW w:w="1596" w:type="dxa"/>
            <w:gridSpan w:val="2"/>
            <w:vMerge/>
            <w:tcBorders>
              <w:top w:val="nil"/>
              <w:left w:val="nil"/>
              <w:bottom w:val="nil"/>
              <w:right w:val="nil"/>
            </w:tcBorders>
          </w:tcPr>
          <w:p w14:paraId="12D1B437" w14:textId="77777777" w:rsidR="001E3ECC" w:rsidRDefault="001E3ECC" w:rsidP="005451CD">
            <w:pPr>
              <w:jc w:val="both"/>
              <w:rPr>
                <w:rFonts w:ascii="Bookman Old Style" w:eastAsiaTheme="minorEastAsia" w:hAnsi="Bookman Old Style"/>
                <w:u w:val="single"/>
              </w:rPr>
            </w:pPr>
          </w:p>
        </w:tc>
        <w:tc>
          <w:tcPr>
            <w:tcW w:w="1804" w:type="dxa"/>
            <w:gridSpan w:val="2"/>
            <w:tcBorders>
              <w:top w:val="nil"/>
              <w:left w:val="nil"/>
              <w:bottom w:val="nil"/>
              <w:right w:val="nil"/>
            </w:tcBorders>
          </w:tcPr>
          <w:p w14:paraId="11FB4CEB" w14:textId="77777777" w:rsidR="001E3ECC" w:rsidRDefault="001E3ECC" w:rsidP="005451CD">
            <w:pPr>
              <w:jc w:val="both"/>
              <w:rPr>
                <w:rFonts w:ascii="Bookman Old Style" w:eastAsiaTheme="minorEastAsia" w:hAnsi="Bookman Old Style"/>
                <w:u w:val="single"/>
              </w:rPr>
            </w:pPr>
          </w:p>
        </w:tc>
        <w:tc>
          <w:tcPr>
            <w:tcW w:w="1388" w:type="dxa"/>
            <w:tcBorders>
              <w:top w:val="nil"/>
              <w:left w:val="nil"/>
              <w:bottom w:val="nil"/>
            </w:tcBorders>
          </w:tcPr>
          <w:p w14:paraId="70C289EB" w14:textId="77777777" w:rsidR="001E3ECC" w:rsidRDefault="001E3ECC" w:rsidP="005451CD">
            <w:pPr>
              <w:jc w:val="both"/>
              <w:rPr>
                <w:rFonts w:ascii="Bookman Old Style" w:eastAsiaTheme="minorEastAsia" w:hAnsi="Bookman Old Style"/>
                <w:u w:val="single"/>
              </w:rPr>
            </w:pPr>
          </w:p>
        </w:tc>
      </w:tr>
      <w:tr w:rsidR="001E3ECC" w14:paraId="1DD437B9" w14:textId="77777777" w:rsidTr="001E3ECC">
        <w:tc>
          <w:tcPr>
            <w:tcW w:w="2660" w:type="dxa"/>
            <w:tcBorders>
              <w:top w:val="nil"/>
              <w:right w:val="nil"/>
            </w:tcBorders>
          </w:tcPr>
          <w:p w14:paraId="74945CE6" w14:textId="77777777" w:rsidR="001E3ECC" w:rsidRDefault="001E3ECC" w:rsidP="005451CD">
            <w:pPr>
              <w:jc w:val="both"/>
              <w:rPr>
                <w:rFonts w:ascii="Bookman Old Style" w:eastAsiaTheme="minorEastAsia" w:hAnsi="Bookman Old Style"/>
              </w:rPr>
            </w:pPr>
          </w:p>
        </w:tc>
        <w:tc>
          <w:tcPr>
            <w:tcW w:w="640" w:type="dxa"/>
            <w:tcBorders>
              <w:top w:val="nil"/>
              <w:left w:val="nil"/>
              <w:right w:val="nil"/>
            </w:tcBorders>
          </w:tcPr>
          <w:p w14:paraId="7ABCE63A" w14:textId="77777777" w:rsidR="001E3ECC" w:rsidRDefault="001E3ECC" w:rsidP="005451CD">
            <w:pPr>
              <w:jc w:val="both"/>
              <w:rPr>
                <w:rFonts w:ascii="Bookman Old Style" w:eastAsiaTheme="minorEastAsia" w:hAnsi="Bookman Old Style"/>
              </w:rPr>
            </w:pPr>
          </w:p>
        </w:tc>
        <w:tc>
          <w:tcPr>
            <w:tcW w:w="1488" w:type="dxa"/>
            <w:gridSpan w:val="2"/>
            <w:tcBorders>
              <w:top w:val="nil"/>
              <w:left w:val="nil"/>
              <w:right w:val="nil"/>
            </w:tcBorders>
          </w:tcPr>
          <w:p w14:paraId="3BD936E2" w14:textId="77777777" w:rsidR="001E3ECC" w:rsidRDefault="001E3ECC" w:rsidP="005451CD">
            <w:pPr>
              <w:jc w:val="both"/>
              <w:rPr>
                <w:rFonts w:ascii="Bookman Old Style" w:eastAsiaTheme="minorEastAsia" w:hAnsi="Bookman Old Style"/>
                <w:u w:val="single"/>
              </w:rPr>
            </w:pPr>
          </w:p>
        </w:tc>
        <w:tc>
          <w:tcPr>
            <w:tcW w:w="1596" w:type="dxa"/>
            <w:gridSpan w:val="2"/>
            <w:tcBorders>
              <w:top w:val="nil"/>
              <w:left w:val="nil"/>
              <w:right w:val="nil"/>
            </w:tcBorders>
          </w:tcPr>
          <w:p w14:paraId="171B40AA" w14:textId="77777777" w:rsidR="001E3ECC" w:rsidRDefault="001E3ECC" w:rsidP="005451CD">
            <w:pPr>
              <w:jc w:val="both"/>
              <w:rPr>
                <w:rFonts w:ascii="Bookman Old Style" w:eastAsiaTheme="minorEastAsia" w:hAnsi="Bookman Old Style"/>
                <w:u w:val="single"/>
              </w:rPr>
            </w:pPr>
          </w:p>
        </w:tc>
        <w:tc>
          <w:tcPr>
            <w:tcW w:w="1804" w:type="dxa"/>
            <w:gridSpan w:val="2"/>
            <w:tcBorders>
              <w:top w:val="nil"/>
              <w:left w:val="nil"/>
              <w:right w:val="nil"/>
            </w:tcBorders>
          </w:tcPr>
          <w:p w14:paraId="0B8C74F4" w14:textId="77777777" w:rsidR="001E3ECC" w:rsidRDefault="001E3ECC" w:rsidP="005451CD">
            <w:pPr>
              <w:jc w:val="both"/>
              <w:rPr>
                <w:rFonts w:ascii="Bookman Old Style" w:eastAsiaTheme="minorEastAsia" w:hAnsi="Bookman Old Style"/>
                <w:u w:val="single"/>
              </w:rPr>
            </w:pPr>
          </w:p>
        </w:tc>
        <w:tc>
          <w:tcPr>
            <w:tcW w:w="1388" w:type="dxa"/>
            <w:tcBorders>
              <w:top w:val="nil"/>
              <w:left w:val="nil"/>
            </w:tcBorders>
          </w:tcPr>
          <w:p w14:paraId="266F7B26" w14:textId="77777777" w:rsidR="001E3ECC" w:rsidRDefault="001E3ECC" w:rsidP="005451CD">
            <w:pPr>
              <w:jc w:val="both"/>
              <w:rPr>
                <w:rFonts w:ascii="Bookman Old Style" w:eastAsiaTheme="minorEastAsia" w:hAnsi="Bookman Old Style"/>
                <w:u w:val="single"/>
              </w:rPr>
            </w:pPr>
          </w:p>
        </w:tc>
      </w:tr>
    </w:tbl>
    <w:p w14:paraId="426FC300" w14:textId="664928CB" w:rsidR="009C4033" w:rsidRDefault="009C4033" w:rsidP="005451CD">
      <w:pPr>
        <w:spacing w:after="0" w:line="240" w:lineRule="auto"/>
        <w:jc w:val="both"/>
        <w:rPr>
          <w:rFonts w:ascii="Bookman Old Style" w:eastAsiaTheme="minorEastAsia" w:hAnsi="Bookman Old Style"/>
        </w:rPr>
      </w:pPr>
    </w:p>
    <w:p w14:paraId="1FAED2E8" w14:textId="3D5A5B68" w:rsidR="001E3ECC" w:rsidRDefault="001E3ECC" w:rsidP="005451CD">
      <w:pPr>
        <w:spacing w:after="0" w:line="240" w:lineRule="auto"/>
        <w:jc w:val="both"/>
        <w:rPr>
          <w:rFonts w:ascii="Bookman Old Style" w:eastAsiaTheme="minorEastAsia" w:hAnsi="Bookman Old Style"/>
        </w:rPr>
      </w:pPr>
      <w:r>
        <w:rPr>
          <w:rFonts w:ascii="Bookman Old Style" w:eastAsiaTheme="minorEastAsia" w:hAnsi="Bookman Old Style"/>
        </w:rPr>
        <w:t>To calculate the average book value for this investment, note that we started out with a book value of $500,000 (the initial cost) and ended up at $0.</w:t>
      </w:r>
    </w:p>
    <w:p w14:paraId="07114A41" w14:textId="77777777" w:rsidR="001E3ECC" w:rsidRDefault="001E3ECC" w:rsidP="005451CD">
      <w:pPr>
        <w:spacing w:after="0" w:line="240" w:lineRule="auto"/>
        <w:jc w:val="both"/>
        <w:rPr>
          <w:rFonts w:ascii="Bookman Old Style" w:eastAsiaTheme="minorEastAsia" w:hAnsi="Bookman Old Style"/>
        </w:rPr>
      </w:pPr>
    </w:p>
    <w:p w14:paraId="4E717CAC" w14:textId="1B7F7A96" w:rsidR="001E3ECC" w:rsidRDefault="001E3ECC" w:rsidP="005451CD">
      <w:pPr>
        <w:spacing w:after="0" w:line="240" w:lineRule="auto"/>
        <w:jc w:val="both"/>
        <w:rPr>
          <w:rFonts w:ascii="Bookman Old Style" w:eastAsiaTheme="minorEastAsia" w:hAnsi="Bookman Old Style"/>
        </w:rPr>
      </w:pPr>
      <w:r>
        <w:rPr>
          <w:rFonts w:ascii="Bookman Old Style" w:eastAsiaTheme="minorEastAsia" w:hAnsi="Bookman Old Style"/>
        </w:rPr>
        <w:t>The average book value during the life of the investment is thus:</w:t>
      </w:r>
    </w:p>
    <w:p w14:paraId="7CDBE8D0" w14:textId="77777777" w:rsidR="001E3ECC" w:rsidRDefault="001E3ECC" w:rsidP="005451CD">
      <w:pPr>
        <w:spacing w:after="0" w:line="240" w:lineRule="auto"/>
        <w:jc w:val="both"/>
        <w:rPr>
          <w:rFonts w:ascii="Bookman Old Style" w:eastAsiaTheme="minorEastAsia" w:hAnsi="Bookman Old Style"/>
        </w:rPr>
      </w:pPr>
    </w:p>
    <w:p w14:paraId="048E8C43" w14:textId="521DDDBC" w:rsidR="001E3ECC" w:rsidRPr="001E3ECC" w:rsidRDefault="000E0536" w:rsidP="005451CD">
      <w:pPr>
        <w:spacing w:after="0" w:line="240" w:lineRule="auto"/>
        <w:jc w:val="both"/>
        <w:rPr>
          <w:rFonts w:ascii="Bookman Old Style" w:eastAsiaTheme="minorEastAsia" w:hAnsi="Bookman Old Style"/>
        </w:rPr>
      </w:pPr>
      <m:oMathPara>
        <m:oMath>
          <m:f>
            <m:fPr>
              <m:ctrlPr>
                <w:rPr>
                  <w:rFonts w:ascii="Cambria Math" w:eastAsiaTheme="minorEastAsia" w:hAnsi="Cambria Math"/>
                  <w:i/>
                </w:rPr>
              </m:ctrlPr>
            </m:fPr>
            <m:num>
              <m:r>
                <w:rPr>
                  <w:rFonts w:ascii="Cambria Math" w:eastAsiaTheme="minorEastAsia" w:hAnsi="Cambria Math"/>
                </w:rPr>
                <m:t>$500,000+0</m:t>
              </m:r>
            </m:num>
            <m:den>
              <m:r>
                <w:rPr>
                  <w:rFonts w:ascii="Cambria Math" w:eastAsiaTheme="minorEastAsia" w:hAnsi="Cambria Math"/>
                </w:rPr>
                <m:t>2</m:t>
              </m:r>
            </m:den>
          </m:f>
          <m:r>
            <w:rPr>
              <w:rFonts w:ascii="Cambria Math" w:eastAsiaTheme="minorEastAsia" w:hAnsi="Cambria Math"/>
            </w:rPr>
            <m:t>=$250,000</m:t>
          </m:r>
        </m:oMath>
      </m:oMathPara>
    </w:p>
    <w:p w14:paraId="1D43B458" w14:textId="77777777" w:rsidR="001E3ECC" w:rsidRDefault="001E3ECC" w:rsidP="005451CD">
      <w:pPr>
        <w:spacing w:after="0" w:line="240" w:lineRule="auto"/>
        <w:jc w:val="both"/>
        <w:rPr>
          <w:rFonts w:ascii="Bookman Old Style" w:eastAsiaTheme="minorEastAsia" w:hAnsi="Bookman Old Style"/>
        </w:rPr>
      </w:pPr>
    </w:p>
    <w:p w14:paraId="496A43C6" w14:textId="43E7C54B" w:rsidR="001E3ECC" w:rsidRDefault="001E3ECC" w:rsidP="005451CD">
      <w:pPr>
        <w:spacing w:after="0" w:line="240" w:lineRule="auto"/>
        <w:jc w:val="both"/>
        <w:rPr>
          <w:rFonts w:ascii="Bookman Old Style" w:eastAsiaTheme="minorEastAsia" w:hAnsi="Bookman Old Style"/>
        </w:rPr>
      </w:pPr>
      <w:r>
        <w:rPr>
          <w:rFonts w:ascii="Bookman Old Style" w:eastAsiaTheme="minorEastAsia" w:hAnsi="Bookman Old Style"/>
        </w:rPr>
        <w:t>As long as we use straight-line depreciation, the average investment is always ½ of the initial investment.</w:t>
      </w:r>
    </w:p>
    <w:p w14:paraId="4DC2C40B" w14:textId="77777777" w:rsidR="001E3ECC" w:rsidRDefault="001E3ECC" w:rsidP="005451CD">
      <w:pPr>
        <w:spacing w:after="0" w:line="240" w:lineRule="auto"/>
        <w:jc w:val="both"/>
        <w:rPr>
          <w:rFonts w:ascii="Bookman Old Style" w:eastAsiaTheme="minorEastAsia" w:hAnsi="Bookman Old Style"/>
        </w:rPr>
      </w:pPr>
    </w:p>
    <w:p w14:paraId="2D88AC48" w14:textId="4B4D88A7" w:rsidR="001E3ECC" w:rsidRDefault="001E3ECC" w:rsidP="005451CD">
      <w:pPr>
        <w:spacing w:after="0" w:line="240" w:lineRule="auto"/>
        <w:jc w:val="both"/>
        <w:rPr>
          <w:rFonts w:ascii="Bookman Old Style" w:eastAsiaTheme="minorEastAsia" w:hAnsi="Bookman Old Style"/>
        </w:rPr>
      </w:pPr>
      <w:r>
        <w:rPr>
          <w:rFonts w:ascii="Bookman Old Style" w:eastAsiaTheme="minorEastAsia" w:hAnsi="Bookman Old Style"/>
        </w:rPr>
        <w:t>Looking at the table, net income is $100,000 in the 1</w:t>
      </w:r>
      <w:r w:rsidRPr="001E3ECC">
        <w:rPr>
          <w:rFonts w:ascii="Bookman Old Style" w:eastAsiaTheme="minorEastAsia" w:hAnsi="Bookman Old Style"/>
          <w:vertAlign w:val="superscript"/>
        </w:rPr>
        <w:t>st</w:t>
      </w:r>
      <w:r>
        <w:rPr>
          <w:rFonts w:ascii="Bookman Old Style" w:eastAsiaTheme="minorEastAsia" w:hAnsi="Bookman Old Style"/>
        </w:rPr>
        <w:t xml:space="preserve"> year, $150,000 in the 2</w:t>
      </w:r>
      <w:r w:rsidRPr="001E3ECC">
        <w:rPr>
          <w:rFonts w:ascii="Bookman Old Style" w:eastAsiaTheme="minorEastAsia" w:hAnsi="Bookman Old Style"/>
          <w:vertAlign w:val="superscript"/>
        </w:rPr>
        <w:t>nd</w:t>
      </w:r>
      <w:r>
        <w:rPr>
          <w:rFonts w:ascii="Bookman Old Style" w:eastAsiaTheme="minorEastAsia" w:hAnsi="Bookman Old Style"/>
        </w:rPr>
        <w:t>, $50,000 in the 3</w:t>
      </w:r>
      <w:r w:rsidRPr="001E3ECC">
        <w:rPr>
          <w:rFonts w:ascii="Bookman Old Style" w:eastAsiaTheme="minorEastAsia" w:hAnsi="Bookman Old Style"/>
          <w:vertAlign w:val="superscript"/>
        </w:rPr>
        <w:t>rd</w:t>
      </w:r>
      <w:r>
        <w:rPr>
          <w:rFonts w:ascii="Bookman Old Style" w:eastAsiaTheme="minorEastAsia" w:hAnsi="Bookman Old Style"/>
        </w:rPr>
        <w:t xml:space="preserve"> year, $0 in the 4</w:t>
      </w:r>
      <w:r>
        <w:rPr>
          <w:rFonts w:ascii="Bookman Old Style" w:eastAsiaTheme="minorEastAsia" w:hAnsi="Bookman Old Style"/>
          <w:vertAlign w:val="superscript"/>
        </w:rPr>
        <w:t xml:space="preserve">th, </w:t>
      </w:r>
      <w:r w:rsidR="00130014">
        <w:rPr>
          <w:rFonts w:ascii="Bookman Old Style" w:eastAsiaTheme="minorEastAsia" w:hAnsi="Bookman Old Style"/>
        </w:rPr>
        <w:t>and -$50,000 in the 5</w:t>
      </w:r>
      <w:r w:rsidR="00130014" w:rsidRPr="00130014">
        <w:rPr>
          <w:rFonts w:ascii="Bookman Old Style" w:eastAsiaTheme="minorEastAsia" w:hAnsi="Bookman Old Style"/>
          <w:vertAlign w:val="superscript"/>
        </w:rPr>
        <w:t>th</w:t>
      </w:r>
      <w:r w:rsidR="00130014">
        <w:rPr>
          <w:rFonts w:ascii="Bookman Old Style" w:eastAsiaTheme="minorEastAsia" w:hAnsi="Bookman Old Style"/>
        </w:rPr>
        <w:t xml:space="preserve">. The average net </w:t>
      </w:r>
      <w:proofErr w:type="gramStart"/>
      <w:r w:rsidR="00130014">
        <w:rPr>
          <w:rFonts w:ascii="Bookman Old Style" w:eastAsiaTheme="minorEastAsia" w:hAnsi="Bookman Old Style"/>
        </w:rPr>
        <w:t>income,</w:t>
      </w:r>
      <w:proofErr w:type="gramEnd"/>
      <w:r w:rsidR="00130014">
        <w:rPr>
          <w:rFonts w:ascii="Bookman Old Style" w:eastAsiaTheme="minorEastAsia" w:hAnsi="Bookman Old Style"/>
        </w:rPr>
        <w:t xml:space="preserve"> then is:</w:t>
      </w:r>
    </w:p>
    <w:p w14:paraId="600C19FA" w14:textId="77777777" w:rsidR="00130014" w:rsidRDefault="00130014" w:rsidP="005451CD">
      <w:pPr>
        <w:spacing w:after="0" w:line="240" w:lineRule="auto"/>
        <w:jc w:val="both"/>
        <w:rPr>
          <w:rFonts w:ascii="Bookman Old Style" w:eastAsiaTheme="minorEastAsia" w:hAnsi="Bookman Old Style"/>
        </w:rPr>
      </w:pPr>
    </w:p>
    <w:p w14:paraId="788039AB" w14:textId="55E1B46D" w:rsidR="00130014" w:rsidRPr="00130014" w:rsidRDefault="000E0536" w:rsidP="005451CD">
      <w:pPr>
        <w:spacing w:after="0" w:line="240" w:lineRule="auto"/>
        <w:jc w:val="both"/>
        <w:rPr>
          <w:rFonts w:ascii="Bookman Old Style" w:eastAsiaTheme="minorEastAsia" w:hAnsi="Bookman Old Style"/>
        </w:rPr>
      </w:pPr>
      <m:oMathPara>
        <m:oMath>
          <m:f>
            <m:fPr>
              <m:ctrlPr>
                <w:rPr>
                  <w:rFonts w:ascii="Cambria Math" w:eastAsiaTheme="minorEastAsia" w:hAnsi="Cambria Math"/>
                  <w:i/>
                </w:rPr>
              </m:ctrlPr>
            </m:fPr>
            <m:num>
              <m:r>
                <w:rPr>
                  <w:rFonts w:ascii="Cambria Math" w:eastAsiaTheme="minorEastAsia" w:hAnsi="Cambria Math"/>
                </w:rPr>
                <m:t>$100,000+150,000+50,000+0+</m:t>
              </m:r>
              <m:d>
                <m:dPr>
                  <m:ctrlPr>
                    <w:rPr>
                      <w:rFonts w:ascii="Cambria Math" w:eastAsiaTheme="minorEastAsia" w:hAnsi="Cambria Math"/>
                      <w:i/>
                    </w:rPr>
                  </m:ctrlPr>
                </m:dPr>
                <m:e>
                  <m:r>
                    <w:rPr>
                      <w:rFonts w:ascii="Cambria Math" w:eastAsiaTheme="minorEastAsia" w:hAnsi="Cambria Math"/>
                    </w:rPr>
                    <m:t>-$50,000</m:t>
                  </m:r>
                </m:e>
              </m:d>
            </m:num>
            <m:den>
              <m:r>
                <w:rPr>
                  <w:rFonts w:ascii="Cambria Math" w:eastAsiaTheme="minorEastAsia" w:hAnsi="Cambria Math"/>
                </w:rPr>
                <m:t>5</m:t>
              </m:r>
            </m:den>
          </m:f>
          <m:r>
            <w:rPr>
              <w:rFonts w:ascii="Cambria Math" w:eastAsiaTheme="minorEastAsia" w:hAnsi="Cambria Math"/>
            </w:rPr>
            <m:t>=$50,000</m:t>
          </m:r>
        </m:oMath>
      </m:oMathPara>
    </w:p>
    <w:p w14:paraId="02B48B3A" w14:textId="77777777" w:rsidR="00130014" w:rsidRDefault="00130014" w:rsidP="005451CD">
      <w:pPr>
        <w:spacing w:after="0" w:line="240" w:lineRule="auto"/>
        <w:jc w:val="both"/>
        <w:rPr>
          <w:rFonts w:ascii="Bookman Old Style" w:eastAsiaTheme="minorEastAsia" w:hAnsi="Bookman Old Style"/>
        </w:rPr>
      </w:pPr>
    </w:p>
    <w:p w14:paraId="450EA3C5" w14:textId="77777777" w:rsidR="00130014" w:rsidRDefault="00130014" w:rsidP="005451CD">
      <w:pPr>
        <w:spacing w:after="0" w:line="240" w:lineRule="auto"/>
        <w:jc w:val="both"/>
        <w:rPr>
          <w:rFonts w:ascii="Bookman Old Style" w:eastAsiaTheme="minorEastAsia" w:hAnsi="Bookman Old Style"/>
        </w:rPr>
      </w:pPr>
    </w:p>
    <w:p w14:paraId="634DD323" w14:textId="39C35F6E" w:rsidR="00130014" w:rsidRDefault="00130014" w:rsidP="005451CD">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The average accounting return is:</w:t>
      </w:r>
    </w:p>
    <w:p w14:paraId="73D1269E" w14:textId="77777777" w:rsidR="00130014" w:rsidRDefault="00130014" w:rsidP="005451CD">
      <w:pPr>
        <w:spacing w:after="0" w:line="240" w:lineRule="auto"/>
        <w:jc w:val="both"/>
        <w:rPr>
          <w:rFonts w:ascii="Bookman Old Style" w:eastAsiaTheme="minorEastAsia" w:hAnsi="Bookman Old Style"/>
        </w:rPr>
      </w:pPr>
    </w:p>
    <w:p w14:paraId="5DAD9342" w14:textId="00B35848" w:rsidR="00130014" w:rsidRDefault="00130014" w:rsidP="005451CD">
      <w:pPr>
        <w:spacing w:after="0" w:line="240" w:lineRule="auto"/>
        <w:jc w:val="both"/>
        <w:rPr>
          <w:rFonts w:ascii="Bookman Old Style" w:eastAsiaTheme="minorEastAsia" w:hAnsi="Bookman Old Style"/>
        </w:rPr>
      </w:pPr>
      <m:oMathPara>
        <m:oMath>
          <m:r>
            <w:rPr>
              <w:rFonts w:ascii="Cambria Math" w:eastAsiaTheme="minorEastAsia" w:hAnsi="Cambria Math"/>
            </w:rPr>
            <m:t>AAR=</m:t>
          </m:r>
          <m:f>
            <m:fPr>
              <m:ctrlPr>
                <w:rPr>
                  <w:rFonts w:ascii="Cambria Math" w:eastAsiaTheme="minorEastAsia" w:hAnsi="Cambria Math"/>
                  <w:i/>
                </w:rPr>
              </m:ctrlPr>
            </m:fPr>
            <m:num>
              <m:r>
                <w:rPr>
                  <w:rFonts w:ascii="Cambria Math" w:eastAsiaTheme="minorEastAsia" w:hAnsi="Cambria Math"/>
                </w:rPr>
                <m:t>Average net income</m:t>
              </m:r>
            </m:num>
            <m:den>
              <m:r>
                <w:rPr>
                  <w:rFonts w:ascii="Cambria Math" w:eastAsiaTheme="minorEastAsia" w:hAnsi="Cambria Math"/>
                </w:rPr>
                <m:t>Average book value</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$50,000</m:t>
              </m:r>
            </m:num>
            <m:den>
              <m:r>
                <w:rPr>
                  <w:rFonts w:ascii="Cambria Math" w:eastAsiaTheme="minorEastAsia" w:hAnsi="Cambria Math"/>
                </w:rPr>
                <m:t>$250,000</m:t>
              </m:r>
            </m:den>
          </m:f>
          <m:r>
            <w:rPr>
              <w:rFonts w:ascii="Cambria Math" w:eastAsiaTheme="minorEastAsia" w:hAnsi="Cambria Math"/>
            </w:rPr>
            <m:t>=20%</m:t>
          </m:r>
        </m:oMath>
      </m:oMathPara>
    </w:p>
    <w:p w14:paraId="1730C552" w14:textId="77777777" w:rsidR="00130014" w:rsidRDefault="00130014" w:rsidP="005451CD">
      <w:pPr>
        <w:spacing w:after="0" w:line="240" w:lineRule="auto"/>
        <w:jc w:val="both"/>
        <w:rPr>
          <w:rFonts w:ascii="Bookman Old Style" w:eastAsiaTheme="minorEastAsia" w:hAnsi="Bookman Old Style"/>
        </w:rPr>
      </w:pPr>
    </w:p>
    <w:p w14:paraId="49AED3AA" w14:textId="402204B0" w:rsidR="007F08FF" w:rsidRDefault="007F08FF" w:rsidP="005451CD">
      <w:pPr>
        <w:spacing w:after="0" w:line="240" w:lineRule="auto"/>
        <w:jc w:val="both"/>
        <w:rPr>
          <w:rFonts w:ascii="Bookman Old Style" w:eastAsiaTheme="minorEastAsia" w:hAnsi="Bookman Old Style"/>
        </w:rPr>
      </w:pPr>
      <w:r>
        <w:rPr>
          <w:rFonts w:ascii="Bookman Old Style" w:eastAsiaTheme="minorEastAsia" w:hAnsi="Bookman Old Style"/>
        </w:rPr>
        <w:t xml:space="preserve">If the firm has a target AAR less than 20%, this investment is acceptable; otherwise it’s not. The </w:t>
      </w:r>
      <w:r>
        <w:rPr>
          <w:rFonts w:ascii="Bookman Old Style" w:eastAsiaTheme="minorEastAsia" w:hAnsi="Bookman Old Style"/>
          <w:b/>
          <w:i/>
        </w:rPr>
        <w:t>average accounting return rule</w:t>
      </w:r>
      <w:r>
        <w:rPr>
          <w:rFonts w:ascii="Bookman Old Style" w:eastAsiaTheme="minorEastAsia" w:hAnsi="Bookman Old Style"/>
        </w:rPr>
        <w:t xml:space="preserve"> is thus:</w:t>
      </w:r>
    </w:p>
    <w:p w14:paraId="6E1BEB62" w14:textId="77777777" w:rsidR="007F08FF" w:rsidRPr="007F08FF" w:rsidRDefault="007F08FF" w:rsidP="005451CD">
      <w:pPr>
        <w:spacing w:after="0" w:line="240" w:lineRule="auto"/>
        <w:jc w:val="center"/>
        <w:rPr>
          <w:rFonts w:ascii="Bookman Old Style" w:eastAsiaTheme="minorEastAsia" w:hAnsi="Bookman Old Style"/>
          <w:i/>
        </w:rPr>
      </w:pPr>
    </w:p>
    <w:tbl>
      <w:tblPr>
        <w:tblStyle w:val="TableGrid"/>
        <w:tblW w:w="0" w:type="auto"/>
        <w:jc w:val="center"/>
        <w:tblCellSpacing w:w="20" w:type="dxa"/>
        <w:tblInd w:w="1063"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8593"/>
      </w:tblGrid>
      <w:tr w:rsidR="00CE7F30" w14:paraId="67F48BE5" w14:textId="77777777" w:rsidTr="00CE7F30">
        <w:trPr>
          <w:tblCellSpacing w:w="20" w:type="dxa"/>
          <w:jc w:val="center"/>
        </w:trPr>
        <w:tc>
          <w:tcPr>
            <w:tcW w:w="8513" w:type="dxa"/>
          </w:tcPr>
          <w:p w14:paraId="306D30C4" w14:textId="5AF07E0B" w:rsidR="00CE7F30" w:rsidRDefault="00CE7F30" w:rsidP="005451CD">
            <w:pPr>
              <w:jc w:val="center"/>
              <w:rPr>
                <w:rFonts w:ascii="Bookman Old Style" w:eastAsiaTheme="minorEastAsia" w:hAnsi="Bookman Old Style"/>
                <w:i/>
              </w:rPr>
            </w:pPr>
            <w:r w:rsidRPr="007F08FF">
              <w:rPr>
                <w:rFonts w:ascii="Bookman Old Style" w:eastAsiaTheme="minorEastAsia" w:hAnsi="Bookman Old Style"/>
                <w:i/>
              </w:rPr>
              <w:t>Based on the average accounting return rule, a project is acceptable is its average accounting return exceeds a target average accounting return.</w:t>
            </w:r>
          </w:p>
        </w:tc>
      </w:tr>
    </w:tbl>
    <w:p w14:paraId="1E3E5EAC" w14:textId="77777777" w:rsidR="007F08FF" w:rsidRDefault="007F08FF" w:rsidP="005451CD">
      <w:pPr>
        <w:spacing w:after="0" w:line="240" w:lineRule="auto"/>
        <w:jc w:val="center"/>
        <w:rPr>
          <w:rFonts w:ascii="Bookman Old Style" w:eastAsiaTheme="minorEastAsia" w:hAnsi="Bookman Old Style"/>
          <w:i/>
        </w:rPr>
      </w:pPr>
    </w:p>
    <w:p w14:paraId="59C2B2B1" w14:textId="396732C9" w:rsidR="007F08FF" w:rsidRDefault="004D5709" w:rsidP="005451CD">
      <w:pPr>
        <w:spacing w:after="0" w:line="240" w:lineRule="auto"/>
        <w:jc w:val="both"/>
        <w:rPr>
          <w:rFonts w:ascii="Bookman Old Style" w:eastAsiaTheme="minorEastAsia" w:hAnsi="Bookman Old Style"/>
        </w:rPr>
      </w:pPr>
      <w:r>
        <w:rPr>
          <w:rFonts w:ascii="Bookman Old Style" w:eastAsiaTheme="minorEastAsia" w:hAnsi="Bookman Old Style"/>
        </w:rPr>
        <w:t>But this rule has a lot of problems.</w:t>
      </w:r>
    </w:p>
    <w:p w14:paraId="3C3ADE19" w14:textId="77777777" w:rsidR="004D5709" w:rsidRDefault="004D5709" w:rsidP="005451CD">
      <w:pPr>
        <w:spacing w:after="0" w:line="240" w:lineRule="auto"/>
        <w:jc w:val="both"/>
        <w:rPr>
          <w:rFonts w:ascii="Bookman Old Style" w:eastAsiaTheme="minorEastAsia" w:hAnsi="Bookman Old Style"/>
        </w:rPr>
      </w:pPr>
    </w:p>
    <w:p w14:paraId="7493155C" w14:textId="77777777" w:rsidR="004D5709" w:rsidRDefault="004D5709" w:rsidP="005451CD">
      <w:pPr>
        <w:spacing w:after="0" w:line="240" w:lineRule="auto"/>
        <w:jc w:val="both"/>
        <w:rPr>
          <w:rFonts w:ascii="Bookman Old Style" w:eastAsiaTheme="minorEastAsia" w:hAnsi="Bookman Old Style"/>
          <w:b/>
          <w:u w:val="single"/>
        </w:rPr>
      </w:pPr>
    </w:p>
    <w:p w14:paraId="47140A5B" w14:textId="66DE2DE2" w:rsidR="004D5709" w:rsidRDefault="004D5709" w:rsidP="005451CD">
      <w:pPr>
        <w:spacing w:after="0" w:line="240" w:lineRule="auto"/>
        <w:jc w:val="both"/>
        <w:rPr>
          <w:rFonts w:ascii="Bookman Old Style" w:eastAsiaTheme="minorEastAsia" w:hAnsi="Bookman Old Style"/>
          <w:b/>
          <w:u w:val="single"/>
        </w:rPr>
      </w:pPr>
      <w:r>
        <w:rPr>
          <w:rFonts w:ascii="Bookman Old Style" w:eastAsiaTheme="minorEastAsia" w:hAnsi="Bookman Old Style"/>
          <w:b/>
          <w:u w:val="single"/>
        </w:rPr>
        <w:t>Analyzing the Average Accounting Return Method</w:t>
      </w:r>
    </w:p>
    <w:p w14:paraId="49A75798" w14:textId="7BB010F0" w:rsidR="004D5709" w:rsidRDefault="004D5709" w:rsidP="005451CD">
      <w:pPr>
        <w:spacing w:after="0" w:line="240" w:lineRule="auto"/>
        <w:jc w:val="both"/>
        <w:rPr>
          <w:rFonts w:ascii="Bookman Old Style" w:eastAsiaTheme="minorEastAsia" w:hAnsi="Bookman Old Style"/>
        </w:rPr>
      </w:pPr>
      <w:r>
        <w:rPr>
          <w:rFonts w:ascii="Bookman Old Style" w:eastAsiaTheme="minorEastAsia" w:hAnsi="Bookman Old Style"/>
        </w:rPr>
        <w:t>You can see the drawback to the AAR right away – the AAR isn’t a rate of return in any meaningful economic sense. Instead, it’s the ratio of 2 accounting numbers and isn’t comparable to the returns offered (for example) in financial markets.</w:t>
      </w:r>
    </w:p>
    <w:p w14:paraId="3FFA2D7E" w14:textId="77777777" w:rsidR="004D5709" w:rsidRDefault="004D5709" w:rsidP="005451CD">
      <w:pPr>
        <w:spacing w:after="0" w:line="240" w:lineRule="auto"/>
        <w:jc w:val="both"/>
        <w:rPr>
          <w:rFonts w:ascii="Bookman Old Style" w:eastAsiaTheme="minorEastAsia" w:hAnsi="Bookman Old Style"/>
        </w:rPr>
      </w:pPr>
    </w:p>
    <w:p w14:paraId="6EEAD39E" w14:textId="77777777" w:rsidR="005C42E6" w:rsidRDefault="005C42E6" w:rsidP="005451CD">
      <w:pPr>
        <w:spacing w:after="0" w:line="240" w:lineRule="auto"/>
        <w:jc w:val="both"/>
        <w:rPr>
          <w:rFonts w:ascii="Bookman Old Style" w:eastAsiaTheme="minorEastAsia" w:hAnsi="Bookman Old Style"/>
        </w:rPr>
      </w:pPr>
      <w:r>
        <w:rPr>
          <w:rFonts w:ascii="Bookman Old Style" w:eastAsiaTheme="minorEastAsia" w:hAnsi="Bookman Old Style"/>
        </w:rPr>
        <w:t>Problems with AAR:</w:t>
      </w:r>
    </w:p>
    <w:p w14:paraId="47A2286B" w14:textId="77777777" w:rsidR="005C42E6" w:rsidRDefault="005C42E6" w:rsidP="005451CD">
      <w:pPr>
        <w:spacing w:after="0" w:line="240" w:lineRule="auto"/>
        <w:jc w:val="both"/>
        <w:rPr>
          <w:rFonts w:ascii="Bookman Old Style" w:eastAsiaTheme="minorEastAsia" w:hAnsi="Bookman Old Style"/>
        </w:rPr>
      </w:pPr>
    </w:p>
    <w:p w14:paraId="08BF8ADF" w14:textId="4CFA9F43" w:rsidR="004D5709" w:rsidRPr="005C42E6" w:rsidRDefault="005C42E6" w:rsidP="005451CD">
      <w:pPr>
        <w:pStyle w:val="ListParagraph"/>
        <w:numPr>
          <w:ilvl w:val="0"/>
          <w:numId w:val="36"/>
        </w:numPr>
        <w:spacing w:after="0" w:line="240" w:lineRule="auto"/>
        <w:jc w:val="both"/>
        <w:rPr>
          <w:rFonts w:ascii="Bookman Old Style" w:eastAsiaTheme="minorEastAsia" w:hAnsi="Bookman Old Style"/>
        </w:rPr>
      </w:pPr>
      <w:r w:rsidRPr="005C42E6">
        <w:rPr>
          <w:rFonts w:ascii="Bookman Old Style" w:eastAsiaTheme="minorEastAsia" w:hAnsi="Bookman Old Style"/>
        </w:rPr>
        <w:t xml:space="preserve">It </w:t>
      </w:r>
      <w:r w:rsidR="004D5709" w:rsidRPr="005C42E6">
        <w:rPr>
          <w:rFonts w:ascii="Bookman Old Style" w:eastAsiaTheme="minorEastAsia" w:hAnsi="Bookman Old Style"/>
        </w:rPr>
        <w:t xml:space="preserve">isn’t a true rate of return because it ignores </w:t>
      </w:r>
      <w:r w:rsidR="004D5709" w:rsidRPr="005C42E6">
        <w:rPr>
          <w:rFonts w:ascii="Bookman Old Style" w:eastAsiaTheme="minorEastAsia" w:hAnsi="Bookman Old Style"/>
          <w:u w:val="single"/>
        </w:rPr>
        <w:t>time value</w:t>
      </w:r>
      <w:r w:rsidR="004D5709" w:rsidRPr="005C42E6">
        <w:rPr>
          <w:rFonts w:ascii="Bookman Old Style" w:eastAsiaTheme="minorEastAsia" w:hAnsi="Bookman Old Style"/>
        </w:rPr>
        <w:t xml:space="preserve"> – when we average figures that occur at different times, we’re treating near future and </w:t>
      </w:r>
      <w:r>
        <w:rPr>
          <w:rFonts w:ascii="Bookman Old Style" w:eastAsiaTheme="minorEastAsia" w:hAnsi="Bookman Old Style"/>
        </w:rPr>
        <w:t xml:space="preserve">the </w:t>
      </w:r>
      <w:r w:rsidR="004D5709" w:rsidRPr="005C42E6">
        <w:rPr>
          <w:rFonts w:ascii="Bookman Old Style" w:eastAsiaTheme="minorEastAsia" w:hAnsi="Bookman Old Style"/>
        </w:rPr>
        <w:t>more distant future the same way. For example, there was no discounting when we computed the average net income.</w:t>
      </w:r>
    </w:p>
    <w:p w14:paraId="376E0C91" w14:textId="77777777" w:rsidR="005C42E6" w:rsidRDefault="005C42E6" w:rsidP="005451CD">
      <w:pPr>
        <w:spacing w:after="0" w:line="240" w:lineRule="auto"/>
        <w:jc w:val="both"/>
        <w:rPr>
          <w:rFonts w:ascii="Bookman Old Style" w:eastAsiaTheme="minorEastAsia" w:hAnsi="Bookman Old Style"/>
        </w:rPr>
      </w:pPr>
    </w:p>
    <w:p w14:paraId="5A773107" w14:textId="650D0DC3" w:rsidR="005C42E6" w:rsidRPr="005C42E6" w:rsidRDefault="005C42E6" w:rsidP="005451CD">
      <w:pPr>
        <w:pStyle w:val="ListParagraph"/>
        <w:numPr>
          <w:ilvl w:val="0"/>
          <w:numId w:val="36"/>
        </w:numPr>
        <w:spacing w:after="0" w:line="240" w:lineRule="auto"/>
        <w:jc w:val="both"/>
        <w:rPr>
          <w:rFonts w:ascii="Bookman Old Style" w:eastAsiaTheme="minorEastAsia" w:hAnsi="Bookman Old Style"/>
        </w:rPr>
      </w:pPr>
      <w:r w:rsidRPr="005C42E6">
        <w:rPr>
          <w:rFonts w:ascii="Bookman Old Style" w:eastAsiaTheme="minorEastAsia" w:hAnsi="Bookman Old Style"/>
        </w:rPr>
        <w:t>This is almost the same as the problem we had with the payback period rule (about the lack of an objective cutoff period).</w:t>
      </w:r>
    </w:p>
    <w:p w14:paraId="350BC85E" w14:textId="77777777" w:rsidR="005C42E6" w:rsidRPr="005C42E6" w:rsidRDefault="005C42E6" w:rsidP="005451CD">
      <w:pPr>
        <w:spacing w:after="0" w:line="240" w:lineRule="auto"/>
        <w:jc w:val="both"/>
        <w:rPr>
          <w:rFonts w:ascii="Bookman Old Style" w:eastAsiaTheme="minorEastAsia" w:hAnsi="Bookman Old Style"/>
        </w:rPr>
      </w:pPr>
    </w:p>
    <w:p w14:paraId="641F00E1" w14:textId="30F62435" w:rsidR="005C42E6" w:rsidRDefault="005C42E6" w:rsidP="005451CD">
      <w:pPr>
        <w:pStyle w:val="ListParagraph"/>
        <w:spacing w:after="0" w:line="240" w:lineRule="auto"/>
        <w:jc w:val="both"/>
        <w:rPr>
          <w:rFonts w:ascii="Bookman Old Style" w:eastAsiaTheme="minorEastAsia" w:hAnsi="Bookman Old Style"/>
        </w:rPr>
      </w:pPr>
      <w:r>
        <w:rPr>
          <w:rFonts w:ascii="Bookman Old Style" w:eastAsiaTheme="minorEastAsia" w:hAnsi="Bookman Old Style"/>
        </w:rPr>
        <w:t>Because a calculated AAR isn’t really comparable to a market return, the target AAR should be specified in some way. There’s no one way to d</w:t>
      </w:r>
      <w:r w:rsidR="00BD659F">
        <w:rPr>
          <w:rFonts w:ascii="Bookman Old Style" w:eastAsiaTheme="minorEastAsia" w:hAnsi="Bookman Old Style"/>
        </w:rPr>
        <w:t>o</w:t>
      </w:r>
      <w:r>
        <w:rPr>
          <w:rFonts w:ascii="Bookman Old Style" w:eastAsiaTheme="minorEastAsia" w:hAnsi="Bookman Old Style"/>
        </w:rPr>
        <w:t xml:space="preserve"> this – one way is to calculate the AAR for the firm as a whole</w:t>
      </w:r>
      <w:r w:rsidR="00BD659F">
        <w:rPr>
          <w:rFonts w:ascii="Bookman Old Style" w:eastAsiaTheme="minorEastAsia" w:hAnsi="Bookman Old Style"/>
        </w:rPr>
        <w:t xml:space="preserve"> and use it as a benchmark – but there are many ways</w:t>
      </w:r>
    </w:p>
    <w:p w14:paraId="490DC973" w14:textId="77777777" w:rsidR="00BD659F" w:rsidRDefault="00BD659F" w:rsidP="005451CD">
      <w:pPr>
        <w:spacing w:after="0" w:line="240" w:lineRule="auto"/>
        <w:jc w:val="both"/>
        <w:rPr>
          <w:rFonts w:ascii="Bookman Old Style" w:eastAsiaTheme="minorEastAsia" w:hAnsi="Bookman Old Style"/>
        </w:rPr>
      </w:pPr>
    </w:p>
    <w:p w14:paraId="333E65A6" w14:textId="60660297" w:rsidR="00BD659F" w:rsidRDefault="00BD659F" w:rsidP="005451CD">
      <w:pPr>
        <w:pStyle w:val="ListParagraph"/>
        <w:numPr>
          <w:ilvl w:val="0"/>
          <w:numId w:val="36"/>
        </w:numPr>
        <w:spacing w:after="0" w:line="240" w:lineRule="auto"/>
        <w:jc w:val="both"/>
        <w:rPr>
          <w:rFonts w:ascii="Bookman Old Style" w:eastAsiaTheme="minorEastAsia" w:hAnsi="Bookman Old Style"/>
        </w:rPr>
      </w:pPr>
      <w:r>
        <w:rPr>
          <w:rFonts w:ascii="Bookman Old Style" w:eastAsiaTheme="minorEastAsia" w:hAnsi="Bookman Old Style"/>
        </w:rPr>
        <w:t xml:space="preserve">The worst way, and a flaw in the AAR is that it doesn’t even look at the right things. Instead of </w:t>
      </w:r>
      <w:r w:rsidRPr="00BD659F">
        <w:rPr>
          <w:rFonts w:ascii="Bookman Old Style" w:eastAsiaTheme="minorEastAsia" w:hAnsi="Bookman Old Style"/>
          <w:u w:val="single"/>
        </w:rPr>
        <w:t>cash flow</w:t>
      </w:r>
      <w:r>
        <w:rPr>
          <w:rFonts w:ascii="Bookman Old Style" w:eastAsiaTheme="minorEastAsia" w:hAnsi="Bookman Old Style"/>
        </w:rPr>
        <w:t xml:space="preserve"> and </w:t>
      </w:r>
      <w:r w:rsidRPr="00BD659F">
        <w:rPr>
          <w:rFonts w:ascii="Bookman Old Style" w:eastAsiaTheme="minorEastAsia" w:hAnsi="Bookman Old Style"/>
          <w:u w:val="single"/>
        </w:rPr>
        <w:t>market value</w:t>
      </w:r>
      <w:r>
        <w:rPr>
          <w:rFonts w:ascii="Bookman Old Style" w:eastAsiaTheme="minorEastAsia" w:hAnsi="Bookman Old Style"/>
        </w:rPr>
        <w:t xml:space="preserve">, it uses </w:t>
      </w:r>
      <w:r w:rsidRPr="00BD659F">
        <w:rPr>
          <w:rFonts w:ascii="Bookman Old Style" w:eastAsiaTheme="minorEastAsia" w:hAnsi="Bookman Old Style"/>
          <w:u w:val="single"/>
        </w:rPr>
        <w:t>net income</w:t>
      </w:r>
      <w:r>
        <w:rPr>
          <w:rFonts w:ascii="Bookman Old Style" w:eastAsiaTheme="minorEastAsia" w:hAnsi="Bookman Old Style"/>
        </w:rPr>
        <w:t xml:space="preserve"> and </w:t>
      </w:r>
      <w:r w:rsidRPr="00BD659F">
        <w:rPr>
          <w:rFonts w:ascii="Bookman Old Style" w:eastAsiaTheme="minorEastAsia" w:hAnsi="Bookman Old Style"/>
          <w:u w:val="single"/>
        </w:rPr>
        <w:t>book value</w:t>
      </w:r>
      <w:r>
        <w:rPr>
          <w:rFonts w:ascii="Bookman Old Style" w:eastAsiaTheme="minorEastAsia" w:hAnsi="Bookman Old Style"/>
        </w:rPr>
        <w:t>. These are both poor substitutes because the value of the firm is the PV of future cash flows.</w:t>
      </w:r>
    </w:p>
    <w:p w14:paraId="08E1FAFA" w14:textId="77777777" w:rsidR="00BD659F" w:rsidRDefault="00BD659F" w:rsidP="005451CD">
      <w:pPr>
        <w:pStyle w:val="ListParagraph"/>
        <w:spacing w:after="0" w:line="240" w:lineRule="auto"/>
        <w:jc w:val="both"/>
        <w:rPr>
          <w:rFonts w:ascii="Bookman Old Style" w:eastAsiaTheme="minorEastAsia" w:hAnsi="Bookman Old Style"/>
        </w:rPr>
      </w:pPr>
    </w:p>
    <w:p w14:paraId="447E366B" w14:textId="06EC80A7" w:rsidR="00BD659F" w:rsidRDefault="00BD659F" w:rsidP="005451CD">
      <w:pPr>
        <w:pStyle w:val="ListParagraph"/>
        <w:spacing w:after="0" w:line="240" w:lineRule="auto"/>
        <w:jc w:val="both"/>
        <w:rPr>
          <w:rFonts w:ascii="Bookman Old Style" w:eastAsiaTheme="minorEastAsia" w:hAnsi="Bookman Old Style"/>
        </w:rPr>
      </w:pPr>
      <w:r>
        <w:rPr>
          <w:rFonts w:ascii="Bookman Old Style" w:eastAsiaTheme="minorEastAsia" w:hAnsi="Bookman Old Style"/>
        </w:rPr>
        <w:t>As a result, an AAR doesn’t tell us what the effect on share price will be from taking an investment, so it doesn’t tell us what we really want to know.</w:t>
      </w:r>
    </w:p>
    <w:p w14:paraId="19B319AB" w14:textId="77777777" w:rsidR="00BD659F" w:rsidRDefault="00BD659F" w:rsidP="005451CD">
      <w:pPr>
        <w:spacing w:after="0" w:line="240" w:lineRule="auto"/>
        <w:jc w:val="both"/>
        <w:rPr>
          <w:rFonts w:ascii="Bookman Old Style" w:eastAsiaTheme="minorEastAsia" w:hAnsi="Bookman Old Style"/>
        </w:rPr>
      </w:pPr>
    </w:p>
    <w:p w14:paraId="066780D9" w14:textId="43ECDE83" w:rsidR="00BD659F" w:rsidRDefault="00BD659F" w:rsidP="005451CD">
      <w:pPr>
        <w:spacing w:after="0" w:line="240" w:lineRule="auto"/>
        <w:jc w:val="both"/>
        <w:rPr>
          <w:rFonts w:ascii="Bookman Old Style" w:eastAsiaTheme="minorEastAsia" w:hAnsi="Bookman Old Style"/>
        </w:rPr>
      </w:pPr>
      <w:r>
        <w:rPr>
          <w:rFonts w:ascii="Bookman Old Style" w:eastAsiaTheme="minorEastAsia" w:hAnsi="Bookman Old Style"/>
        </w:rPr>
        <w:t>The only redeeming feature of the AAR is that it almost always can be computed because accounting information is almost always available – for the project under consideration and for the firm as a whole.</w:t>
      </w:r>
    </w:p>
    <w:p w14:paraId="7AE87C13" w14:textId="77777777" w:rsidR="00BD659F" w:rsidRDefault="00BD659F" w:rsidP="005451CD">
      <w:pPr>
        <w:spacing w:after="0" w:line="240" w:lineRule="auto"/>
        <w:jc w:val="both"/>
        <w:rPr>
          <w:rFonts w:ascii="Bookman Old Style" w:eastAsiaTheme="minorEastAsia" w:hAnsi="Bookman Old Style"/>
        </w:rPr>
      </w:pPr>
    </w:p>
    <w:p w14:paraId="712119EF" w14:textId="3623AE35" w:rsidR="00BD659F" w:rsidRDefault="00BD659F" w:rsidP="005451CD">
      <w:pPr>
        <w:spacing w:after="0" w:line="240" w:lineRule="auto"/>
        <w:jc w:val="both"/>
        <w:rPr>
          <w:rFonts w:ascii="Bookman Old Style" w:eastAsiaTheme="minorEastAsia" w:hAnsi="Bookman Old Style"/>
        </w:rPr>
      </w:pPr>
      <w:r>
        <w:rPr>
          <w:rFonts w:ascii="Bookman Old Style" w:eastAsiaTheme="minorEastAsia" w:hAnsi="Bookman Old Style"/>
        </w:rPr>
        <w:t>Once the accounting information is available, we can always convert it to cash flows, so even this isn’t a particularly important fact.</w:t>
      </w:r>
    </w:p>
    <w:p w14:paraId="4B4C8E62" w14:textId="77777777" w:rsidR="00BD659F" w:rsidRDefault="00BD659F" w:rsidP="005451CD">
      <w:pPr>
        <w:spacing w:after="0" w:line="240" w:lineRule="auto"/>
        <w:jc w:val="both"/>
        <w:rPr>
          <w:rFonts w:ascii="Bookman Old Style" w:eastAsiaTheme="minorEastAsia" w:hAnsi="Bookman Old Style"/>
        </w:rPr>
      </w:pPr>
    </w:p>
    <w:tbl>
      <w:tblPr>
        <w:tblStyle w:val="MediumGrid1-Accent3"/>
        <w:tblW w:w="0" w:type="auto"/>
        <w:tblLook w:val="04A0" w:firstRow="1" w:lastRow="0" w:firstColumn="1" w:lastColumn="0" w:noHBand="0" w:noVBand="1"/>
      </w:tblPr>
      <w:tblGrid>
        <w:gridCol w:w="4788"/>
        <w:gridCol w:w="4788"/>
      </w:tblGrid>
      <w:tr w:rsidR="00BD659F" w14:paraId="2BA271C5" w14:textId="77777777" w:rsidTr="00BD65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gridSpan w:val="2"/>
          </w:tcPr>
          <w:p w14:paraId="6B335721" w14:textId="16F0FD6F" w:rsidR="00BD659F" w:rsidRPr="00B617A6" w:rsidRDefault="00BD659F" w:rsidP="005451CD">
            <w:pPr>
              <w:jc w:val="center"/>
              <w:rPr>
                <w:rFonts w:ascii="Bookman Old Style" w:eastAsiaTheme="minorEastAsia" w:hAnsi="Bookman Old Style"/>
                <w:sz w:val="20"/>
              </w:rPr>
            </w:pPr>
            <w:r w:rsidRPr="00B617A6">
              <w:rPr>
                <w:rFonts w:ascii="Bookman Old Style" w:eastAsiaTheme="minorEastAsia" w:hAnsi="Bookman Old Style"/>
                <w:sz w:val="20"/>
              </w:rPr>
              <w:lastRenderedPageBreak/>
              <w:t xml:space="preserve">Advantages &amp; Disadvantages of the </w:t>
            </w:r>
            <w:r>
              <w:rPr>
                <w:rFonts w:ascii="Bookman Old Style" w:eastAsiaTheme="minorEastAsia" w:hAnsi="Bookman Old Style"/>
                <w:sz w:val="20"/>
              </w:rPr>
              <w:t>Average Accounting Return (AAR) Rule</w:t>
            </w:r>
          </w:p>
        </w:tc>
      </w:tr>
      <w:tr w:rsidR="00BD659F" w14:paraId="1137053D" w14:textId="77777777" w:rsidTr="00BD65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11F351E2" w14:textId="77777777" w:rsidR="00BD659F" w:rsidRPr="00B617A6" w:rsidRDefault="00BD659F" w:rsidP="005451CD">
            <w:pPr>
              <w:jc w:val="center"/>
              <w:rPr>
                <w:rFonts w:ascii="Bookman Old Style" w:eastAsiaTheme="minorEastAsia" w:hAnsi="Bookman Old Style"/>
                <w:i/>
                <w:sz w:val="20"/>
              </w:rPr>
            </w:pPr>
            <w:r w:rsidRPr="00B617A6">
              <w:rPr>
                <w:rFonts w:ascii="Bookman Old Style" w:eastAsiaTheme="minorEastAsia" w:hAnsi="Bookman Old Style"/>
                <w:i/>
                <w:sz w:val="20"/>
              </w:rPr>
              <w:t>Advantages</w:t>
            </w:r>
          </w:p>
        </w:tc>
        <w:tc>
          <w:tcPr>
            <w:tcW w:w="4788" w:type="dxa"/>
          </w:tcPr>
          <w:p w14:paraId="3E99113C" w14:textId="77777777" w:rsidR="00BD659F" w:rsidRPr="00B617A6" w:rsidRDefault="00BD659F" w:rsidP="005451CD">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b/>
                <w:i/>
                <w:sz w:val="20"/>
              </w:rPr>
            </w:pPr>
            <w:r w:rsidRPr="00B617A6">
              <w:rPr>
                <w:rFonts w:ascii="Bookman Old Style" w:eastAsiaTheme="minorEastAsia" w:hAnsi="Bookman Old Style"/>
                <w:b/>
                <w:i/>
                <w:sz w:val="20"/>
              </w:rPr>
              <w:t>Disadvantages</w:t>
            </w:r>
          </w:p>
        </w:tc>
      </w:tr>
      <w:tr w:rsidR="00BD659F" w14:paraId="389B2C68" w14:textId="77777777" w:rsidTr="00BD659F">
        <w:tc>
          <w:tcPr>
            <w:cnfStyle w:val="001000000000" w:firstRow="0" w:lastRow="0" w:firstColumn="1" w:lastColumn="0" w:oddVBand="0" w:evenVBand="0" w:oddHBand="0" w:evenHBand="0" w:firstRowFirstColumn="0" w:firstRowLastColumn="0" w:lastRowFirstColumn="0" w:lastRowLastColumn="0"/>
            <w:tcW w:w="4788" w:type="dxa"/>
          </w:tcPr>
          <w:p w14:paraId="06D0B1DB" w14:textId="11DC89B4" w:rsidR="00BD659F" w:rsidRPr="00B617A6" w:rsidRDefault="00BD659F" w:rsidP="005451CD">
            <w:pPr>
              <w:jc w:val="both"/>
              <w:rPr>
                <w:rFonts w:ascii="Bookman Old Style" w:eastAsiaTheme="minorEastAsia" w:hAnsi="Bookman Old Style"/>
                <w:b w:val="0"/>
                <w:sz w:val="20"/>
              </w:rPr>
            </w:pPr>
            <w:r w:rsidRPr="00B617A6">
              <w:rPr>
                <w:rFonts w:ascii="Bookman Old Style" w:eastAsiaTheme="minorEastAsia" w:hAnsi="Bookman Old Style"/>
                <w:b w:val="0"/>
                <w:sz w:val="20"/>
              </w:rPr>
              <w:t xml:space="preserve">1. </w:t>
            </w:r>
            <w:r>
              <w:rPr>
                <w:rFonts w:ascii="Bookman Old Style" w:eastAsiaTheme="minorEastAsia" w:hAnsi="Bookman Old Style"/>
                <w:b w:val="0"/>
                <w:sz w:val="20"/>
              </w:rPr>
              <w:t>Easy to calculate</w:t>
            </w:r>
          </w:p>
        </w:tc>
        <w:tc>
          <w:tcPr>
            <w:tcW w:w="4788" w:type="dxa"/>
          </w:tcPr>
          <w:p w14:paraId="0F43D6FC" w14:textId="6E31F7DD" w:rsidR="00BD659F" w:rsidRPr="00B617A6" w:rsidRDefault="00BD659F" w:rsidP="005451CD">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B617A6">
              <w:rPr>
                <w:rFonts w:ascii="Bookman Old Style" w:eastAsiaTheme="minorEastAsia" w:hAnsi="Bookman Old Style"/>
                <w:sz w:val="20"/>
              </w:rPr>
              <w:t xml:space="preserve">1. </w:t>
            </w:r>
            <w:r>
              <w:rPr>
                <w:rFonts w:ascii="Bookman Old Style" w:eastAsiaTheme="minorEastAsia" w:hAnsi="Bookman Old Style"/>
                <w:sz w:val="20"/>
              </w:rPr>
              <w:t>Not a true rate of return; time value of money is ignored</w:t>
            </w:r>
          </w:p>
        </w:tc>
      </w:tr>
      <w:tr w:rsidR="00BD659F" w14:paraId="334BED66" w14:textId="77777777" w:rsidTr="00BD65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340367BA" w14:textId="044F2925" w:rsidR="00BD659F" w:rsidRPr="00B617A6" w:rsidRDefault="00BD659F" w:rsidP="005451CD">
            <w:pPr>
              <w:jc w:val="both"/>
              <w:rPr>
                <w:rFonts w:ascii="Bookman Old Style" w:eastAsiaTheme="minorEastAsia" w:hAnsi="Bookman Old Style"/>
                <w:b w:val="0"/>
                <w:sz w:val="20"/>
              </w:rPr>
            </w:pPr>
            <w:r w:rsidRPr="00B617A6">
              <w:rPr>
                <w:rFonts w:ascii="Bookman Old Style" w:eastAsiaTheme="minorEastAsia" w:hAnsi="Bookman Old Style"/>
                <w:b w:val="0"/>
                <w:sz w:val="20"/>
              </w:rPr>
              <w:t xml:space="preserve">2. </w:t>
            </w:r>
            <w:r>
              <w:rPr>
                <w:rFonts w:ascii="Bookman Old Style" w:eastAsiaTheme="minorEastAsia" w:hAnsi="Bookman Old Style"/>
                <w:b w:val="0"/>
                <w:sz w:val="20"/>
              </w:rPr>
              <w:t>Needed information is usually available</w:t>
            </w:r>
          </w:p>
        </w:tc>
        <w:tc>
          <w:tcPr>
            <w:tcW w:w="4788" w:type="dxa"/>
          </w:tcPr>
          <w:p w14:paraId="01AF0B2A" w14:textId="1045A1FC" w:rsidR="00BD659F" w:rsidRPr="00B617A6" w:rsidRDefault="00BD659F" w:rsidP="005451CD">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B617A6">
              <w:rPr>
                <w:rFonts w:ascii="Bookman Old Style" w:eastAsiaTheme="minorEastAsia" w:hAnsi="Bookman Old Style"/>
                <w:sz w:val="20"/>
              </w:rPr>
              <w:t xml:space="preserve">2. </w:t>
            </w:r>
            <w:r>
              <w:rPr>
                <w:rFonts w:ascii="Bookman Old Style" w:eastAsiaTheme="minorEastAsia" w:hAnsi="Bookman Old Style"/>
                <w:sz w:val="20"/>
              </w:rPr>
              <w:t>Uses an arbitrary benchmark cutoff rate</w:t>
            </w:r>
          </w:p>
        </w:tc>
      </w:tr>
      <w:tr w:rsidR="00BD659F" w14:paraId="5B4E3C5E" w14:textId="77777777" w:rsidTr="00BD659F">
        <w:trPr>
          <w:trHeight w:val="68"/>
        </w:trPr>
        <w:tc>
          <w:tcPr>
            <w:cnfStyle w:val="001000000000" w:firstRow="0" w:lastRow="0" w:firstColumn="1" w:lastColumn="0" w:oddVBand="0" w:evenVBand="0" w:oddHBand="0" w:evenHBand="0" w:firstRowFirstColumn="0" w:firstRowLastColumn="0" w:lastRowFirstColumn="0" w:lastRowLastColumn="0"/>
            <w:tcW w:w="4788" w:type="dxa"/>
          </w:tcPr>
          <w:p w14:paraId="02DF432B" w14:textId="5A640B19" w:rsidR="00BD659F" w:rsidRPr="00B617A6" w:rsidRDefault="00BD659F" w:rsidP="005451CD">
            <w:pPr>
              <w:jc w:val="both"/>
              <w:rPr>
                <w:rFonts w:ascii="Bookman Old Style" w:eastAsiaTheme="minorEastAsia" w:hAnsi="Bookman Old Style"/>
                <w:b w:val="0"/>
                <w:sz w:val="20"/>
              </w:rPr>
            </w:pPr>
          </w:p>
        </w:tc>
        <w:tc>
          <w:tcPr>
            <w:tcW w:w="4788" w:type="dxa"/>
          </w:tcPr>
          <w:p w14:paraId="4A207C52" w14:textId="11882E2C" w:rsidR="00BD659F" w:rsidRPr="00B617A6" w:rsidRDefault="00BD659F" w:rsidP="005451CD">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B617A6">
              <w:rPr>
                <w:rFonts w:ascii="Bookman Old Style" w:eastAsiaTheme="minorEastAsia" w:hAnsi="Bookman Old Style"/>
                <w:sz w:val="20"/>
              </w:rPr>
              <w:t xml:space="preserve">3. </w:t>
            </w:r>
            <w:r>
              <w:rPr>
                <w:rFonts w:ascii="Bookman Old Style" w:eastAsiaTheme="minorEastAsia" w:hAnsi="Bookman Old Style"/>
                <w:sz w:val="20"/>
              </w:rPr>
              <w:t>Based on accounting (book) values, not cash flows and market values</w:t>
            </w:r>
          </w:p>
        </w:tc>
      </w:tr>
    </w:tbl>
    <w:p w14:paraId="6EA5D6EE" w14:textId="77777777" w:rsidR="00BD659F" w:rsidRPr="00BD659F" w:rsidRDefault="00BD659F" w:rsidP="005451CD">
      <w:pPr>
        <w:spacing w:after="0" w:line="240" w:lineRule="auto"/>
        <w:jc w:val="both"/>
        <w:rPr>
          <w:rFonts w:ascii="Bookman Old Style" w:eastAsiaTheme="minorEastAsia" w:hAnsi="Bookman Old Style"/>
        </w:rPr>
      </w:pPr>
    </w:p>
    <w:p w14:paraId="7E3BD501" w14:textId="77777777" w:rsidR="004D5709" w:rsidRDefault="004D5709" w:rsidP="005451CD">
      <w:pPr>
        <w:spacing w:after="0" w:line="240" w:lineRule="auto"/>
        <w:jc w:val="both"/>
        <w:rPr>
          <w:rFonts w:ascii="Bookman Old Style" w:eastAsiaTheme="minorEastAsia" w:hAnsi="Bookman Old Style"/>
        </w:rPr>
      </w:pPr>
    </w:p>
    <w:p w14:paraId="15670742" w14:textId="77777777" w:rsidR="004D5709" w:rsidRDefault="004D5709" w:rsidP="005451CD">
      <w:pPr>
        <w:spacing w:after="0" w:line="240" w:lineRule="auto"/>
        <w:jc w:val="both"/>
        <w:rPr>
          <w:rFonts w:ascii="Bookman Old Style" w:eastAsiaTheme="minorEastAsia" w:hAnsi="Bookman Old Style"/>
        </w:rPr>
      </w:pPr>
    </w:p>
    <w:p w14:paraId="30600F40" w14:textId="1B235194" w:rsidR="00BD659F" w:rsidRDefault="00BD659F" w:rsidP="005451CD">
      <w:pPr>
        <w:spacing w:after="0" w:line="240" w:lineRule="auto"/>
        <w:jc w:val="center"/>
        <w:rPr>
          <w:rFonts w:ascii="Bookman Old Style" w:eastAsiaTheme="minorEastAsia" w:hAnsi="Bookman Old Style"/>
          <w:b/>
          <w:u w:val="single"/>
        </w:rPr>
      </w:pPr>
      <w:r>
        <w:rPr>
          <w:rFonts w:ascii="Bookman Old Style" w:eastAsiaTheme="minorEastAsia" w:hAnsi="Bookman Old Style"/>
          <w:b/>
          <w:u w:val="single"/>
        </w:rPr>
        <w:t>THE INTERNAL RATE OF RETURN</w:t>
      </w:r>
    </w:p>
    <w:p w14:paraId="4F58C250" w14:textId="77777777" w:rsidR="00BD659F" w:rsidRDefault="00BD659F" w:rsidP="005451CD">
      <w:pPr>
        <w:spacing w:after="0" w:line="240" w:lineRule="auto"/>
        <w:jc w:val="both"/>
        <w:rPr>
          <w:rFonts w:ascii="Bookman Old Style" w:eastAsiaTheme="minorEastAsia" w:hAnsi="Bookman Old Style"/>
        </w:rPr>
      </w:pPr>
    </w:p>
    <w:p w14:paraId="34FD5E6D" w14:textId="07B370A8" w:rsidR="00BD659F" w:rsidRDefault="00BD659F" w:rsidP="005451CD">
      <w:pPr>
        <w:spacing w:after="0" w:line="240" w:lineRule="auto"/>
        <w:jc w:val="both"/>
        <w:rPr>
          <w:rFonts w:ascii="Bookman Old Style" w:eastAsiaTheme="minorEastAsia" w:hAnsi="Bookman Old Style"/>
        </w:rPr>
      </w:pPr>
      <w:r>
        <w:rPr>
          <w:rFonts w:ascii="Bookman Old Style" w:eastAsiaTheme="minorEastAsia" w:hAnsi="Bookman Old Style"/>
        </w:rPr>
        <w:t xml:space="preserve">The most important alternative to NPV is the </w:t>
      </w:r>
      <w:r>
        <w:rPr>
          <w:rFonts w:ascii="Bookman Old Style" w:eastAsiaTheme="minorEastAsia" w:hAnsi="Bookman Old Style"/>
          <w:b/>
        </w:rPr>
        <w:t>internal rate of return</w:t>
      </w:r>
      <w:r>
        <w:rPr>
          <w:rFonts w:ascii="Bookman Old Style" w:eastAsiaTheme="minorEastAsia" w:hAnsi="Bookman Old Style"/>
        </w:rPr>
        <w:t>, universally known as the IRR. It’s closely related to NPV.</w:t>
      </w:r>
    </w:p>
    <w:p w14:paraId="673CC481" w14:textId="77777777" w:rsidR="00751599" w:rsidRDefault="00751599" w:rsidP="005451CD">
      <w:pPr>
        <w:spacing w:after="0" w:line="240" w:lineRule="auto"/>
        <w:jc w:val="both"/>
        <w:rPr>
          <w:rFonts w:ascii="Bookman Old Style" w:eastAsiaTheme="minorEastAsia" w:hAnsi="Bookman Old Style"/>
        </w:rPr>
      </w:pPr>
    </w:p>
    <w:p w14:paraId="214B8552" w14:textId="7F87446B" w:rsidR="00751599" w:rsidRDefault="00751599" w:rsidP="005451CD">
      <w:pPr>
        <w:spacing w:after="0" w:line="240" w:lineRule="auto"/>
        <w:jc w:val="both"/>
        <w:rPr>
          <w:rFonts w:ascii="Bookman Old Style" w:eastAsiaTheme="minorEastAsia" w:hAnsi="Bookman Old Style"/>
        </w:rPr>
      </w:pPr>
      <w:r>
        <w:rPr>
          <w:rFonts w:ascii="Bookman Old Style" w:eastAsiaTheme="minorEastAsia" w:hAnsi="Bookman Old Style"/>
        </w:rPr>
        <w:t>With IRR, we try to find a single rate of return that summarizes the merits of a project. We want this rate to be an internal rate in the sense that it depends only on the cash flows of a particular investment, not on rates offered elsewhere.</w:t>
      </w:r>
    </w:p>
    <w:p w14:paraId="46B77940" w14:textId="77777777" w:rsidR="00BD659F" w:rsidRDefault="00BD659F" w:rsidP="005451CD">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BD659F" w14:paraId="562AF262" w14:textId="77777777" w:rsidTr="00751599">
        <w:tc>
          <w:tcPr>
            <w:tcW w:w="9576" w:type="dxa"/>
          </w:tcPr>
          <w:p w14:paraId="48A174F0" w14:textId="77777777" w:rsidR="00BD659F" w:rsidRDefault="00BD659F" w:rsidP="005451CD">
            <w:pPr>
              <w:jc w:val="both"/>
              <w:rPr>
                <w:rFonts w:ascii="Bookman Old Style" w:eastAsiaTheme="minorEastAsia" w:hAnsi="Bookman Old Style"/>
              </w:rPr>
            </w:pPr>
          </w:p>
          <w:p w14:paraId="703CCACB" w14:textId="77777777" w:rsidR="00BD659F" w:rsidRDefault="00BD659F" w:rsidP="005451CD">
            <w:pPr>
              <w:jc w:val="both"/>
              <w:rPr>
                <w:rFonts w:ascii="Bookman Old Style" w:eastAsiaTheme="minorEastAsia" w:hAnsi="Bookman Old Style"/>
              </w:rPr>
            </w:pPr>
            <w:r>
              <w:rPr>
                <w:rFonts w:ascii="Bookman Old Style" w:eastAsiaTheme="minorEastAsia" w:hAnsi="Bookman Old Style"/>
                <w:b/>
              </w:rPr>
              <w:t>Internal Rate of Return (IRR)</w:t>
            </w:r>
            <w:r>
              <w:rPr>
                <w:rFonts w:ascii="Bookman Old Style" w:eastAsiaTheme="minorEastAsia" w:hAnsi="Bookman Old Style"/>
              </w:rPr>
              <w:t xml:space="preserve"> – The discount rate that make</w:t>
            </w:r>
            <w:r w:rsidR="00751599">
              <w:rPr>
                <w:rFonts w:ascii="Bookman Old Style" w:eastAsiaTheme="minorEastAsia" w:hAnsi="Bookman Old Style"/>
              </w:rPr>
              <w:t>s</w:t>
            </w:r>
            <w:r>
              <w:rPr>
                <w:rFonts w:ascii="Bookman Old Style" w:eastAsiaTheme="minorEastAsia" w:hAnsi="Bookman Old Style"/>
              </w:rPr>
              <w:t xml:space="preserve"> the NPV of an investment zero.</w:t>
            </w:r>
          </w:p>
          <w:p w14:paraId="6A4AE473" w14:textId="4A711B9A" w:rsidR="00751599" w:rsidRPr="00BD659F" w:rsidRDefault="00751599" w:rsidP="005451CD">
            <w:pPr>
              <w:jc w:val="both"/>
              <w:rPr>
                <w:rFonts w:ascii="Bookman Old Style" w:eastAsiaTheme="minorEastAsia" w:hAnsi="Bookman Old Style"/>
              </w:rPr>
            </w:pPr>
          </w:p>
        </w:tc>
      </w:tr>
    </w:tbl>
    <w:p w14:paraId="09F59FCC" w14:textId="77777777" w:rsidR="00BD659F" w:rsidRDefault="00BD659F" w:rsidP="005451CD">
      <w:pPr>
        <w:spacing w:after="0" w:line="240" w:lineRule="auto"/>
        <w:jc w:val="both"/>
        <w:rPr>
          <w:rFonts w:ascii="Bookman Old Style" w:eastAsiaTheme="minorEastAsia" w:hAnsi="Bookman Old Style"/>
        </w:rPr>
      </w:pPr>
    </w:p>
    <w:p w14:paraId="0162307C" w14:textId="15C59BAC" w:rsidR="00751599" w:rsidRDefault="00751599" w:rsidP="005451CD">
      <w:pPr>
        <w:spacing w:after="0" w:line="240" w:lineRule="auto"/>
        <w:jc w:val="both"/>
        <w:rPr>
          <w:rFonts w:ascii="Bookman Old Style" w:eastAsiaTheme="minorEastAsia" w:hAnsi="Bookman Old Style"/>
        </w:rPr>
      </w:pPr>
      <w:r>
        <w:rPr>
          <w:rFonts w:ascii="Bookman Old Style" w:eastAsiaTheme="minorEastAsia" w:hAnsi="Bookman Old Style"/>
        </w:rPr>
        <w:t xml:space="preserve">The </w:t>
      </w:r>
      <w:r w:rsidRPr="00751599">
        <w:rPr>
          <w:rFonts w:ascii="Bookman Old Style" w:eastAsiaTheme="minorEastAsia" w:hAnsi="Bookman Old Style"/>
          <w:b/>
          <w:i/>
        </w:rPr>
        <w:t>IRR rule</w:t>
      </w:r>
      <w:r>
        <w:rPr>
          <w:rFonts w:ascii="Bookman Old Style" w:eastAsiaTheme="minorEastAsia" w:hAnsi="Bookman Old Style"/>
        </w:rPr>
        <w:t xml:space="preserve"> is:</w:t>
      </w:r>
    </w:p>
    <w:p w14:paraId="5C2F1857" w14:textId="77777777" w:rsidR="00751599" w:rsidRDefault="00751599" w:rsidP="005451CD">
      <w:pPr>
        <w:spacing w:after="0" w:line="240" w:lineRule="auto"/>
        <w:jc w:val="both"/>
        <w:rPr>
          <w:rFonts w:ascii="Bookman Old Style" w:eastAsiaTheme="minorEastAsia" w:hAnsi="Bookman Old Style"/>
        </w:rPr>
      </w:pPr>
    </w:p>
    <w:tbl>
      <w:tblPr>
        <w:tblStyle w:val="TableGrid"/>
        <w:tblW w:w="0" w:type="auto"/>
        <w:jc w:val="center"/>
        <w:tblCellSpacing w:w="20" w:type="dxa"/>
        <w:tblInd w:w="1513"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8143"/>
      </w:tblGrid>
      <w:tr w:rsidR="00CE7F30" w14:paraId="5A12768F" w14:textId="77777777" w:rsidTr="00CE7F30">
        <w:trPr>
          <w:tblCellSpacing w:w="20" w:type="dxa"/>
          <w:jc w:val="center"/>
        </w:trPr>
        <w:tc>
          <w:tcPr>
            <w:tcW w:w="8063" w:type="dxa"/>
          </w:tcPr>
          <w:p w14:paraId="02A048B8" w14:textId="752F4C3B" w:rsidR="00CE7F30" w:rsidRDefault="00CE7F30" w:rsidP="005451CD">
            <w:pPr>
              <w:jc w:val="center"/>
              <w:rPr>
                <w:rFonts w:ascii="Bookman Old Style" w:eastAsiaTheme="minorEastAsia" w:hAnsi="Bookman Old Style"/>
              </w:rPr>
            </w:pPr>
            <w:r w:rsidRPr="00CE7F30">
              <w:rPr>
                <w:rFonts w:ascii="Bookman Old Style" w:eastAsiaTheme="minorEastAsia" w:hAnsi="Bookman Old Style"/>
                <w:i/>
              </w:rPr>
              <w:t>Based on the IRR rule, an investment is acceptable if the IRR exceeds the required return. It should be rejected otherwise.</w:t>
            </w:r>
          </w:p>
        </w:tc>
      </w:tr>
    </w:tbl>
    <w:p w14:paraId="2EEAB4C7" w14:textId="77777777" w:rsidR="00751599" w:rsidRDefault="00751599" w:rsidP="005451CD">
      <w:pPr>
        <w:spacing w:after="0" w:line="240" w:lineRule="auto"/>
        <w:jc w:val="both"/>
        <w:rPr>
          <w:rFonts w:ascii="Bookman Old Style" w:eastAsiaTheme="minorEastAsia" w:hAnsi="Bookman Old Style"/>
        </w:rPr>
      </w:pPr>
    </w:p>
    <w:p w14:paraId="0358B330" w14:textId="5047BE06" w:rsidR="00751599" w:rsidRDefault="00751599" w:rsidP="005451CD">
      <w:pPr>
        <w:spacing w:after="0" w:line="240" w:lineRule="auto"/>
        <w:jc w:val="both"/>
        <w:rPr>
          <w:rFonts w:ascii="Bookman Old Style" w:eastAsiaTheme="minorEastAsia" w:hAnsi="Bookman Old Style"/>
        </w:rPr>
      </w:pPr>
      <w:r>
        <w:rPr>
          <w:rFonts w:ascii="Bookman Old Style" w:eastAsiaTheme="minorEastAsia" w:hAnsi="Bookman Old Style"/>
          <w:i/>
          <w:u w:val="single"/>
        </w:rPr>
        <w:t>Ex.:</w:t>
      </w:r>
    </w:p>
    <w:p w14:paraId="6B51D201" w14:textId="3AF7E675" w:rsidR="00751599" w:rsidRDefault="00751599" w:rsidP="005451CD">
      <w:pPr>
        <w:spacing w:after="0" w:line="240" w:lineRule="auto"/>
        <w:jc w:val="both"/>
        <w:rPr>
          <w:rFonts w:ascii="Bookman Old Style" w:eastAsiaTheme="minorEastAsia" w:hAnsi="Bookman Old Style"/>
        </w:rPr>
      </w:pPr>
      <w:r>
        <w:rPr>
          <w:rFonts w:ascii="Bookman Old Style" w:eastAsiaTheme="minorEastAsia" w:hAnsi="Bookman Old Style"/>
        </w:rPr>
        <w:t>We consider a project that costs $100 today and pays $110 in one year.</w:t>
      </w:r>
    </w:p>
    <w:p w14:paraId="3CF26ACC" w14:textId="06200B74" w:rsidR="00751599" w:rsidRDefault="00751599" w:rsidP="005451CD">
      <w:pPr>
        <w:spacing w:after="0" w:line="240" w:lineRule="auto"/>
        <w:jc w:val="both"/>
        <w:rPr>
          <w:rFonts w:ascii="Bookman Old Style" w:eastAsiaTheme="minorEastAsia" w:hAnsi="Bookman Old Style"/>
        </w:rPr>
      </w:pPr>
      <w:r>
        <w:rPr>
          <w:rFonts w:ascii="Bookman Old Style" w:eastAsiaTheme="minorEastAsia" w:hAnsi="Bookman Old Style"/>
        </w:rPr>
        <w:t>If you’re asked, “what’s the return on this investment?” What would you say?</w:t>
      </w:r>
    </w:p>
    <w:p w14:paraId="7B79AE48" w14:textId="356F2AFF" w:rsidR="00751599" w:rsidRDefault="00751599" w:rsidP="005451CD">
      <w:pPr>
        <w:spacing w:after="0" w:line="240" w:lineRule="auto"/>
        <w:jc w:val="both"/>
        <w:rPr>
          <w:rFonts w:ascii="Bookman Old Style" w:eastAsiaTheme="minorEastAsia" w:hAnsi="Bookman Old Style"/>
        </w:rPr>
      </w:pPr>
      <w:r>
        <w:rPr>
          <w:rFonts w:ascii="Bookman Old Style" w:eastAsiaTheme="minorEastAsia" w:hAnsi="Bookman Old Style"/>
        </w:rPr>
        <w:t>It seems obvious to say the return is 10% because for every dollar we put in, we get $1.10 back. As we’ll see in a moment, 10% is the IRR on this investment.</w:t>
      </w:r>
    </w:p>
    <w:p w14:paraId="05875FB4" w14:textId="77777777" w:rsidR="00751599" w:rsidRDefault="00751599" w:rsidP="005451CD">
      <w:pPr>
        <w:spacing w:after="0" w:line="240" w:lineRule="auto"/>
        <w:jc w:val="both"/>
        <w:rPr>
          <w:rFonts w:ascii="Bookman Old Style" w:eastAsiaTheme="minorEastAsia" w:hAnsi="Bookman Old Style"/>
        </w:rPr>
      </w:pPr>
    </w:p>
    <w:p w14:paraId="04D151BB" w14:textId="44583DC2" w:rsidR="00751599" w:rsidRDefault="00751599" w:rsidP="005451CD">
      <w:pPr>
        <w:spacing w:after="0" w:line="240" w:lineRule="auto"/>
        <w:jc w:val="both"/>
        <w:rPr>
          <w:rFonts w:ascii="Bookman Old Style" w:eastAsiaTheme="minorEastAsia" w:hAnsi="Bookman Old Style"/>
        </w:rPr>
      </w:pPr>
      <w:r>
        <w:rPr>
          <w:rFonts w:ascii="Bookman Old Style" w:eastAsiaTheme="minorEastAsia" w:hAnsi="Bookman Old Style"/>
        </w:rPr>
        <w:t>Is this project with 10% IRR a good investment?</w:t>
      </w:r>
    </w:p>
    <w:p w14:paraId="6D392548" w14:textId="08460609" w:rsidR="00751599" w:rsidRDefault="00751599" w:rsidP="005451CD">
      <w:pPr>
        <w:spacing w:after="0" w:line="240" w:lineRule="auto"/>
        <w:jc w:val="both"/>
        <w:rPr>
          <w:rFonts w:ascii="Bookman Old Style" w:eastAsiaTheme="minorEastAsia" w:hAnsi="Bookman Old Style"/>
        </w:rPr>
      </w:pPr>
      <w:r>
        <w:rPr>
          <w:rFonts w:ascii="Bookman Old Style" w:eastAsiaTheme="minorEastAsia" w:hAnsi="Bookman Old Style"/>
        </w:rPr>
        <w:t>It would be a good investment only if our required return is less than 10%.</w:t>
      </w:r>
    </w:p>
    <w:p w14:paraId="0ED54B24" w14:textId="77777777" w:rsidR="00751599" w:rsidRDefault="00751599" w:rsidP="005451CD">
      <w:pPr>
        <w:spacing w:after="0" w:line="240" w:lineRule="auto"/>
        <w:jc w:val="both"/>
        <w:rPr>
          <w:rFonts w:ascii="Bookman Old Style" w:eastAsiaTheme="minorEastAsia" w:hAnsi="Bookman Old Style"/>
        </w:rPr>
      </w:pPr>
    </w:p>
    <w:p w14:paraId="17993D24" w14:textId="5FB357DF" w:rsidR="00751599" w:rsidRDefault="00751599" w:rsidP="005451CD">
      <w:pPr>
        <w:spacing w:after="0" w:line="240" w:lineRule="auto"/>
        <w:jc w:val="both"/>
        <w:rPr>
          <w:rFonts w:ascii="Bookman Old Style" w:eastAsiaTheme="minorEastAsia" w:hAnsi="Bookman Old Style"/>
        </w:rPr>
      </w:pPr>
      <w:r>
        <w:rPr>
          <w:rFonts w:ascii="Bookman Old Style" w:eastAsiaTheme="minorEastAsia" w:hAnsi="Bookman Old Style"/>
        </w:rPr>
        <w:t xml:space="preserve">Imagine we wanted to calculate the NPV for our simple investment. At a discount rate of </w:t>
      </w:r>
      <w:r>
        <w:rPr>
          <w:rFonts w:ascii="Bookman Old Style" w:eastAsiaTheme="minorEastAsia" w:hAnsi="Bookman Old Style"/>
          <w:i/>
        </w:rPr>
        <w:t>r</w:t>
      </w:r>
      <w:r>
        <w:rPr>
          <w:rFonts w:ascii="Bookman Old Style" w:eastAsiaTheme="minorEastAsia" w:hAnsi="Bookman Old Style"/>
        </w:rPr>
        <w:t>, the NPV is:</w:t>
      </w:r>
    </w:p>
    <w:p w14:paraId="4BE6BE89" w14:textId="012019AD" w:rsidR="00751599" w:rsidRPr="00751599" w:rsidRDefault="00751599" w:rsidP="005451CD">
      <w:pPr>
        <w:spacing w:after="0" w:line="240" w:lineRule="auto"/>
        <w:jc w:val="both"/>
        <w:rPr>
          <w:rFonts w:ascii="Bookman Old Style" w:eastAsiaTheme="minorEastAsia" w:hAnsi="Bookman Old Style"/>
        </w:rPr>
      </w:pPr>
      <m:oMathPara>
        <m:oMath>
          <m:r>
            <w:rPr>
              <w:rFonts w:ascii="Cambria Math" w:eastAsiaTheme="minorEastAsia" w:hAnsi="Cambria Math"/>
            </w:rPr>
            <m:t>NPV=-$100+</m:t>
          </m:r>
          <m:f>
            <m:fPr>
              <m:ctrlPr>
                <w:rPr>
                  <w:rFonts w:ascii="Cambria Math" w:eastAsiaTheme="minorEastAsia" w:hAnsi="Cambria Math"/>
                  <w:i/>
                </w:rPr>
              </m:ctrlPr>
            </m:fPr>
            <m:num>
              <m:r>
                <w:rPr>
                  <w:rFonts w:ascii="Cambria Math" w:eastAsiaTheme="minorEastAsia" w:hAnsi="Cambria Math"/>
                </w:rPr>
                <m:t>110</m:t>
              </m:r>
            </m:num>
            <m:den>
              <m:r>
                <w:rPr>
                  <w:rFonts w:ascii="Cambria Math" w:eastAsiaTheme="minorEastAsia" w:hAnsi="Cambria Math"/>
                </w:rPr>
                <m:t>1+r</m:t>
              </m:r>
            </m:den>
          </m:f>
        </m:oMath>
      </m:oMathPara>
    </w:p>
    <w:p w14:paraId="6F64A481" w14:textId="77777777" w:rsidR="00751599" w:rsidRDefault="00751599" w:rsidP="005451CD">
      <w:pPr>
        <w:spacing w:after="0" w:line="240" w:lineRule="auto"/>
        <w:jc w:val="both"/>
        <w:rPr>
          <w:rFonts w:ascii="Bookman Old Style" w:eastAsiaTheme="minorEastAsia" w:hAnsi="Bookman Old Style"/>
        </w:rPr>
      </w:pPr>
    </w:p>
    <w:p w14:paraId="0307DCEE" w14:textId="71A0E432" w:rsidR="00751599" w:rsidRDefault="00751599" w:rsidP="005451CD">
      <w:pPr>
        <w:spacing w:after="0" w:line="240" w:lineRule="auto"/>
        <w:jc w:val="both"/>
        <w:rPr>
          <w:rFonts w:ascii="Bookman Old Style" w:eastAsiaTheme="minorEastAsia" w:hAnsi="Bookman Old Style"/>
        </w:rPr>
      </w:pPr>
      <w:r>
        <w:rPr>
          <w:rFonts w:ascii="Bookman Old Style" w:eastAsiaTheme="minorEastAsia" w:hAnsi="Bookman Old Style"/>
        </w:rPr>
        <w:t>If we don’t know the discount rate, we have a problem – but we could still ask how high the discount rate would have to be before this project was unacceptable. We’re indifferent about taking or not taking this investment when its NPV is just equal to zero – in other words, this investment is economically a break-even proposition when the NPV is zero because value is neither created nor destroyed.</w:t>
      </w:r>
    </w:p>
    <w:p w14:paraId="614A11FC" w14:textId="77777777" w:rsidR="00751599" w:rsidRDefault="00751599" w:rsidP="005451CD">
      <w:pPr>
        <w:spacing w:after="0" w:line="240" w:lineRule="auto"/>
        <w:jc w:val="both"/>
        <w:rPr>
          <w:rFonts w:ascii="Bookman Old Style" w:eastAsiaTheme="minorEastAsia" w:hAnsi="Bookman Old Style"/>
        </w:rPr>
      </w:pPr>
    </w:p>
    <w:p w14:paraId="445F4D0C" w14:textId="406EA43E" w:rsidR="00751599" w:rsidRDefault="00751599" w:rsidP="005451CD">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 xml:space="preserve">To find the break-even discount rate, we set NPV equal to zero and solve for </w:t>
      </w:r>
      <w:r>
        <w:rPr>
          <w:rFonts w:ascii="Bookman Old Style" w:eastAsiaTheme="minorEastAsia" w:hAnsi="Bookman Old Style"/>
          <w:i/>
        </w:rPr>
        <w:t>r</w:t>
      </w:r>
      <w:r>
        <w:rPr>
          <w:rFonts w:ascii="Bookman Old Style" w:eastAsiaTheme="minorEastAsia" w:hAnsi="Bookman Old Style"/>
        </w:rPr>
        <w:t>.</w:t>
      </w:r>
    </w:p>
    <w:p w14:paraId="05B3090B" w14:textId="77777777" w:rsidR="00751599" w:rsidRDefault="00751599" w:rsidP="005451CD">
      <w:pPr>
        <w:spacing w:after="0" w:line="240" w:lineRule="auto"/>
        <w:jc w:val="both"/>
        <w:rPr>
          <w:rFonts w:ascii="Bookman Old Style" w:eastAsiaTheme="minorEastAsia" w:hAnsi="Bookman Old Style"/>
        </w:rPr>
      </w:pPr>
    </w:p>
    <w:p w14:paraId="6F9FAFAB" w14:textId="200D4A74" w:rsidR="00751599" w:rsidRPr="00751599" w:rsidRDefault="00751599" w:rsidP="005451CD">
      <w:pPr>
        <w:spacing w:after="0" w:line="240" w:lineRule="auto"/>
        <w:jc w:val="center"/>
        <w:rPr>
          <w:rFonts w:ascii="Bookman Old Style" w:eastAsiaTheme="minorEastAsia" w:hAnsi="Bookman Old Style"/>
        </w:rPr>
      </w:pPr>
      <m:oMathPara>
        <m:oMath>
          <m:r>
            <w:rPr>
              <w:rFonts w:ascii="Cambria Math" w:eastAsiaTheme="minorEastAsia" w:hAnsi="Cambria Math"/>
            </w:rPr>
            <m:t>NPV=0=-$100+</m:t>
          </m:r>
          <m:f>
            <m:fPr>
              <m:ctrlPr>
                <w:rPr>
                  <w:rFonts w:ascii="Cambria Math" w:eastAsiaTheme="minorEastAsia" w:hAnsi="Cambria Math"/>
                  <w:i/>
                </w:rPr>
              </m:ctrlPr>
            </m:fPr>
            <m:num>
              <m:r>
                <w:rPr>
                  <w:rFonts w:ascii="Cambria Math" w:eastAsiaTheme="minorEastAsia" w:hAnsi="Cambria Math"/>
                </w:rPr>
                <m:t>110</m:t>
              </m:r>
            </m:num>
            <m:den>
              <m:r>
                <w:rPr>
                  <w:rFonts w:ascii="Cambria Math" w:eastAsiaTheme="minorEastAsia" w:hAnsi="Cambria Math"/>
                </w:rPr>
                <m:t>1+r</m:t>
              </m:r>
            </m:den>
          </m:f>
        </m:oMath>
      </m:oMathPara>
    </w:p>
    <w:p w14:paraId="20493725" w14:textId="3AA4FE57" w:rsidR="00751599" w:rsidRDefault="00751599" w:rsidP="005451CD">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33D558DD" w14:textId="1D84BC4B" w:rsidR="00751599" w:rsidRPr="00751599" w:rsidRDefault="00751599" w:rsidP="005451CD">
      <w:pPr>
        <w:spacing w:after="0" w:line="240" w:lineRule="auto"/>
        <w:jc w:val="center"/>
        <w:rPr>
          <w:rFonts w:ascii="Bookman Old Style" w:eastAsiaTheme="minorEastAsia" w:hAnsi="Bookman Old Style"/>
        </w:rPr>
      </w:pPr>
      <m:oMathPara>
        <m:oMath>
          <m:r>
            <w:rPr>
              <w:rFonts w:ascii="Cambria Math" w:eastAsiaTheme="minorEastAsia" w:hAnsi="Cambria Math"/>
            </w:rPr>
            <m:t>$100=</m:t>
          </m:r>
          <m:f>
            <m:fPr>
              <m:ctrlPr>
                <w:rPr>
                  <w:rFonts w:ascii="Cambria Math" w:eastAsiaTheme="minorEastAsia" w:hAnsi="Cambria Math"/>
                  <w:i/>
                </w:rPr>
              </m:ctrlPr>
            </m:fPr>
            <m:num>
              <m:r>
                <w:rPr>
                  <w:rFonts w:ascii="Cambria Math" w:eastAsiaTheme="minorEastAsia" w:hAnsi="Cambria Math"/>
                </w:rPr>
                <m:t>$110</m:t>
              </m:r>
            </m:num>
            <m:den>
              <m:r>
                <w:rPr>
                  <w:rFonts w:ascii="Cambria Math" w:eastAsiaTheme="minorEastAsia" w:hAnsi="Cambria Math"/>
                </w:rPr>
                <m:t>1+r</m:t>
              </m:r>
            </m:den>
          </m:f>
        </m:oMath>
      </m:oMathPara>
    </w:p>
    <w:p w14:paraId="7F92B7E0" w14:textId="29E0F9B9" w:rsidR="00751599" w:rsidRDefault="00751599" w:rsidP="005451CD">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66BE3415" w14:textId="6ABE8971" w:rsidR="00751599" w:rsidRPr="00751599" w:rsidRDefault="00751599" w:rsidP="005451CD">
      <w:pPr>
        <w:spacing w:after="0" w:line="240" w:lineRule="auto"/>
        <w:jc w:val="center"/>
        <w:rPr>
          <w:rFonts w:ascii="Bookman Old Style" w:eastAsiaTheme="minorEastAsia" w:hAnsi="Bookman Old Style"/>
        </w:rPr>
      </w:pPr>
      <m:oMathPara>
        <m:oMath>
          <m:r>
            <w:rPr>
              <w:rFonts w:ascii="Cambria Math" w:eastAsiaTheme="minorEastAsia" w:hAnsi="Cambria Math"/>
            </w:rPr>
            <m:t>1+r=</m:t>
          </m:r>
          <m:f>
            <m:fPr>
              <m:ctrlPr>
                <w:rPr>
                  <w:rFonts w:ascii="Cambria Math" w:eastAsiaTheme="minorEastAsia" w:hAnsi="Cambria Math"/>
                  <w:i/>
                </w:rPr>
              </m:ctrlPr>
            </m:fPr>
            <m:num>
              <m:r>
                <w:rPr>
                  <w:rFonts w:ascii="Cambria Math" w:eastAsiaTheme="minorEastAsia" w:hAnsi="Cambria Math"/>
                </w:rPr>
                <m:t>$110</m:t>
              </m:r>
            </m:num>
            <m:den>
              <m:r>
                <w:rPr>
                  <w:rFonts w:ascii="Cambria Math" w:eastAsiaTheme="minorEastAsia" w:hAnsi="Cambria Math"/>
                </w:rPr>
                <m:t>100</m:t>
              </m:r>
            </m:den>
          </m:f>
          <m:r>
            <w:rPr>
              <w:rFonts w:ascii="Cambria Math" w:eastAsiaTheme="minorEastAsia" w:hAnsi="Cambria Math"/>
            </w:rPr>
            <m:t>=1.10</m:t>
          </m:r>
        </m:oMath>
      </m:oMathPara>
    </w:p>
    <w:p w14:paraId="646C557B" w14:textId="59C9E22B" w:rsidR="00751599" w:rsidRDefault="00751599" w:rsidP="005451CD">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2B182ED8" w14:textId="5D384DC0" w:rsidR="00751599" w:rsidRDefault="00751599" w:rsidP="005451CD">
      <w:pPr>
        <w:spacing w:after="0" w:line="240" w:lineRule="auto"/>
        <w:jc w:val="center"/>
        <w:rPr>
          <w:rFonts w:ascii="Bookman Old Style" w:eastAsiaTheme="minorEastAsia" w:hAnsi="Bookman Old Style"/>
        </w:rPr>
      </w:pPr>
      <w:r>
        <w:rPr>
          <w:rFonts w:ascii="Bookman Old Style" w:eastAsiaTheme="minorEastAsia" w:hAnsi="Bookman Old Style"/>
          <w:i/>
        </w:rPr>
        <w:t>r</w:t>
      </w:r>
      <w:r>
        <w:rPr>
          <w:rFonts w:ascii="Bookman Old Style" w:eastAsiaTheme="minorEastAsia" w:hAnsi="Bookman Old Style"/>
        </w:rPr>
        <w:t xml:space="preserve"> = 10%</w:t>
      </w:r>
    </w:p>
    <w:p w14:paraId="540B9DFC" w14:textId="77777777" w:rsidR="00751599" w:rsidRDefault="00751599" w:rsidP="005451CD">
      <w:pPr>
        <w:spacing w:after="0" w:line="240" w:lineRule="auto"/>
        <w:jc w:val="center"/>
        <w:rPr>
          <w:rFonts w:ascii="Bookman Old Style" w:eastAsiaTheme="minorEastAsia" w:hAnsi="Bookman Old Style"/>
        </w:rPr>
      </w:pPr>
    </w:p>
    <w:p w14:paraId="5CB8A137" w14:textId="025A9C1B" w:rsidR="00751599" w:rsidRDefault="00CE7F30" w:rsidP="005451CD">
      <w:pPr>
        <w:spacing w:after="0" w:line="240" w:lineRule="auto"/>
        <w:jc w:val="both"/>
        <w:rPr>
          <w:rFonts w:ascii="Bookman Old Style" w:eastAsiaTheme="minorEastAsia" w:hAnsi="Bookman Old Style"/>
        </w:rPr>
      </w:pPr>
      <w:r>
        <w:rPr>
          <w:rFonts w:ascii="Bookman Old Style" w:eastAsiaTheme="minorEastAsia" w:hAnsi="Bookman Old Style"/>
        </w:rPr>
        <w:t xml:space="preserve">This 10% is the return on this investment – we’ve just shown that the IRR on an investment (or just return for short) is the </w:t>
      </w:r>
      <w:r w:rsidRPr="00CE7F30">
        <w:rPr>
          <w:rFonts w:ascii="Bookman Old Style" w:eastAsiaTheme="minorEastAsia" w:hAnsi="Bookman Old Style"/>
          <w:u w:val="single"/>
        </w:rPr>
        <w:t>discount rate that makes the</w:t>
      </w:r>
      <w:r>
        <w:rPr>
          <w:rFonts w:ascii="Bookman Old Style" w:eastAsiaTheme="minorEastAsia" w:hAnsi="Bookman Old Style"/>
          <w:u w:val="single"/>
        </w:rPr>
        <w:t xml:space="preserve"> NPV equal to zero</w:t>
      </w:r>
      <w:r>
        <w:rPr>
          <w:rFonts w:ascii="Bookman Old Style" w:eastAsiaTheme="minorEastAsia" w:hAnsi="Bookman Old Style"/>
        </w:rPr>
        <w:t>, so:</w:t>
      </w:r>
    </w:p>
    <w:p w14:paraId="328C61CE" w14:textId="77777777" w:rsidR="00CE7F30" w:rsidRDefault="00CE7F30" w:rsidP="005451CD">
      <w:pPr>
        <w:spacing w:after="0" w:line="240" w:lineRule="auto"/>
        <w:jc w:val="both"/>
        <w:rPr>
          <w:rFonts w:ascii="Bookman Old Style" w:eastAsiaTheme="minorEastAsia" w:hAnsi="Bookman Old Style"/>
        </w:rPr>
      </w:pPr>
    </w:p>
    <w:p w14:paraId="4E90E4BE" w14:textId="01A75A8C" w:rsidR="00CE7F30" w:rsidRDefault="00CE7F30" w:rsidP="005451CD">
      <w:pPr>
        <w:spacing w:after="0" w:line="240" w:lineRule="auto"/>
        <w:jc w:val="center"/>
        <w:rPr>
          <w:rFonts w:ascii="Bookman Old Style" w:eastAsiaTheme="minorEastAsia" w:hAnsi="Bookman Old Style"/>
        </w:rPr>
      </w:pPr>
      <w:r>
        <w:rPr>
          <w:rFonts w:ascii="Bookman Old Style" w:eastAsiaTheme="minorEastAsia" w:hAnsi="Bookman Old Style"/>
          <w:b/>
          <w:i/>
        </w:rPr>
        <w:t>The IRR on an investment is the return that results in a zero NPV when it’s used as the discount rate</w:t>
      </w:r>
    </w:p>
    <w:p w14:paraId="0C496150" w14:textId="77777777" w:rsidR="00CE7F30" w:rsidRDefault="00CE7F30" w:rsidP="005451CD">
      <w:pPr>
        <w:spacing w:after="0" w:line="240" w:lineRule="auto"/>
        <w:jc w:val="both"/>
        <w:rPr>
          <w:rFonts w:ascii="Bookman Old Style" w:eastAsiaTheme="minorEastAsia" w:hAnsi="Bookman Old Style"/>
        </w:rPr>
      </w:pPr>
    </w:p>
    <w:p w14:paraId="7626F33B" w14:textId="489011A8" w:rsidR="00CE7F30" w:rsidRDefault="00CE7F30" w:rsidP="005451CD">
      <w:pPr>
        <w:spacing w:after="0" w:line="240" w:lineRule="auto"/>
        <w:jc w:val="both"/>
        <w:rPr>
          <w:rFonts w:ascii="Bookman Old Style" w:eastAsiaTheme="minorEastAsia" w:hAnsi="Bookman Old Style"/>
        </w:rPr>
      </w:pPr>
      <w:r>
        <w:rPr>
          <w:rFonts w:ascii="Bookman Old Style" w:eastAsiaTheme="minorEastAsia" w:hAnsi="Bookman Old Style"/>
        </w:rPr>
        <w:t>This is important because it tells us how to calculate the returns on more complicated investments. As we’ve seen, finding the IRR is fairly easy for a single period investment. But suppose we’re now looking at an investment with cash flows like the below:</w:t>
      </w:r>
    </w:p>
    <w:p w14:paraId="2FE28D08" w14:textId="0E18163C" w:rsidR="00CE7F30" w:rsidRDefault="00CE7F30" w:rsidP="005451CD">
      <w:pPr>
        <w:spacing w:after="0" w:line="240" w:lineRule="auto"/>
        <w:jc w:val="center"/>
        <w:rPr>
          <w:rFonts w:ascii="Bookman Old Style" w:eastAsiaTheme="minorEastAsia" w:hAnsi="Bookman Old Style"/>
        </w:rPr>
      </w:pPr>
      <w:r>
        <w:rPr>
          <w:rFonts w:ascii="Bookman Old Style" w:eastAsiaTheme="minorEastAsia" w:hAnsi="Bookman Old Style"/>
          <w:noProof/>
        </w:rPr>
        <w:drawing>
          <wp:inline distT="0" distB="0" distL="0" distR="0" wp14:anchorId="4D19AB27" wp14:editId="0562705D">
            <wp:extent cx="4264638" cy="991240"/>
            <wp:effectExtent l="0" t="0" r="3175"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00B8C31B" w14:textId="77777777" w:rsidR="00CE7F30" w:rsidRDefault="00CE7F30" w:rsidP="005451CD">
      <w:pPr>
        <w:spacing w:after="0" w:line="240" w:lineRule="auto"/>
        <w:jc w:val="center"/>
        <w:rPr>
          <w:rFonts w:ascii="Bookman Old Style" w:eastAsiaTheme="minorEastAsia" w:hAnsi="Bookman Old Style"/>
        </w:rPr>
      </w:pPr>
    </w:p>
    <w:p w14:paraId="605339ED" w14:textId="02528370" w:rsidR="00CE7F30" w:rsidRDefault="00CE7F30" w:rsidP="005451CD">
      <w:pPr>
        <w:spacing w:after="0" w:line="240" w:lineRule="auto"/>
        <w:jc w:val="both"/>
        <w:rPr>
          <w:rFonts w:ascii="Bookman Old Style" w:eastAsiaTheme="minorEastAsia" w:hAnsi="Bookman Old Style"/>
        </w:rPr>
      </w:pPr>
      <w:r>
        <w:rPr>
          <w:rFonts w:ascii="Bookman Old Style" w:eastAsiaTheme="minorEastAsia" w:hAnsi="Bookman Old Style"/>
        </w:rPr>
        <w:t>The investment costs $100 and has a cash flow of $60 per year for 2 years, so it’s only slightly more complicated than a single period case.</w:t>
      </w:r>
    </w:p>
    <w:p w14:paraId="06A1A563" w14:textId="77777777" w:rsidR="00CE7F30" w:rsidRDefault="00CE7F30" w:rsidP="005451CD">
      <w:pPr>
        <w:spacing w:after="0" w:line="240" w:lineRule="auto"/>
        <w:jc w:val="both"/>
        <w:rPr>
          <w:rFonts w:ascii="Bookman Old Style" w:eastAsiaTheme="minorEastAsia" w:hAnsi="Bookman Old Style"/>
        </w:rPr>
      </w:pPr>
    </w:p>
    <w:p w14:paraId="32890334" w14:textId="75E8CE98" w:rsidR="00CE7F30" w:rsidRDefault="00CE7F30" w:rsidP="005451CD">
      <w:pPr>
        <w:spacing w:after="0" w:line="240" w:lineRule="auto"/>
        <w:jc w:val="both"/>
        <w:rPr>
          <w:rFonts w:ascii="Bookman Old Style" w:eastAsiaTheme="minorEastAsia" w:hAnsi="Bookman Old Style"/>
        </w:rPr>
      </w:pPr>
      <w:r>
        <w:rPr>
          <w:rFonts w:ascii="Bookman Old Style" w:eastAsiaTheme="minorEastAsia" w:hAnsi="Bookman Old Style"/>
        </w:rPr>
        <w:t>What’s the return on this investment? Based on what we know, we can set the NPV equal to zero and solve for the discount rate:</w:t>
      </w:r>
    </w:p>
    <w:p w14:paraId="67F67B65" w14:textId="77777777" w:rsidR="00CE7F30" w:rsidRDefault="00CE7F30" w:rsidP="005451CD">
      <w:pPr>
        <w:spacing w:after="0" w:line="240" w:lineRule="auto"/>
        <w:jc w:val="both"/>
        <w:rPr>
          <w:rFonts w:ascii="Bookman Old Style" w:eastAsiaTheme="minorEastAsia" w:hAnsi="Bookman Old Style"/>
        </w:rPr>
      </w:pPr>
    </w:p>
    <w:p w14:paraId="7F4A958D" w14:textId="3A707C7B" w:rsidR="00CE7F30" w:rsidRPr="00CE7F30" w:rsidRDefault="00CE7F30" w:rsidP="005451CD">
      <w:pPr>
        <w:spacing w:after="0" w:line="240" w:lineRule="auto"/>
        <w:jc w:val="both"/>
        <w:rPr>
          <w:rFonts w:ascii="Bookman Old Style" w:eastAsiaTheme="minorEastAsia" w:hAnsi="Bookman Old Style"/>
        </w:rPr>
      </w:pPr>
      <m:oMathPara>
        <m:oMath>
          <m:r>
            <w:rPr>
              <w:rFonts w:ascii="Cambria Math" w:eastAsiaTheme="minorEastAsia" w:hAnsi="Cambria Math"/>
            </w:rPr>
            <m:t>NPV=0=-$100+</m:t>
          </m:r>
          <m:f>
            <m:fPr>
              <m:ctrlPr>
                <w:rPr>
                  <w:rFonts w:ascii="Cambria Math" w:eastAsiaTheme="minorEastAsia" w:hAnsi="Cambria Math"/>
                  <w:i/>
                </w:rPr>
              </m:ctrlPr>
            </m:fPr>
            <m:num>
              <m:r>
                <w:rPr>
                  <w:rFonts w:ascii="Cambria Math" w:eastAsiaTheme="minorEastAsia" w:hAnsi="Cambria Math"/>
                </w:rPr>
                <m:t>60</m:t>
              </m:r>
            </m:num>
            <m:den>
              <m:r>
                <w:rPr>
                  <w:rFonts w:ascii="Cambria Math" w:eastAsiaTheme="minorEastAsia" w:hAnsi="Cambria Math"/>
                </w:rPr>
                <m:t>(1+IRR)</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60</m:t>
              </m:r>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1+IRR</m:t>
                      </m:r>
                    </m:e>
                  </m:d>
                </m:e>
                <m:sup>
                  <m:r>
                    <w:rPr>
                      <w:rFonts w:ascii="Cambria Math" w:eastAsiaTheme="minorEastAsia" w:hAnsi="Cambria Math"/>
                    </w:rPr>
                    <m:t>2</m:t>
                  </m:r>
                </m:sup>
              </m:sSup>
            </m:den>
          </m:f>
        </m:oMath>
      </m:oMathPara>
    </w:p>
    <w:p w14:paraId="4C0E027E" w14:textId="77777777" w:rsidR="00CE7F30" w:rsidRDefault="00CE7F30" w:rsidP="005451CD">
      <w:pPr>
        <w:spacing w:after="0" w:line="240" w:lineRule="auto"/>
        <w:jc w:val="both"/>
        <w:rPr>
          <w:rFonts w:ascii="Bookman Old Style" w:eastAsiaTheme="minorEastAsia" w:hAnsi="Bookman Old Style"/>
        </w:rPr>
      </w:pPr>
    </w:p>
    <w:p w14:paraId="382C19E2" w14:textId="1AFE335E" w:rsidR="001B27A2" w:rsidRDefault="00CE7F30" w:rsidP="005451CD">
      <w:pPr>
        <w:spacing w:after="0" w:line="240" w:lineRule="auto"/>
        <w:jc w:val="both"/>
        <w:rPr>
          <w:rFonts w:ascii="Bookman Old Style" w:eastAsiaTheme="minorEastAsia" w:hAnsi="Bookman Old Style"/>
        </w:rPr>
      </w:pPr>
      <w:r>
        <w:rPr>
          <w:rFonts w:ascii="Bookman Old Style" w:eastAsiaTheme="minorEastAsia" w:hAnsi="Bookman Old Style"/>
        </w:rPr>
        <w:t xml:space="preserve">We find the IRR we have to use trial and error (same problem when we found the unknown rate for an annuity and when we found </w:t>
      </w:r>
      <w:r w:rsidR="001B27A2">
        <w:rPr>
          <w:rFonts w:ascii="Bookman Old Style" w:eastAsiaTheme="minorEastAsia" w:hAnsi="Bookman Old Style"/>
        </w:rPr>
        <w:t>the yield to maturity on a bond – on both of these cases, we were finding the IRR)</w:t>
      </w:r>
    </w:p>
    <w:p w14:paraId="2505665B" w14:textId="77777777" w:rsidR="001B27A2" w:rsidRDefault="001B27A2" w:rsidP="005451CD">
      <w:pPr>
        <w:spacing w:after="0" w:line="240" w:lineRule="auto"/>
        <w:jc w:val="both"/>
        <w:rPr>
          <w:rFonts w:ascii="Bookman Old Style" w:eastAsiaTheme="minorEastAsia" w:hAnsi="Bookman Old Style"/>
        </w:rPr>
      </w:pPr>
    </w:p>
    <w:p w14:paraId="634A2523" w14:textId="77777777" w:rsidR="001B27A2" w:rsidRDefault="001B27A2" w:rsidP="005451CD">
      <w:pPr>
        <w:spacing w:after="0" w:line="240" w:lineRule="auto"/>
        <w:jc w:val="both"/>
        <w:rPr>
          <w:rFonts w:ascii="Bookman Old Style" w:eastAsiaTheme="minorEastAsia" w:hAnsi="Bookman Old Style"/>
        </w:rPr>
      </w:pPr>
      <w:r>
        <w:rPr>
          <w:rFonts w:ascii="Bookman Old Style" w:eastAsiaTheme="minorEastAsia" w:hAnsi="Bookman Old Style"/>
        </w:rPr>
        <w:t xml:space="preserve">In this particular case, the cash flows form a 2-period, $60 annuity. To find the unknown rate, we can try different rates until we get the answer. </w:t>
      </w:r>
    </w:p>
    <w:p w14:paraId="6F370DF6" w14:textId="77777777" w:rsidR="001B27A2" w:rsidRDefault="001B27A2" w:rsidP="005451CD">
      <w:pPr>
        <w:spacing w:after="0" w:line="240" w:lineRule="auto"/>
        <w:jc w:val="both"/>
        <w:rPr>
          <w:rFonts w:ascii="Bookman Old Style" w:eastAsiaTheme="minorEastAsia" w:hAnsi="Bookman Old Style"/>
        </w:rPr>
      </w:pPr>
    </w:p>
    <w:p w14:paraId="5B34764A" w14:textId="2E7F92FF" w:rsidR="001B27A2" w:rsidRDefault="001B27A2" w:rsidP="005451CD">
      <w:pPr>
        <w:spacing w:after="0" w:line="240" w:lineRule="auto"/>
        <w:jc w:val="both"/>
        <w:rPr>
          <w:rFonts w:ascii="Bookman Old Style" w:eastAsiaTheme="minorEastAsia" w:hAnsi="Bookman Old Style"/>
        </w:rPr>
      </w:pPr>
      <w:r>
        <w:rPr>
          <w:rFonts w:ascii="Bookman Old Style" w:eastAsiaTheme="minorEastAsia" w:hAnsi="Bookman Old Style"/>
        </w:rPr>
        <w:t>If we start at a 0% rate, the NPV would obviously be $120 - $100 = $20. At a 10% discount rate, we’d have:</w:t>
      </w:r>
    </w:p>
    <w:p w14:paraId="54F1F9F8" w14:textId="77777777" w:rsidR="001B27A2" w:rsidRDefault="001B27A2" w:rsidP="005451CD">
      <w:pPr>
        <w:spacing w:after="0" w:line="240" w:lineRule="auto"/>
        <w:jc w:val="both"/>
        <w:rPr>
          <w:rFonts w:ascii="Bookman Old Style" w:eastAsiaTheme="minorEastAsia" w:hAnsi="Bookman Old Style"/>
        </w:rPr>
      </w:pPr>
    </w:p>
    <w:p w14:paraId="0731D3E7" w14:textId="25F5D71C" w:rsidR="001B27A2" w:rsidRPr="001B27A2" w:rsidRDefault="001B27A2" w:rsidP="005451CD">
      <w:pPr>
        <w:spacing w:after="0" w:line="240" w:lineRule="auto"/>
        <w:jc w:val="both"/>
        <w:rPr>
          <w:rFonts w:ascii="Bookman Old Style" w:eastAsiaTheme="minorEastAsia" w:hAnsi="Bookman Old Style"/>
        </w:rPr>
      </w:pPr>
      <m:oMathPara>
        <m:oMath>
          <m:r>
            <w:rPr>
              <w:rFonts w:ascii="Cambria Math" w:eastAsiaTheme="minorEastAsia" w:hAnsi="Cambria Math"/>
            </w:rPr>
            <w:lastRenderedPageBreak/>
            <m:t>NPV=-$100+</m:t>
          </m:r>
          <m:f>
            <m:fPr>
              <m:ctrlPr>
                <w:rPr>
                  <w:rFonts w:ascii="Cambria Math" w:eastAsiaTheme="minorEastAsia" w:hAnsi="Cambria Math"/>
                  <w:i/>
                </w:rPr>
              </m:ctrlPr>
            </m:fPr>
            <m:num>
              <m:r>
                <w:rPr>
                  <w:rFonts w:ascii="Cambria Math" w:eastAsiaTheme="minorEastAsia" w:hAnsi="Cambria Math"/>
                </w:rPr>
                <m:t>60</m:t>
              </m:r>
            </m:num>
            <m:den>
              <m:r>
                <w:rPr>
                  <w:rFonts w:ascii="Cambria Math" w:eastAsiaTheme="minorEastAsia" w:hAnsi="Cambria Math"/>
                </w:rPr>
                <m:t>1.1</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60</m:t>
              </m:r>
            </m:num>
            <m:den>
              <m:sSup>
                <m:sSupPr>
                  <m:ctrlPr>
                    <w:rPr>
                      <w:rFonts w:ascii="Cambria Math" w:eastAsiaTheme="minorEastAsia" w:hAnsi="Cambria Math"/>
                      <w:i/>
                    </w:rPr>
                  </m:ctrlPr>
                </m:sSupPr>
                <m:e>
                  <m:r>
                    <w:rPr>
                      <w:rFonts w:ascii="Cambria Math" w:eastAsiaTheme="minorEastAsia" w:hAnsi="Cambria Math"/>
                    </w:rPr>
                    <m:t>1.1</m:t>
                  </m:r>
                </m:e>
                <m:sup>
                  <m:r>
                    <w:rPr>
                      <w:rFonts w:ascii="Cambria Math" w:eastAsiaTheme="minorEastAsia" w:hAnsi="Cambria Math"/>
                    </w:rPr>
                    <m:t>2</m:t>
                  </m:r>
                </m:sup>
              </m:sSup>
            </m:den>
          </m:f>
          <m:r>
            <w:rPr>
              <w:rFonts w:ascii="Cambria Math" w:eastAsiaTheme="minorEastAsia" w:hAnsi="Cambria Math"/>
            </w:rPr>
            <m:t>=$4.13</m:t>
          </m:r>
        </m:oMath>
      </m:oMathPara>
    </w:p>
    <w:p w14:paraId="72B89DFD" w14:textId="77777777" w:rsidR="001B27A2" w:rsidRDefault="001B27A2" w:rsidP="005451CD">
      <w:pPr>
        <w:spacing w:after="0" w:line="240" w:lineRule="auto"/>
        <w:jc w:val="both"/>
        <w:rPr>
          <w:rFonts w:ascii="Bookman Old Style" w:eastAsiaTheme="minorEastAsia" w:hAnsi="Bookman Old Style"/>
        </w:rPr>
      </w:pPr>
    </w:p>
    <w:p w14:paraId="2F91ED92" w14:textId="4412B78C" w:rsidR="001B27A2" w:rsidRDefault="001B27A2" w:rsidP="005451CD">
      <w:pPr>
        <w:spacing w:after="0" w:line="240" w:lineRule="auto"/>
        <w:jc w:val="both"/>
        <w:rPr>
          <w:rFonts w:ascii="Bookman Old Style" w:eastAsiaTheme="minorEastAsia" w:hAnsi="Bookman Old Style"/>
        </w:rPr>
      </w:pPr>
      <w:r>
        <w:rPr>
          <w:rFonts w:ascii="Bookman Old Style" w:eastAsiaTheme="minorEastAsia" w:hAnsi="Bookman Old Style"/>
        </w:rPr>
        <w:t>We’re getting close – we can summarize these and other possibilities as shown below:</w:t>
      </w:r>
    </w:p>
    <w:p w14:paraId="7CD2F520" w14:textId="77777777" w:rsidR="001B27A2" w:rsidRDefault="001B27A2" w:rsidP="005451CD">
      <w:pPr>
        <w:spacing w:after="0" w:line="240" w:lineRule="auto"/>
        <w:jc w:val="both"/>
        <w:rPr>
          <w:rFonts w:ascii="Bookman Old Style" w:eastAsiaTheme="minorEastAsia" w:hAnsi="Bookman Old Style"/>
        </w:rPr>
      </w:pPr>
    </w:p>
    <w:tbl>
      <w:tblPr>
        <w:tblStyle w:val="TableGrid"/>
        <w:tblW w:w="0" w:type="auto"/>
        <w:jc w:val="center"/>
        <w:tblBorders>
          <w:insideV w:val="none" w:sz="0" w:space="0" w:color="auto"/>
        </w:tblBorders>
        <w:tblLook w:val="04A0" w:firstRow="1" w:lastRow="0" w:firstColumn="1" w:lastColumn="0" w:noHBand="0" w:noVBand="1"/>
      </w:tblPr>
      <w:tblGrid>
        <w:gridCol w:w="1908"/>
        <w:gridCol w:w="1980"/>
      </w:tblGrid>
      <w:tr w:rsidR="001B27A2" w14:paraId="5106F5D3" w14:textId="77777777" w:rsidTr="001B27A2">
        <w:trPr>
          <w:jc w:val="center"/>
        </w:trPr>
        <w:tc>
          <w:tcPr>
            <w:tcW w:w="1908" w:type="dxa"/>
            <w:tcBorders>
              <w:bottom w:val="single" w:sz="4" w:space="0" w:color="auto"/>
            </w:tcBorders>
          </w:tcPr>
          <w:p w14:paraId="2424AA4C" w14:textId="244EEB27" w:rsidR="001B27A2" w:rsidRPr="001B27A2" w:rsidRDefault="001B27A2" w:rsidP="005451CD">
            <w:pPr>
              <w:jc w:val="center"/>
              <w:rPr>
                <w:rFonts w:ascii="Bookman Old Style" w:eastAsiaTheme="minorEastAsia" w:hAnsi="Bookman Old Style"/>
                <w:b/>
              </w:rPr>
            </w:pPr>
            <w:r>
              <w:rPr>
                <w:rFonts w:ascii="Bookman Old Style" w:eastAsiaTheme="minorEastAsia" w:hAnsi="Bookman Old Style"/>
                <w:b/>
              </w:rPr>
              <w:t>Discount Rate</w:t>
            </w:r>
          </w:p>
        </w:tc>
        <w:tc>
          <w:tcPr>
            <w:tcW w:w="1980" w:type="dxa"/>
            <w:tcBorders>
              <w:bottom w:val="single" w:sz="4" w:space="0" w:color="auto"/>
            </w:tcBorders>
          </w:tcPr>
          <w:p w14:paraId="2DA5E9CC" w14:textId="02A00C84" w:rsidR="001B27A2" w:rsidRPr="001B27A2" w:rsidRDefault="001B27A2" w:rsidP="005451CD">
            <w:pPr>
              <w:jc w:val="center"/>
              <w:rPr>
                <w:rFonts w:ascii="Bookman Old Style" w:eastAsiaTheme="minorEastAsia" w:hAnsi="Bookman Old Style"/>
                <w:b/>
              </w:rPr>
            </w:pPr>
            <w:r>
              <w:rPr>
                <w:rFonts w:ascii="Bookman Old Style" w:eastAsiaTheme="minorEastAsia" w:hAnsi="Bookman Old Style"/>
                <w:b/>
              </w:rPr>
              <w:t>NPV</w:t>
            </w:r>
          </w:p>
        </w:tc>
      </w:tr>
      <w:tr w:rsidR="001B27A2" w14:paraId="22EDFEF2" w14:textId="77777777" w:rsidTr="001B27A2">
        <w:trPr>
          <w:jc w:val="center"/>
        </w:trPr>
        <w:tc>
          <w:tcPr>
            <w:tcW w:w="1908" w:type="dxa"/>
            <w:tcBorders>
              <w:bottom w:val="nil"/>
            </w:tcBorders>
          </w:tcPr>
          <w:p w14:paraId="13117AC5" w14:textId="510CD328" w:rsidR="001B27A2" w:rsidRDefault="001B27A2" w:rsidP="005451CD">
            <w:pPr>
              <w:jc w:val="center"/>
              <w:rPr>
                <w:rFonts w:ascii="Bookman Old Style" w:eastAsiaTheme="minorEastAsia" w:hAnsi="Bookman Old Style"/>
              </w:rPr>
            </w:pPr>
            <w:r>
              <w:rPr>
                <w:rFonts w:ascii="Bookman Old Style" w:eastAsiaTheme="minorEastAsia" w:hAnsi="Bookman Old Style"/>
              </w:rPr>
              <w:t>0%</w:t>
            </w:r>
          </w:p>
        </w:tc>
        <w:tc>
          <w:tcPr>
            <w:tcW w:w="1980" w:type="dxa"/>
            <w:tcBorders>
              <w:bottom w:val="nil"/>
            </w:tcBorders>
          </w:tcPr>
          <w:p w14:paraId="209F8640" w14:textId="740D9001" w:rsidR="001B27A2" w:rsidRDefault="001B27A2" w:rsidP="005451CD">
            <w:pPr>
              <w:jc w:val="center"/>
              <w:rPr>
                <w:rFonts w:ascii="Bookman Old Style" w:eastAsiaTheme="minorEastAsia" w:hAnsi="Bookman Old Style"/>
              </w:rPr>
            </w:pPr>
            <w:r>
              <w:rPr>
                <w:rFonts w:ascii="Bookman Old Style" w:eastAsiaTheme="minorEastAsia" w:hAnsi="Bookman Old Style"/>
              </w:rPr>
              <w:t>$20.00</w:t>
            </w:r>
          </w:p>
        </w:tc>
      </w:tr>
      <w:tr w:rsidR="001B27A2" w14:paraId="3A306810" w14:textId="77777777" w:rsidTr="001B27A2">
        <w:trPr>
          <w:jc w:val="center"/>
        </w:trPr>
        <w:tc>
          <w:tcPr>
            <w:tcW w:w="1908" w:type="dxa"/>
            <w:tcBorders>
              <w:top w:val="nil"/>
              <w:bottom w:val="nil"/>
            </w:tcBorders>
          </w:tcPr>
          <w:p w14:paraId="1F5A5E83" w14:textId="475A6B7A" w:rsidR="001B27A2" w:rsidRDefault="001B27A2" w:rsidP="005451CD">
            <w:pPr>
              <w:jc w:val="center"/>
              <w:rPr>
                <w:rFonts w:ascii="Bookman Old Style" w:eastAsiaTheme="minorEastAsia" w:hAnsi="Bookman Old Style"/>
              </w:rPr>
            </w:pPr>
            <w:r>
              <w:rPr>
                <w:rFonts w:ascii="Bookman Old Style" w:eastAsiaTheme="minorEastAsia" w:hAnsi="Bookman Old Style"/>
              </w:rPr>
              <w:t>5%</w:t>
            </w:r>
          </w:p>
        </w:tc>
        <w:tc>
          <w:tcPr>
            <w:tcW w:w="1980" w:type="dxa"/>
            <w:tcBorders>
              <w:top w:val="nil"/>
              <w:bottom w:val="nil"/>
            </w:tcBorders>
          </w:tcPr>
          <w:p w14:paraId="68E87DD6" w14:textId="2FE159C6" w:rsidR="001B27A2" w:rsidRDefault="001B27A2" w:rsidP="005451CD">
            <w:pPr>
              <w:jc w:val="center"/>
              <w:rPr>
                <w:rFonts w:ascii="Bookman Old Style" w:eastAsiaTheme="minorEastAsia" w:hAnsi="Bookman Old Style"/>
              </w:rPr>
            </w:pPr>
            <w:r>
              <w:rPr>
                <w:rFonts w:ascii="Bookman Old Style" w:eastAsiaTheme="minorEastAsia" w:hAnsi="Bookman Old Style"/>
              </w:rPr>
              <w:t>$11.56</w:t>
            </w:r>
          </w:p>
        </w:tc>
      </w:tr>
      <w:tr w:rsidR="001B27A2" w14:paraId="4783BF4E" w14:textId="77777777" w:rsidTr="001B27A2">
        <w:trPr>
          <w:jc w:val="center"/>
        </w:trPr>
        <w:tc>
          <w:tcPr>
            <w:tcW w:w="1908" w:type="dxa"/>
            <w:tcBorders>
              <w:top w:val="nil"/>
              <w:bottom w:val="nil"/>
            </w:tcBorders>
          </w:tcPr>
          <w:p w14:paraId="6E15082C" w14:textId="733DE076" w:rsidR="001B27A2" w:rsidRDefault="001B27A2" w:rsidP="005451CD">
            <w:pPr>
              <w:jc w:val="center"/>
              <w:rPr>
                <w:rFonts w:ascii="Bookman Old Style" w:eastAsiaTheme="minorEastAsia" w:hAnsi="Bookman Old Style"/>
              </w:rPr>
            </w:pPr>
            <w:r>
              <w:rPr>
                <w:rFonts w:ascii="Bookman Old Style" w:eastAsiaTheme="minorEastAsia" w:hAnsi="Bookman Old Style"/>
              </w:rPr>
              <w:t>10%</w:t>
            </w:r>
          </w:p>
        </w:tc>
        <w:tc>
          <w:tcPr>
            <w:tcW w:w="1980" w:type="dxa"/>
            <w:tcBorders>
              <w:top w:val="nil"/>
              <w:bottom w:val="nil"/>
            </w:tcBorders>
          </w:tcPr>
          <w:p w14:paraId="37E7826F" w14:textId="27D8FF69" w:rsidR="001B27A2" w:rsidRDefault="001B27A2" w:rsidP="005451CD">
            <w:pPr>
              <w:jc w:val="center"/>
              <w:rPr>
                <w:rFonts w:ascii="Bookman Old Style" w:eastAsiaTheme="minorEastAsia" w:hAnsi="Bookman Old Style"/>
              </w:rPr>
            </w:pPr>
            <w:r>
              <w:rPr>
                <w:rFonts w:ascii="Bookman Old Style" w:eastAsiaTheme="minorEastAsia" w:hAnsi="Bookman Old Style"/>
              </w:rPr>
              <w:t>$4.13</w:t>
            </w:r>
          </w:p>
        </w:tc>
      </w:tr>
      <w:tr w:rsidR="001B27A2" w14:paraId="6A640FD4" w14:textId="77777777" w:rsidTr="001B27A2">
        <w:trPr>
          <w:jc w:val="center"/>
        </w:trPr>
        <w:tc>
          <w:tcPr>
            <w:tcW w:w="1908" w:type="dxa"/>
            <w:tcBorders>
              <w:top w:val="nil"/>
              <w:bottom w:val="nil"/>
            </w:tcBorders>
          </w:tcPr>
          <w:p w14:paraId="2045F05B" w14:textId="1BC0306E" w:rsidR="001B27A2" w:rsidRDefault="001B27A2" w:rsidP="005451CD">
            <w:pPr>
              <w:jc w:val="center"/>
              <w:rPr>
                <w:rFonts w:ascii="Bookman Old Style" w:eastAsiaTheme="minorEastAsia" w:hAnsi="Bookman Old Style"/>
              </w:rPr>
            </w:pPr>
            <w:r>
              <w:rPr>
                <w:rFonts w:ascii="Bookman Old Style" w:eastAsiaTheme="minorEastAsia" w:hAnsi="Bookman Old Style"/>
              </w:rPr>
              <w:t>15%</w:t>
            </w:r>
          </w:p>
        </w:tc>
        <w:tc>
          <w:tcPr>
            <w:tcW w:w="1980" w:type="dxa"/>
            <w:tcBorders>
              <w:top w:val="nil"/>
              <w:bottom w:val="nil"/>
            </w:tcBorders>
          </w:tcPr>
          <w:p w14:paraId="3622A6C1" w14:textId="07AFD200" w:rsidR="001B27A2" w:rsidRDefault="001B27A2" w:rsidP="005451CD">
            <w:pPr>
              <w:jc w:val="center"/>
              <w:rPr>
                <w:rFonts w:ascii="Bookman Old Style" w:eastAsiaTheme="minorEastAsia" w:hAnsi="Bookman Old Style"/>
              </w:rPr>
            </w:pPr>
            <w:r>
              <w:rPr>
                <w:rFonts w:ascii="Bookman Old Style" w:eastAsiaTheme="minorEastAsia" w:hAnsi="Bookman Old Style"/>
              </w:rPr>
              <w:t>-$2.46</w:t>
            </w:r>
          </w:p>
        </w:tc>
      </w:tr>
      <w:tr w:rsidR="001B27A2" w14:paraId="63EFF5A6" w14:textId="77777777" w:rsidTr="001B27A2">
        <w:trPr>
          <w:trHeight w:val="58"/>
          <w:jc w:val="center"/>
        </w:trPr>
        <w:tc>
          <w:tcPr>
            <w:tcW w:w="1908" w:type="dxa"/>
            <w:tcBorders>
              <w:top w:val="nil"/>
            </w:tcBorders>
          </w:tcPr>
          <w:p w14:paraId="50893E0A" w14:textId="7F1804AA" w:rsidR="001B27A2" w:rsidRDefault="001B27A2" w:rsidP="005451CD">
            <w:pPr>
              <w:jc w:val="center"/>
              <w:rPr>
                <w:rFonts w:ascii="Bookman Old Style" w:eastAsiaTheme="minorEastAsia" w:hAnsi="Bookman Old Style"/>
              </w:rPr>
            </w:pPr>
            <w:r>
              <w:rPr>
                <w:rFonts w:ascii="Bookman Old Style" w:eastAsiaTheme="minorEastAsia" w:hAnsi="Bookman Old Style"/>
              </w:rPr>
              <w:t>20%</w:t>
            </w:r>
          </w:p>
        </w:tc>
        <w:tc>
          <w:tcPr>
            <w:tcW w:w="1980" w:type="dxa"/>
            <w:tcBorders>
              <w:top w:val="nil"/>
            </w:tcBorders>
          </w:tcPr>
          <w:p w14:paraId="3C1DF294" w14:textId="5777F693" w:rsidR="001B27A2" w:rsidRDefault="001B27A2" w:rsidP="005451CD">
            <w:pPr>
              <w:jc w:val="center"/>
              <w:rPr>
                <w:rFonts w:ascii="Bookman Old Style" w:eastAsiaTheme="minorEastAsia" w:hAnsi="Bookman Old Style"/>
              </w:rPr>
            </w:pPr>
            <w:r>
              <w:rPr>
                <w:rFonts w:ascii="Bookman Old Style" w:eastAsiaTheme="minorEastAsia" w:hAnsi="Bookman Old Style"/>
              </w:rPr>
              <w:t>-$8.33</w:t>
            </w:r>
          </w:p>
        </w:tc>
      </w:tr>
    </w:tbl>
    <w:p w14:paraId="1D18577E" w14:textId="77777777" w:rsidR="001B27A2" w:rsidRDefault="001B27A2" w:rsidP="005451CD">
      <w:pPr>
        <w:spacing w:after="0" w:line="240" w:lineRule="auto"/>
        <w:jc w:val="both"/>
        <w:rPr>
          <w:rFonts w:ascii="Bookman Old Style" w:eastAsiaTheme="minorEastAsia" w:hAnsi="Bookman Old Style"/>
        </w:rPr>
      </w:pPr>
    </w:p>
    <w:p w14:paraId="303B5951" w14:textId="55A4C053" w:rsidR="001B27A2" w:rsidRDefault="001B27A2" w:rsidP="005451CD">
      <w:pPr>
        <w:spacing w:after="0" w:line="240" w:lineRule="auto"/>
        <w:jc w:val="both"/>
        <w:rPr>
          <w:rFonts w:ascii="Bookman Old Style" w:eastAsiaTheme="minorEastAsia" w:hAnsi="Bookman Old Style"/>
        </w:rPr>
      </w:pPr>
      <w:r>
        <w:rPr>
          <w:rFonts w:ascii="Bookman Old Style" w:eastAsiaTheme="minorEastAsia" w:hAnsi="Bookman Old Style"/>
        </w:rPr>
        <w:t>From our calculations, the NPV seems to be ZERO between 10% and 15%, so the IRR is somewhere in that range. With a little more effort, we’d find that the IRR is about 13.1%.</w:t>
      </w:r>
    </w:p>
    <w:p w14:paraId="16A1BB8D" w14:textId="77777777" w:rsidR="001B27A2" w:rsidRDefault="001B27A2" w:rsidP="005451CD">
      <w:pPr>
        <w:spacing w:after="0" w:line="240" w:lineRule="auto"/>
        <w:jc w:val="both"/>
        <w:rPr>
          <w:rFonts w:ascii="Bookman Old Style" w:eastAsiaTheme="minorEastAsia" w:hAnsi="Bookman Old Style"/>
        </w:rPr>
      </w:pPr>
    </w:p>
    <w:p w14:paraId="2C732185" w14:textId="263BD2FB" w:rsidR="001B27A2" w:rsidRDefault="001B27A2" w:rsidP="005451CD">
      <w:pPr>
        <w:spacing w:after="0" w:line="240" w:lineRule="auto"/>
        <w:jc w:val="both"/>
        <w:rPr>
          <w:rFonts w:ascii="Bookman Old Style" w:eastAsiaTheme="minorEastAsia" w:hAnsi="Bookman Old Style"/>
        </w:rPr>
      </w:pPr>
      <w:r>
        <w:rPr>
          <w:rFonts w:ascii="Bookman Old Style" w:eastAsiaTheme="minorEastAsia" w:hAnsi="Bookman Old Style"/>
        </w:rPr>
        <w:t>So if our required return is less than 13.1%, we’d take this investment. If our required return exceeds 13.1%, we’d reject it.</w:t>
      </w:r>
    </w:p>
    <w:p w14:paraId="101239B0" w14:textId="77777777" w:rsidR="001B27A2" w:rsidRDefault="001B27A2" w:rsidP="005451CD">
      <w:pPr>
        <w:spacing w:after="0" w:line="240" w:lineRule="auto"/>
        <w:jc w:val="both"/>
        <w:rPr>
          <w:rFonts w:ascii="Bookman Old Style" w:eastAsiaTheme="minorEastAsia" w:hAnsi="Bookman Old Style"/>
        </w:rPr>
      </w:pPr>
    </w:p>
    <w:p w14:paraId="6019A9F1" w14:textId="75351267" w:rsidR="001B27A2" w:rsidRDefault="001B27A2" w:rsidP="005451CD">
      <w:pPr>
        <w:spacing w:after="0" w:line="240" w:lineRule="auto"/>
        <w:jc w:val="both"/>
        <w:rPr>
          <w:rFonts w:ascii="Bookman Old Style" w:eastAsiaTheme="minorEastAsia" w:hAnsi="Bookman Old Style"/>
        </w:rPr>
      </w:pPr>
      <w:r>
        <w:rPr>
          <w:rFonts w:ascii="Bookman Old Style" w:eastAsiaTheme="minorEastAsia" w:hAnsi="Bookman Old Style"/>
        </w:rPr>
        <w:t>So as you see, the IRR rule and the NPV rule are quite similar. In fact, the IRR is sometimes called the discounted cash flow of DCF return.</w:t>
      </w:r>
    </w:p>
    <w:p w14:paraId="269D222E" w14:textId="77777777" w:rsidR="001B27A2" w:rsidRDefault="001B27A2" w:rsidP="005451CD">
      <w:pPr>
        <w:spacing w:after="0" w:line="240" w:lineRule="auto"/>
        <w:jc w:val="both"/>
        <w:rPr>
          <w:rFonts w:ascii="Bookman Old Style" w:eastAsiaTheme="minorEastAsia" w:hAnsi="Bookman Old Style"/>
        </w:rPr>
      </w:pPr>
    </w:p>
    <w:p w14:paraId="100FF581" w14:textId="74AFAF27" w:rsidR="001B27A2" w:rsidRDefault="001B27A2" w:rsidP="005451CD">
      <w:pPr>
        <w:spacing w:after="0" w:line="240" w:lineRule="auto"/>
        <w:jc w:val="both"/>
        <w:rPr>
          <w:rFonts w:ascii="Bookman Old Style" w:eastAsiaTheme="minorEastAsia" w:hAnsi="Bookman Old Style"/>
        </w:rPr>
      </w:pPr>
      <w:r>
        <w:rPr>
          <w:rFonts w:ascii="Bookman Old Style" w:eastAsiaTheme="minorEastAsia" w:hAnsi="Bookman Old Style"/>
        </w:rPr>
        <w:t>The easiest way to show the relationship between NPV and IRR is to p</w:t>
      </w:r>
      <w:r w:rsidR="008A171A">
        <w:rPr>
          <w:rFonts w:ascii="Bookman Old Style" w:eastAsiaTheme="minorEastAsia" w:hAnsi="Bookman Old Style"/>
        </w:rPr>
        <w:t>lot the numbers we calculated.</w:t>
      </w:r>
    </w:p>
    <w:p w14:paraId="3662504F" w14:textId="77777777" w:rsidR="008A171A" w:rsidRDefault="008A171A" w:rsidP="005451CD">
      <w:pPr>
        <w:spacing w:after="0" w:line="240" w:lineRule="auto"/>
        <w:jc w:val="both"/>
        <w:rPr>
          <w:rFonts w:ascii="Bookman Old Style" w:eastAsiaTheme="minorEastAsia" w:hAnsi="Bookman Old Style"/>
        </w:rPr>
      </w:pPr>
    </w:p>
    <w:p w14:paraId="12DF5DD0" w14:textId="27CA7E84" w:rsidR="008A171A" w:rsidRDefault="008A171A" w:rsidP="005451CD">
      <w:pPr>
        <w:spacing w:after="0" w:line="240" w:lineRule="auto"/>
        <w:jc w:val="both"/>
        <w:rPr>
          <w:rFonts w:ascii="Bookman Old Style" w:eastAsiaTheme="minorEastAsia" w:hAnsi="Bookman Old Style"/>
          <w:noProof/>
        </w:rPr>
      </w:pPr>
      <w:r>
        <w:rPr>
          <w:rFonts w:ascii="Bookman Old Style" w:eastAsiaTheme="minorEastAsia" w:hAnsi="Bookman Old Style"/>
          <w:noProof/>
        </w:rPr>
        <w:t xml:space="preserve">We put discount rates on the horizontal x-axis – the resulting picture would be a smooth curve called a </w:t>
      </w:r>
      <w:r>
        <w:rPr>
          <w:rFonts w:ascii="Bookman Old Style" w:eastAsiaTheme="minorEastAsia" w:hAnsi="Bookman Old Style"/>
          <w:b/>
          <w:noProof/>
        </w:rPr>
        <w:t>net present value profile</w:t>
      </w:r>
      <w:r>
        <w:rPr>
          <w:rFonts w:ascii="Bookman Old Style" w:eastAsiaTheme="minorEastAsia" w:hAnsi="Bookman Old Style"/>
          <w:noProof/>
        </w:rPr>
        <w:t>.</w:t>
      </w:r>
    </w:p>
    <w:p w14:paraId="678D0375" w14:textId="77777777" w:rsidR="008A171A" w:rsidRDefault="008A171A" w:rsidP="005451CD">
      <w:pPr>
        <w:spacing w:after="0" w:line="240" w:lineRule="auto"/>
        <w:jc w:val="both"/>
        <w:rPr>
          <w:rFonts w:ascii="Bookman Old Style" w:eastAsiaTheme="minorEastAsia" w:hAnsi="Bookman Old Style"/>
          <w:noProof/>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8A171A" w14:paraId="6B956CB9" w14:textId="77777777" w:rsidTr="008A171A">
        <w:tc>
          <w:tcPr>
            <w:tcW w:w="9576" w:type="dxa"/>
          </w:tcPr>
          <w:p w14:paraId="5E78D2DE" w14:textId="1CAA4857" w:rsidR="008A171A" w:rsidRDefault="008A171A" w:rsidP="005451CD">
            <w:pPr>
              <w:jc w:val="both"/>
              <w:rPr>
                <w:rFonts w:ascii="Bookman Old Style" w:eastAsiaTheme="minorEastAsia" w:hAnsi="Bookman Old Style"/>
              </w:rPr>
            </w:pPr>
          </w:p>
          <w:p w14:paraId="3993C2CC" w14:textId="13F7BF1A" w:rsidR="008A171A" w:rsidRDefault="008A171A" w:rsidP="005451CD">
            <w:pPr>
              <w:jc w:val="both"/>
              <w:rPr>
                <w:rFonts w:ascii="Bookman Old Style" w:eastAsiaTheme="minorEastAsia" w:hAnsi="Bookman Old Style"/>
              </w:rPr>
            </w:pPr>
            <w:r>
              <w:rPr>
                <w:rFonts w:ascii="Bookman Old Style" w:eastAsiaTheme="minorEastAsia" w:hAnsi="Bookman Old Style"/>
                <w:b/>
              </w:rPr>
              <w:t>Net Present Value Profile</w:t>
            </w:r>
            <w:r>
              <w:rPr>
                <w:rFonts w:ascii="Bookman Old Style" w:eastAsiaTheme="minorEastAsia" w:hAnsi="Bookman Old Style"/>
              </w:rPr>
              <w:t xml:space="preserve"> – A graphical representation of the relationship between an </w:t>
            </w:r>
            <w:proofErr w:type="gramStart"/>
            <w:r w:rsidR="00DE3153">
              <w:rPr>
                <w:rFonts w:ascii="Bookman Old Style" w:eastAsiaTheme="minorEastAsia" w:hAnsi="Bookman Old Style"/>
              </w:rPr>
              <w:t>investment’s</w:t>
            </w:r>
            <w:proofErr w:type="gramEnd"/>
            <w:r>
              <w:rPr>
                <w:rFonts w:ascii="Bookman Old Style" w:eastAsiaTheme="minorEastAsia" w:hAnsi="Bookman Old Style"/>
              </w:rPr>
              <w:t xml:space="preserve"> NPVs and various discount rates.</w:t>
            </w:r>
          </w:p>
          <w:p w14:paraId="525A41A6" w14:textId="4BA5FACF" w:rsidR="008A171A" w:rsidRPr="008A171A" w:rsidRDefault="008A171A" w:rsidP="005451CD">
            <w:pPr>
              <w:jc w:val="both"/>
              <w:rPr>
                <w:rFonts w:ascii="Bookman Old Style" w:eastAsiaTheme="minorEastAsia" w:hAnsi="Bookman Old Style"/>
              </w:rPr>
            </w:pPr>
          </w:p>
        </w:tc>
      </w:tr>
    </w:tbl>
    <w:p w14:paraId="1E644DB8" w14:textId="77777777" w:rsidR="008A171A" w:rsidRDefault="008A171A" w:rsidP="005451CD">
      <w:pPr>
        <w:spacing w:after="0" w:line="240" w:lineRule="auto"/>
        <w:jc w:val="both"/>
        <w:rPr>
          <w:rFonts w:ascii="Bookman Old Style" w:eastAsiaTheme="minorEastAsia" w:hAnsi="Bookman Old Style"/>
        </w:rPr>
      </w:pPr>
    </w:p>
    <w:p w14:paraId="6658B891" w14:textId="11383540" w:rsidR="008A171A" w:rsidRDefault="008A171A" w:rsidP="005451CD">
      <w:pPr>
        <w:spacing w:after="0" w:line="240" w:lineRule="auto"/>
        <w:jc w:val="both"/>
        <w:rPr>
          <w:rFonts w:ascii="Bookman Old Style" w:eastAsiaTheme="minorEastAsia" w:hAnsi="Bookman Old Style"/>
        </w:rPr>
      </w:pPr>
      <w:r>
        <w:rPr>
          <w:rFonts w:ascii="Bookman Old Style" w:eastAsiaTheme="minorEastAsia" w:hAnsi="Bookman Old Style"/>
        </w:rPr>
        <w:t>In our example, the NPV rule and the IRR rule lead to the same accept/reject decision. We accept an investment using the IRR rule is the required return is less than 13.1%.</w:t>
      </w:r>
    </w:p>
    <w:p w14:paraId="17C8E64F" w14:textId="77777777" w:rsidR="008A171A" w:rsidRDefault="008A171A" w:rsidP="005451CD">
      <w:pPr>
        <w:spacing w:after="0" w:line="240" w:lineRule="auto"/>
        <w:jc w:val="both"/>
        <w:rPr>
          <w:rFonts w:ascii="Bookman Old Style" w:eastAsiaTheme="minorEastAsia" w:hAnsi="Bookman Old Style"/>
        </w:rPr>
      </w:pPr>
    </w:p>
    <w:p w14:paraId="345F95D8" w14:textId="1B22D2AE" w:rsidR="008A171A" w:rsidRDefault="008A171A" w:rsidP="005451CD">
      <w:pPr>
        <w:spacing w:after="0" w:line="240" w:lineRule="auto"/>
        <w:jc w:val="both"/>
        <w:rPr>
          <w:rFonts w:ascii="Bookman Old Style" w:eastAsiaTheme="minorEastAsia" w:hAnsi="Bookman Old Style"/>
        </w:rPr>
      </w:pPr>
      <w:r>
        <w:rPr>
          <w:rFonts w:ascii="Bookman Old Style" w:eastAsiaTheme="minorEastAsia" w:hAnsi="Bookman Old Style"/>
        </w:rPr>
        <w:t>The graph would illustrate that the NPV is positive at any discount rate less than 13.1%, so we’d accept the investment using the NPV rule as well. The 2 rules are equivalent in this case.</w:t>
      </w:r>
    </w:p>
    <w:p w14:paraId="6EADC31B" w14:textId="77777777" w:rsidR="008A171A" w:rsidRDefault="008A171A" w:rsidP="005451CD">
      <w:pPr>
        <w:spacing w:after="0" w:line="240" w:lineRule="auto"/>
        <w:jc w:val="both"/>
        <w:rPr>
          <w:rFonts w:ascii="Bookman Old Style" w:eastAsiaTheme="minorEastAsia" w:hAnsi="Bookman Old Style"/>
        </w:rPr>
      </w:pPr>
    </w:p>
    <w:p w14:paraId="21F91808" w14:textId="66408E88" w:rsidR="008A171A" w:rsidRDefault="008A171A" w:rsidP="005451CD">
      <w:pPr>
        <w:spacing w:after="0" w:line="240" w:lineRule="auto"/>
        <w:jc w:val="both"/>
        <w:rPr>
          <w:rFonts w:ascii="Bookman Old Style" w:eastAsiaTheme="minorEastAsia" w:hAnsi="Bookman Old Style"/>
        </w:rPr>
      </w:pPr>
      <w:r>
        <w:rPr>
          <w:rFonts w:ascii="Bookman Old Style" w:eastAsiaTheme="minorEastAsia" w:hAnsi="Bookman Old Style"/>
        </w:rPr>
        <w:t>Do the IRR and NPV rules always lead to identical decisions?</w:t>
      </w:r>
    </w:p>
    <w:p w14:paraId="6C1BB4EF" w14:textId="595AC2FC" w:rsidR="008A171A" w:rsidRDefault="008A171A" w:rsidP="005451CD">
      <w:pPr>
        <w:spacing w:after="0" w:line="240" w:lineRule="auto"/>
        <w:jc w:val="both"/>
        <w:rPr>
          <w:rFonts w:ascii="Bookman Old Style" w:eastAsiaTheme="minorEastAsia" w:hAnsi="Bookman Old Style"/>
        </w:rPr>
      </w:pPr>
      <w:r>
        <w:rPr>
          <w:rFonts w:ascii="Bookman Old Style" w:eastAsiaTheme="minorEastAsia" w:hAnsi="Bookman Old Style"/>
        </w:rPr>
        <w:t>Yes.</w:t>
      </w:r>
    </w:p>
    <w:p w14:paraId="55A8F2AA" w14:textId="3189D593" w:rsidR="008A171A" w:rsidRDefault="008A171A" w:rsidP="005451CD">
      <w:pPr>
        <w:spacing w:after="0" w:line="240" w:lineRule="auto"/>
        <w:jc w:val="both"/>
        <w:rPr>
          <w:rFonts w:ascii="Bookman Old Style" w:eastAsiaTheme="minorEastAsia" w:hAnsi="Bookman Old Style"/>
        </w:rPr>
      </w:pPr>
      <w:r>
        <w:rPr>
          <w:rFonts w:ascii="Bookman Old Style" w:eastAsiaTheme="minorEastAsia" w:hAnsi="Bookman Old Style"/>
        </w:rPr>
        <w:t>As long as 2 very important conditions are met:</w:t>
      </w:r>
    </w:p>
    <w:p w14:paraId="4D7235E1" w14:textId="77777777" w:rsidR="008A171A" w:rsidRDefault="008A171A" w:rsidP="005451CD">
      <w:pPr>
        <w:spacing w:after="0" w:line="240" w:lineRule="auto"/>
        <w:jc w:val="both"/>
        <w:rPr>
          <w:rFonts w:ascii="Bookman Old Style" w:eastAsiaTheme="minorEastAsia" w:hAnsi="Bookman Old Style"/>
        </w:rPr>
      </w:pPr>
    </w:p>
    <w:p w14:paraId="0FD34445" w14:textId="2785D34F" w:rsidR="008A171A" w:rsidRDefault="008A171A" w:rsidP="005451CD">
      <w:pPr>
        <w:pStyle w:val="ListParagraph"/>
        <w:numPr>
          <w:ilvl w:val="0"/>
          <w:numId w:val="37"/>
        </w:numPr>
        <w:spacing w:after="0" w:line="240" w:lineRule="auto"/>
        <w:jc w:val="both"/>
        <w:rPr>
          <w:rFonts w:ascii="Bookman Old Style" w:eastAsiaTheme="minorEastAsia" w:hAnsi="Bookman Old Style"/>
        </w:rPr>
      </w:pPr>
      <w:r>
        <w:rPr>
          <w:rFonts w:ascii="Bookman Old Style" w:eastAsiaTheme="minorEastAsia" w:hAnsi="Bookman Old Style"/>
        </w:rPr>
        <w:t>The project’s cash flows must be conventional, meaning that the first cash flow (the initial investment) is negative and all the rest are positive.</w:t>
      </w:r>
    </w:p>
    <w:p w14:paraId="17E42C57" w14:textId="77777777" w:rsidR="008A171A" w:rsidRDefault="008A171A" w:rsidP="005451CD">
      <w:pPr>
        <w:spacing w:after="0" w:line="240" w:lineRule="auto"/>
        <w:jc w:val="both"/>
        <w:rPr>
          <w:rFonts w:ascii="Bookman Old Style" w:eastAsiaTheme="minorEastAsia" w:hAnsi="Bookman Old Style"/>
        </w:rPr>
      </w:pPr>
    </w:p>
    <w:p w14:paraId="588AE15B" w14:textId="159519E8" w:rsidR="008A171A" w:rsidRDefault="008A171A" w:rsidP="005451CD">
      <w:pPr>
        <w:pStyle w:val="ListParagraph"/>
        <w:numPr>
          <w:ilvl w:val="0"/>
          <w:numId w:val="37"/>
        </w:numPr>
        <w:spacing w:after="0" w:line="240" w:lineRule="auto"/>
        <w:jc w:val="both"/>
        <w:rPr>
          <w:rFonts w:ascii="Bookman Old Style" w:eastAsiaTheme="minorEastAsia" w:hAnsi="Bookman Old Style"/>
        </w:rPr>
      </w:pPr>
      <w:r>
        <w:rPr>
          <w:rFonts w:ascii="Bookman Old Style" w:eastAsiaTheme="minorEastAsia" w:hAnsi="Bookman Old Style"/>
        </w:rPr>
        <w:t>The project</w:t>
      </w:r>
      <w:r w:rsidR="005451CD">
        <w:rPr>
          <w:rFonts w:ascii="Bookman Old Style" w:eastAsiaTheme="minorEastAsia" w:hAnsi="Bookman Old Style"/>
        </w:rPr>
        <w:t xml:space="preserve"> must be independent, meaning the decision to accept or reject this project doesn’t affect the decision to accept or reject any other.</w:t>
      </w:r>
    </w:p>
    <w:p w14:paraId="140F9920" w14:textId="4DD3D6E9" w:rsidR="005451CD" w:rsidRDefault="005451CD" w:rsidP="005451CD">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The first condition is usually met, but the 2</w:t>
      </w:r>
      <w:r w:rsidRPr="005451CD">
        <w:rPr>
          <w:rFonts w:ascii="Bookman Old Style" w:eastAsiaTheme="minorEastAsia" w:hAnsi="Bookman Old Style"/>
          <w:vertAlign w:val="superscript"/>
        </w:rPr>
        <w:t>nd</w:t>
      </w:r>
      <w:r>
        <w:rPr>
          <w:rFonts w:ascii="Bookman Old Style" w:eastAsiaTheme="minorEastAsia" w:hAnsi="Bookman Old Style"/>
        </w:rPr>
        <w:t xml:space="preserve"> isn’t. In any case, when one or both of these conditions isn’t met, problems can arise.</w:t>
      </w:r>
    </w:p>
    <w:p w14:paraId="004ABA25" w14:textId="77777777" w:rsidR="005451CD" w:rsidRDefault="005451CD" w:rsidP="005451CD">
      <w:pPr>
        <w:spacing w:after="0" w:line="240" w:lineRule="auto"/>
        <w:jc w:val="both"/>
        <w:rPr>
          <w:rFonts w:ascii="Bookman Old Style" w:eastAsiaTheme="minorEastAsia"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5451CD" w14:paraId="03560EE5" w14:textId="77777777" w:rsidTr="005451CD">
        <w:tc>
          <w:tcPr>
            <w:tcW w:w="9576" w:type="dxa"/>
          </w:tcPr>
          <w:p w14:paraId="264BDDE4" w14:textId="77777777" w:rsidR="005451CD" w:rsidRDefault="005451CD" w:rsidP="005451CD">
            <w:pPr>
              <w:jc w:val="both"/>
              <w:rPr>
                <w:rFonts w:ascii="Bookman Old Style" w:eastAsiaTheme="minorEastAsia" w:hAnsi="Bookman Old Style"/>
                <w:i/>
                <w:u w:val="single"/>
              </w:rPr>
            </w:pPr>
          </w:p>
          <w:p w14:paraId="178624B6" w14:textId="77777777" w:rsidR="005451CD" w:rsidRDefault="005451CD" w:rsidP="005451CD">
            <w:pPr>
              <w:jc w:val="both"/>
              <w:rPr>
                <w:rFonts w:ascii="Bookman Old Style" w:eastAsiaTheme="minorEastAsia" w:hAnsi="Bookman Old Style"/>
              </w:rPr>
            </w:pPr>
            <w:r>
              <w:rPr>
                <w:rFonts w:ascii="Bookman Old Style" w:eastAsiaTheme="minorEastAsia" w:hAnsi="Bookman Old Style"/>
                <w:i/>
                <w:u w:val="single"/>
              </w:rPr>
              <w:t>Ex.:</w:t>
            </w:r>
          </w:p>
          <w:p w14:paraId="103B1277" w14:textId="77777777" w:rsidR="005451CD" w:rsidRDefault="005451CD" w:rsidP="005451CD">
            <w:pPr>
              <w:jc w:val="both"/>
              <w:rPr>
                <w:rFonts w:ascii="Bookman Old Style" w:eastAsiaTheme="minorEastAsia" w:hAnsi="Bookman Old Style"/>
              </w:rPr>
            </w:pPr>
            <w:r>
              <w:rPr>
                <w:rFonts w:ascii="Bookman Old Style" w:eastAsiaTheme="minorEastAsia" w:hAnsi="Bookman Old Style"/>
              </w:rPr>
              <w:t>A project has a total up-front cost of $435.44</w:t>
            </w:r>
          </w:p>
          <w:p w14:paraId="4540297C" w14:textId="77777777" w:rsidR="005451CD" w:rsidRDefault="005451CD" w:rsidP="005451CD">
            <w:pPr>
              <w:jc w:val="both"/>
              <w:rPr>
                <w:rFonts w:ascii="Bookman Old Style" w:eastAsiaTheme="minorEastAsia" w:hAnsi="Bookman Old Style"/>
              </w:rPr>
            </w:pPr>
            <w:r>
              <w:rPr>
                <w:rFonts w:ascii="Bookman Old Style" w:eastAsiaTheme="minorEastAsia" w:hAnsi="Bookman Old Style"/>
              </w:rPr>
              <w:t>The cash flows are $100 in the 1</w:t>
            </w:r>
            <w:r w:rsidRPr="005451CD">
              <w:rPr>
                <w:rFonts w:ascii="Bookman Old Style" w:eastAsiaTheme="minorEastAsia" w:hAnsi="Bookman Old Style"/>
                <w:vertAlign w:val="superscript"/>
              </w:rPr>
              <w:t>st</w:t>
            </w:r>
            <w:r>
              <w:rPr>
                <w:rFonts w:ascii="Bookman Old Style" w:eastAsiaTheme="minorEastAsia" w:hAnsi="Bookman Old Style"/>
              </w:rPr>
              <w:t xml:space="preserve"> year, $200 in the 2</w:t>
            </w:r>
            <w:r w:rsidRPr="005451CD">
              <w:rPr>
                <w:rFonts w:ascii="Bookman Old Style" w:eastAsiaTheme="minorEastAsia" w:hAnsi="Bookman Old Style"/>
                <w:vertAlign w:val="superscript"/>
              </w:rPr>
              <w:t>nd</w:t>
            </w:r>
            <w:r>
              <w:rPr>
                <w:rFonts w:ascii="Bookman Old Style" w:eastAsiaTheme="minorEastAsia" w:hAnsi="Bookman Old Style"/>
              </w:rPr>
              <w:t xml:space="preserve"> and $300 in the 3</w:t>
            </w:r>
            <w:r w:rsidRPr="005451CD">
              <w:rPr>
                <w:rFonts w:ascii="Bookman Old Style" w:eastAsiaTheme="minorEastAsia" w:hAnsi="Bookman Old Style"/>
                <w:vertAlign w:val="superscript"/>
              </w:rPr>
              <w:t>rd</w:t>
            </w:r>
          </w:p>
          <w:p w14:paraId="749B9CBF" w14:textId="2FA30F1A" w:rsidR="005451CD" w:rsidRDefault="005451CD" w:rsidP="005451CD">
            <w:pPr>
              <w:jc w:val="both"/>
              <w:rPr>
                <w:rFonts w:ascii="Bookman Old Style" w:eastAsiaTheme="minorEastAsia" w:hAnsi="Bookman Old Style"/>
              </w:rPr>
            </w:pPr>
            <w:r>
              <w:rPr>
                <w:rFonts w:ascii="Bookman Old Style" w:eastAsiaTheme="minorEastAsia" w:hAnsi="Bookman Old Style"/>
              </w:rPr>
              <w:t>What’s the IRR?</w:t>
            </w:r>
            <w:r w:rsidR="0049782B">
              <w:rPr>
                <w:rFonts w:ascii="Bookman Old Style" w:eastAsiaTheme="minorEastAsia" w:hAnsi="Bookman Old Style"/>
              </w:rPr>
              <w:t xml:space="preserve"> </w:t>
            </w:r>
            <w:r>
              <w:rPr>
                <w:rFonts w:ascii="Bookman Old Style" w:eastAsiaTheme="minorEastAsia" w:hAnsi="Bookman Old Style"/>
              </w:rPr>
              <w:t>If we require and 18% return, should we take this investment?</w:t>
            </w:r>
            <w:r>
              <w:rPr>
                <w:rFonts w:ascii="Bookman Old Style" w:eastAsiaTheme="minorEastAsia" w:hAnsi="Bookman Old Style"/>
              </w:rPr>
              <w:br/>
            </w:r>
          </w:p>
          <w:p w14:paraId="10D93EC8" w14:textId="77777777" w:rsidR="005451CD" w:rsidRDefault="005451CD" w:rsidP="005451CD">
            <w:pPr>
              <w:jc w:val="both"/>
              <w:rPr>
                <w:rFonts w:ascii="Bookman Old Style" w:eastAsiaTheme="minorEastAsia" w:hAnsi="Bookman Old Style"/>
              </w:rPr>
            </w:pPr>
            <w:r>
              <w:rPr>
                <w:rFonts w:ascii="Bookman Old Style" w:eastAsiaTheme="minorEastAsia" w:hAnsi="Bookman Old Style"/>
              </w:rPr>
              <w:t>We’ll describe the NPV profile and find the IRR by calculating some NPVs at different discount rates. Check our answers for practice; starting with 0%, we have:</w:t>
            </w:r>
          </w:p>
          <w:p w14:paraId="794A27A4" w14:textId="77777777" w:rsidR="005451CD" w:rsidRDefault="005451CD" w:rsidP="005451CD">
            <w:pPr>
              <w:jc w:val="both"/>
              <w:rPr>
                <w:rFonts w:ascii="Bookman Old Style" w:eastAsiaTheme="minorEastAsia" w:hAnsi="Bookman Old Style"/>
              </w:rPr>
            </w:pPr>
          </w:p>
          <w:tbl>
            <w:tblPr>
              <w:tblStyle w:val="TableGrid"/>
              <w:tblW w:w="0" w:type="auto"/>
              <w:jc w:val="center"/>
              <w:tblBorders>
                <w:insideV w:val="none" w:sz="0" w:space="0" w:color="auto"/>
              </w:tblBorders>
              <w:tblLook w:val="04A0" w:firstRow="1" w:lastRow="0" w:firstColumn="1" w:lastColumn="0" w:noHBand="0" w:noVBand="1"/>
            </w:tblPr>
            <w:tblGrid>
              <w:gridCol w:w="1908"/>
              <w:gridCol w:w="1980"/>
            </w:tblGrid>
            <w:tr w:rsidR="005451CD" w14:paraId="481AA99E" w14:textId="77777777" w:rsidTr="00BA5DD9">
              <w:trPr>
                <w:jc w:val="center"/>
              </w:trPr>
              <w:tc>
                <w:tcPr>
                  <w:tcW w:w="1908" w:type="dxa"/>
                  <w:tcBorders>
                    <w:bottom w:val="single" w:sz="4" w:space="0" w:color="auto"/>
                  </w:tcBorders>
                </w:tcPr>
                <w:p w14:paraId="2CDFA621" w14:textId="77777777" w:rsidR="005451CD" w:rsidRPr="001B27A2" w:rsidRDefault="005451CD" w:rsidP="00BA5DD9">
                  <w:pPr>
                    <w:jc w:val="center"/>
                    <w:rPr>
                      <w:rFonts w:ascii="Bookman Old Style" w:eastAsiaTheme="minorEastAsia" w:hAnsi="Bookman Old Style"/>
                      <w:b/>
                    </w:rPr>
                  </w:pPr>
                  <w:r>
                    <w:rPr>
                      <w:rFonts w:ascii="Bookman Old Style" w:eastAsiaTheme="minorEastAsia" w:hAnsi="Bookman Old Style"/>
                      <w:b/>
                    </w:rPr>
                    <w:t>Discount Rate</w:t>
                  </w:r>
                </w:p>
              </w:tc>
              <w:tc>
                <w:tcPr>
                  <w:tcW w:w="1980" w:type="dxa"/>
                  <w:tcBorders>
                    <w:bottom w:val="single" w:sz="4" w:space="0" w:color="auto"/>
                  </w:tcBorders>
                </w:tcPr>
                <w:p w14:paraId="1AF51B07" w14:textId="77777777" w:rsidR="005451CD" w:rsidRPr="001B27A2" w:rsidRDefault="005451CD" w:rsidP="00BA5DD9">
                  <w:pPr>
                    <w:jc w:val="center"/>
                    <w:rPr>
                      <w:rFonts w:ascii="Bookman Old Style" w:eastAsiaTheme="minorEastAsia" w:hAnsi="Bookman Old Style"/>
                      <w:b/>
                    </w:rPr>
                  </w:pPr>
                  <w:r>
                    <w:rPr>
                      <w:rFonts w:ascii="Bookman Old Style" w:eastAsiaTheme="minorEastAsia" w:hAnsi="Bookman Old Style"/>
                      <w:b/>
                    </w:rPr>
                    <w:t>NPV</w:t>
                  </w:r>
                </w:p>
              </w:tc>
            </w:tr>
            <w:tr w:rsidR="005451CD" w14:paraId="2E6026AE" w14:textId="77777777" w:rsidTr="00BA5DD9">
              <w:trPr>
                <w:jc w:val="center"/>
              </w:trPr>
              <w:tc>
                <w:tcPr>
                  <w:tcW w:w="1908" w:type="dxa"/>
                  <w:tcBorders>
                    <w:bottom w:val="nil"/>
                  </w:tcBorders>
                </w:tcPr>
                <w:p w14:paraId="41E9F694" w14:textId="77777777" w:rsidR="005451CD" w:rsidRDefault="005451CD" w:rsidP="00BA5DD9">
                  <w:pPr>
                    <w:jc w:val="center"/>
                    <w:rPr>
                      <w:rFonts w:ascii="Bookman Old Style" w:eastAsiaTheme="minorEastAsia" w:hAnsi="Bookman Old Style"/>
                    </w:rPr>
                  </w:pPr>
                  <w:r>
                    <w:rPr>
                      <w:rFonts w:ascii="Bookman Old Style" w:eastAsiaTheme="minorEastAsia" w:hAnsi="Bookman Old Style"/>
                    </w:rPr>
                    <w:t>0%</w:t>
                  </w:r>
                </w:p>
              </w:tc>
              <w:tc>
                <w:tcPr>
                  <w:tcW w:w="1980" w:type="dxa"/>
                  <w:tcBorders>
                    <w:bottom w:val="nil"/>
                  </w:tcBorders>
                </w:tcPr>
                <w:p w14:paraId="47A55FFC" w14:textId="77777777" w:rsidR="005451CD" w:rsidRDefault="005451CD" w:rsidP="00BA5DD9">
                  <w:pPr>
                    <w:jc w:val="center"/>
                    <w:rPr>
                      <w:rFonts w:ascii="Bookman Old Style" w:eastAsiaTheme="minorEastAsia" w:hAnsi="Bookman Old Style"/>
                    </w:rPr>
                  </w:pPr>
                  <w:r>
                    <w:rPr>
                      <w:rFonts w:ascii="Bookman Old Style" w:eastAsiaTheme="minorEastAsia" w:hAnsi="Bookman Old Style"/>
                    </w:rPr>
                    <w:t>$164.56</w:t>
                  </w:r>
                </w:p>
              </w:tc>
            </w:tr>
            <w:tr w:rsidR="005451CD" w14:paraId="41FE8691" w14:textId="77777777" w:rsidTr="00BA5DD9">
              <w:trPr>
                <w:jc w:val="center"/>
              </w:trPr>
              <w:tc>
                <w:tcPr>
                  <w:tcW w:w="1908" w:type="dxa"/>
                  <w:tcBorders>
                    <w:top w:val="nil"/>
                    <w:bottom w:val="nil"/>
                  </w:tcBorders>
                </w:tcPr>
                <w:p w14:paraId="39B8BCC6" w14:textId="77777777" w:rsidR="005451CD" w:rsidRDefault="005451CD" w:rsidP="00BA5DD9">
                  <w:pPr>
                    <w:jc w:val="center"/>
                    <w:rPr>
                      <w:rFonts w:ascii="Bookman Old Style" w:eastAsiaTheme="minorEastAsia" w:hAnsi="Bookman Old Style"/>
                    </w:rPr>
                  </w:pPr>
                  <w:r>
                    <w:rPr>
                      <w:rFonts w:ascii="Bookman Old Style" w:eastAsiaTheme="minorEastAsia" w:hAnsi="Bookman Old Style"/>
                    </w:rPr>
                    <w:t>5%</w:t>
                  </w:r>
                </w:p>
              </w:tc>
              <w:tc>
                <w:tcPr>
                  <w:tcW w:w="1980" w:type="dxa"/>
                  <w:tcBorders>
                    <w:top w:val="nil"/>
                    <w:bottom w:val="nil"/>
                  </w:tcBorders>
                </w:tcPr>
                <w:p w14:paraId="7F2ED06B" w14:textId="77777777" w:rsidR="005451CD" w:rsidRDefault="005451CD" w:rsidP="00BA5DD9">
                  <w:pPr>
                    <w:jc w:val="center"/>
                    <w:rPr>
                      <w:rFonts w:ascii="Bookman Old Style" w:eastAsiaTheme="minorEastAsia" w:hAnsi="Bookman Old Style"/>
                    </w:rPr>
                  </w:pPr>
                  <w:r>
                    <w:rPr>
                      <w:rFonts w:ascii="Bookman Old Style" w:eastAsiaTheme="minorEastAsia" w:hAnsi="Bookman Old Style"/>
                    </w:rPr>
                    <w:t>$100.36</w:t>
                  </w:r>
                </w:p>
              </w:tc>
            </w:tr>
            <w:tr w:rsidR="005451CD" w14:paraId="67C4AEE3" w14:textId="77777777" w:rsidTr="00BA5DD9">
              <w:trPr>
                <w:jc w:val="center"/>
              </w:trPr>
              <w:tc>
                <w:tcPr>
                  <w:tcW w:w="1908" w:type="dxa"/>
                  <w:tcBorders>
                    <w:top w:val="nil"/>
                    <w:bottom w:val="nil"/>
                  </w:tcBorders>
                </w:tcPr>
                <w:p w14:paraId="5C7D3F84" w14:textId="77777777" w:rsidR="005451CD" w:rsidRDefault="005451CD" w:rsidP="00BA5DD9">
                  <w:pPr>
                    <w:jc w:val="center"/>
                    <w:rPr>
                      <w:rFonts w:ascii="Bookman Old Style" w:eastAsiaTheme="minorEastAsia" w:hAnsi="Bookman Old Style"/>
                    </w:rPr>
                  </w:pPr>
                  <w:r>
                    <w:rPr>
                      <w:rFonts w:ascii="Bookman Old Style" w:eastAsiaTheme="minorEastAsia" w:hAnsi="Bookman Old Style"/>
                    </w:rPr>
                    <w:t>10%</w:t>
                  </w:r>
                </w:p>
              </w:tc>
              <w:tc>
                <w:tcPr>
                  <w:tcW w:w="1980" w:type="dxa"/>
                  <w:tcBorders>
                    <w:top w:val="nil"/>
                    <w:bottom w:val="nil"/>
                  </w:tcBorders>
                </w:tcPr>
                <w:p w14:paraId="4BFA98CC" w14:textId="77777777" w:rsidR="005451CD" w:rsidRDefault="005451CD" w:rsidP="00BA5DD9">
                  <w:pPr>
                    <w:jc w:val="center"/>
                    <w:rPr>
                      <w:rFonts w:ascii="Bookman Old Style" w:eastAsiaTheme="minorEastAsia" w:hAnsi="Bookman Old Style"/>
                    </w:rPr>
                  </w:pPr>
                  <w:r>
                    <w:rPr>
                      <w:rFonts w:ascii="Bookman Old Style" w:eastAsiaTheme="minorEastAsia" w:hAnsi="Bookman Old Style"/>
                    </w:rPr>
                    <w:t>$46.15</w:t>
                  </w:r>
                </w:p>
              </w:tc>
            </w:tr>
            <w:tr w:rsidR="005451CD" w14:paraId="63E90506" w14:textId="77777777" w:rsidTr="00BA5DD9">
              <w:trPr>
                <w:jc w:val="center"/>
              </w:trPr>
              <w:tc>
                <w:tcPr>
                  <w:tcW w:w="1908" w:type="dxa"/>
                  <w:tcBorders>
                    <w:top w:val="nil"/>
                    <w:bottom w:val="nil"/>
                  </w:tcBorders>
                </w:tcPr>
                <w:p w14:paraId="7F762010" w14:textId="77777777" w:rsidR="005451CD" w:rsidRDefault="005451CD" w:rsidP="00BA5DD9">
                  <w:pPr>
                    <w:jc w:val="center"/>
                    <w:rPr>
                      <w:rFonts w:ascii="Bookman Old Style" w:eastAsiaTheme="minorEastAsia" w:hAnsi="Bookman Old Style"/>
                    </w:rPr>
                  </w:pPr>
                  <w:r>
                    <w:rPr>
                      <w:rFonts w:ascii="Bookman Old Style" w:eastAsiaTheme="minorEastAsia" w:hAnsi="Bookman Old Style"/>
                    </w:rPr>
                    <w:t>15%</w:t>
                  </w:r>
                </w:p>
              </w:tc>
              <w:tc>
                <w:tcPr>
                  <w:tcW w:w="1980" w:type="dxa"/>
                  <w:tcBorders>
                    <w:top w:val="nil"/>
                    <w:bottom w:val="nil"/>
                  </w:tcBorders>
                </w:tcPr>
                <w:p w14:paraId="71B911B3" w14:textId="77777777" w:rsidR="005451CD" w:rsidRDefault="005451CD" w:rsidP="00BA5DD9">
                  <w:pPr>
                    <w:jc w:val="center"/>
                    <w:rPr>
                      <w:rFonts w:ascii="Bookman Old Style" w:eastAsiaTheme="minorEastAsia" w:hAnsi="Bookman Old Style"/>
                    </w:rPr>
                  </w:pPr>
                  <w:r>
                    <w:rPr>
                      <w:rFonts w:ascii="Bookman Old Style" w:eastAsiaTheme="minorEastAsia" w:hAnsi="Bookman Old Style"/>
                    </w:rPr>
                    <w:t>$0.00</w:t>
                  </w:r>
                </w:p>
              </w:tc>
            </w:tr>
            <w:tr w:rsidR="005451CD" w14:paraId="07E3CBC6" w14:textId="77777777" w:rsidTr="00BA5DD9">
              <w:trPr>
                <w:trHeight w:val="58"/>
                <w:jc w:val="center"/>
              </w:trPr>
              <w:tc>
                <w:tcPr>
                  <w:tcW w:w="1908" w:type="dxa"/>
                  <w:tcBorders>
                    <w:top w:val="nil"/>
                  </w:tcBorders>
                </w:tcPr>
                <w:p w14:paraId="7D72A0E6" w14:textId="77777777" w:rsidR="005451CD" w:rsidRDefault="005451CD" w:rsidP="00BA5DD9">
                  <w:pPr>
                    <w:jc w:val="center"/>
                    <w:rPr>
                      <w:rFonts w:ascii="Bookman Old Style" w:eastAsiaTheme="minorEastAsia" w:hAnsi="Bookman Old Style"/>
                    </w:rPr>
                  </w:pPr>
                  <w:r>
                    <w:rPr>
                      <w:rFonts w:ascii="Bookman Old Style" w:eastAsiaTheme="minorEastAsia" w:hAnsi="Bookman Old Style"/>
                    </w:rPr>
                    <w:t>20%</w:t>
                  </w:r>
                </w:p>
              </w:tc>
              <w:tc>
                <w:tcPr>
                  <w:tcW w:w="1980" w:type="dxa"/>
                  <w:tcBorders>
                    <w:top w:val="nil"/>
                  </w:tcBorders>
                </w:tcPr>
                <w:p w14:paraId="3193A313" w14:textId="77777777" w:rsidR="005451CD" w:rsidRDefault="005451CD" w:rsidP="00BA5DD9">
                  <w:pPr>
                    <w:jc w:val="center"/>
                    <w:rPr>
                      <w:rFonts w:ascii="Bookman Old Style" w:eastAsiaTheme="minorEastAsia" w:hAnsi="Bookman Old Style"/>
                    </w:rPr>
                  </w:pPr>
                  <w:r>
                    <w:rPr>
                      <w:rFonts w:ascii="Bookman Old Style" w:eastAsiaTheme="minorEastAsia" w:hAnsi="Bookman Old Style"/>
                    </w:rPr>
                    <w:t>-$39.61</w:t>
                  </w:r>
                </w:p>
              </w:tc>
            </w:tr>
          </w:tbl>
          <w:p w14:paraId="490D236D" w14:textId="77777777" w:rsidR="005451CD" w:rsidRPr="005451CD" w:rsidRDefault="005451CD" w:rsidP="005451CD">
            <w:pPr>
              <w:jc w:val="both"/>
              <w:rPr>
                <w:rFonts w:ascii="Bookman Old Style" w:eastAsiaTheme="minorEastAsia" w:hAnsi="Bookman Old Style"/>
              </w:rPr>
            </w:pPr>
          </w:p>
          <w:p w14:paraId="1814E4CB" w14:textId="77777777" w:rsidR="005451CD" w:rsidRDefault="005451CD" w:rsidP="005451CD">
            <w:pPr>
              <w:jc w:val="both"/>
              <w:rPr>
                <w:rFonts w:ascii="Bookman Old Style" w:eastAsiaTheme="minorEastAsia" w:hAnsi="Bookman Old Style"/>
              </w:rPr>
            </w:pPr>
            <w:r>
              <w:rPr>
                <w:rFonts w:ascii="Bookman Old Style" w:eastAsiaTheme="minorEastAsia" w:hAnsi="Bookman Old Style"/>
              </w:rPr>
              <w:t xml:space="preserve">The NPV is 0 at 15%, so 15% is the IRR. </w:t>
            </w:r>
          </w:p>
          <w:p w14:paraId="7499EB34" w14:textId="77777777" w:rsidR="005451CD" w:rsidRDefault="005451CD" w:rsidP="005451CD">
            <w:pPr>
              <w:jc w:val="both"/>
              <w:rPr>
                <w:rFonts w:ascii="Bookman Old Style" w:eastAsiaTheme="minorEastAsia" w:hAnsi="Bookman Old Style"/>
              </w:rPr>
            </w:pPr>
            <w:r>
              <w:rPr>
                <w:rFonts w:ascii="Bookman Old Style" w:eastAsiaTheme="minorEastAsia" w:hAnsi="Bookman Old Style"/>
              </w:rPr>
              <w:t>If we require an 18% return, we shouldn’t take the investment.</w:t>
            </w:r>
          </w:p>
          <w:p w14:paraId="4FE11137" w14:textId="77777777" w:rsidR="005451CD" w:rsidRDefault="005451CD" w:rsidP="005451CD">
            <w:pPr>
              <w:jc w:val="both"/>
              <w:rPr>
                <w:rFonts w:ascii="Bookman Old Style" w:eastAsiaTheme="minorEastAsia" w:hAnsi="Bookman Old Style"/>
              </w:rPr>
            </w:pPr>
          </w:p>
          <w:p w14:paraId="085E5768" w14:textId="77777777" w:rsidR="005451CD" w:rsidRDefault="005451CD" w:rsidP="005451CD">
            <w:pPr>
              <w:jc w:val="both"/>
              <w:rPr>
                <w:rFonts w:ascii="Bookman Old Style" w:eastAsiaTheme="minorEastAsia" w:hAnsi="Bookman Old Style"/>
              </w:rPr>
            </w:pPr>
            <w:r>
              <w:rPr>
                <w:rFonts w:ascii="Bookman Old Style" w:eastAsiaTheme="minorEastAsia" w:hAnsi="Bookman Old Style"/>
              </w:rPr>
              <w:t>The reason is because the NPV is negative at 18% (it’s -$24.47). The IRR rule tells us the same thing in this case 0 we shouldn’t take the investment because its 15% return is less than our required 18% return.</w:t>
            </w:r>
          </w:p>
          <w:p w14:paraId="3918B149" w14:textId="77777777" w:rsidR="005451CD" w:rsidRDefault="005451CD" w:rsidP="005451CD">
            <w:pPr>
              <w:jc w:val="both"/>
              <w:rPr>
                <w:rFonts w:ascii="Bookman Old Style" w:eastAsiaTheme="minorEastAsia" w:hAnsi="Bookman Old Style"/>
              </w:rPr>
            </w:pPr>
          </w:p>
        </w:tc>
      </w:tr>
    </w:tbl>
    <w:p w14:paraId="6FED31AB" w14:textId="77777777" w:rsidR="005451CD" w:rsidRDefault="005451CD" w:rsidP="005451CD">
      <w:pPr>
        <w:spacing w:after="0" w:line="240" w:lineRule="auto"/>
        <w:jc w:val="both"/>
        <w:rPr>
          <w:rFonts w:ascii="Bookman Old Style" w:eastAsiaTheme="minorEastAsia" w:hAnsi="Bookman Old Style"/>
        </w:rPr>
      </w:pPr>
    </w:p>
    <w:p w14:paraId="3BFB0F16" w14:textId="77777777" w:rsidR="0049782B" w:rsidRDefault="0049782B" w:rsidP="0049782B">
      <w:pPr>
        <w:spacing w:after="0" w:line="240" w:lineRule="auto"/>
        <w:jc w:val="both"/>
        <w:rPr>
          <w:rFonts w:ascii="Bookman Old Style" w:eastAsiaTheme="minorEastAsia" w:hAnsi="Bookman Old Style"/>
        </w:rPr>
      </w:pPr>
      <w:r>
        <w:rPr>
          <w:rFonts w:ascii="Bookman Old Style" w:eastAsiaTheme="minorEastAsia" w:hAnsi="Bookman Old Style"/>
          <w:b/>
          <w:i/>
        </w:rPr>
        <w:t>Finding the IRR on a Financial Calculator</w:t>
      </w:r>
    </w:p>
    <w:p w14:paraId="297E9C94" w14:textId="77777777" w:rsidR="0049782B" w:rsidRPr="00562B40" w:rsidRDefault="0049782B" w:rsidP="0049782B">
      <w:pPr>
        <w:spacing w:after="0" w:line="240" w:lineRule="auto"/>
        <w:jc w:val="both"/>
        <w:rPr>
          <w:rFonts w:ascii="Bookman Old Style" w:eastAsiaTheme="minorEastAsia" w:hAnsi="Bookman Old Style"/>
        </w:rPr>
      </w:pPr>
      <w:r>
        <w:rPr>
          <w:rFonts w:ascii="Bookman Old Style" w:eastAsiaTheme="minorEastAsia" w:hAnsi="Bookman Old Style"/>
        </w:rPr>
        <w:t>Suppose we have a 4-year project that costs $500. The cash flows over the 4 year life will be $100, $200, $300 and $400. What’s the IRR?</w:t>
      </w:r>
    </w:p>
    <w:p w14:paraId="7949AE95" w14:textId="77777777" w:rsidR="0049782B" w:rsidRDefault="0049782B" w:rsidP="0049782B">
      <w:pPr>
        <w:spacing w:after="0" w:line="240" w:lineRule="auto"/>
        <w:jc w:val="both"/>
        <w:rPr>
          <w:rFonts w:ascii="Bookman Old Style" w:eastAsiaTheme="minorEastAsia" w:hAnsi="Bookman Old Style"/>
        </w:rPr>
      </w:pPr>
    </w:p>
    <w:tbl>
      <w:tblPr>
        <w:tblStyle w:val="LightShading-Accent2"/>
        <w:tblW w:w="0" w:type="auto"/>
        <w:jc w:val="center"/>
        <w:tblLook w:val="04A0" w:firstRow="1" w:lastRow="0" w:firstColumn="1" w:lastColumn="0" w:noHBand="0" w:noVBand="1"/>
      </w:tblPr>
      <w:tblGrid>
        <w:gridCol w:w="1098"/>
        <w:gridCol w:w="1350"/>
      </w:tblGrid>
      <w:tr w:rsidR="0049782B" w14:paraId="47D15969" w14:textId="77777777" w:rsidTr="00E83A2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98" w:type="dxa"/>
          </w:tcPr>
          <w:p w14:paraId="258349FA" w14:textId="77777777" w:rsidR="0049782B" w:rsidRPr="0049782B" w:rsidRDefault="0049782B" w:rsidP="00E83A2B">
            <w:pPr>
              <w:jc w:val="both"/>
              <w:rPr>
                <w:rFonts w:ascii="Bookman Old Style" w:eastAsiaTheme="minorEastAsia" w:hAnsi="Bookman Old Style"/>
                <w:sz w:val="18"/>
              </w:rPr>
            </w:pPr>
            <w:r w:rsidRPr="0049782B">
              <w:rPr>
                <w:rFonts w:ascii="Bookman Old Style" w:eastAsiaTheme="minorEastAsia" w:hAnsi="Bookman Old Style"/>
                <w:sz w:val="18"/>
              </w:rPr>
              <w:t>2</w:t>
            </w:r>
            <w:r w:rsidRPr="0049782B">
              <w:rPr>
                <w:rFonts w:ascii="Bookman Old Style" w:eastAsiaTheme="minorEastAsia" w:hAnsi="Bookman Old Style"/>
                <w:sz w:val="18"/>
                <w:vertAlign w:val="superscript"/>
              </w:rPr>
              <w:t>nd</w:t>
            </w:r>
          </w:p>
        </w:tc>
        <w:tc>
          <w:tcPr>
            <w:tcW w:w="1350" w:type="dxa"/>
          </w:tcPr>
          <w:p w14:paraId="38B9B7EA" w14:textId="77777777" w:rsidR="0049782B" w:rsidRPr="0049782B" w:rsidRDefault="0049782B" w:rsidP="00E83A2B">
            <w:pPr>
              <w:jc w:val="both"/>
              <w:cnfStyle w:val="100000000000" w:firstRow="1" w:lastRow="0" w:firstColumn="0" w:lastColumn="0" w:oddVBand="0" w:evenVBand="0" w:oddHBand="0" w:evenHBand="0" w:firstRowFirstColumn="0" w:firstRowLastColumn="0" w:lastRowFirstColumn="0" w:lastRowLastColumn="0"/>
              <w:rPr>
                <w:rFonts w:ascii="Bookman Old Style" w:eastAsiaTheme="minorEastAsia" w:hAnsi="Bookman Old Style"/>
                <w:sz w:val="18"/>
              </w:rPr>
            </w:pPr>
            <w:r w:rsidRPr="0049782B">
              <w:rPr>
                <w:rFonts w:ascii="Bookman Old Style" w:eastAsiaTheme="minorEastAsia" w:hAnsi="Bookman Old Style"/>
                <w:sz w:val="18"/>
              </w:rPr>
              <w:t>CE/C</w:t>
            </w:r>
          </w:p>
        </w:tc>
      </w:tr>
      <w:tr w:rsidR="0049782B" w14:paraId="4F34BF2E" w14:textId="77777777" w:rsidTr="00E83A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98" w:type="dxa"/>
          </w:tcPr>
          <w:p w14:paraId="455FDCF9" w14:textId="77777777" w:rsidR="0049782B" w:rsidRPr="0049782B" w:rsidRDefault="0049782B" w:rsidP="00E83A2B">
            <w:pPr>
              <w:jc w:val="both"/>
              <w:rPr>
                <w:rFonts w:ascii="Bookman Old Style" w:eastAsiaTheme="minorEastAsia" w:hAnsi="Bookman Old Style"/>
                <w:sz w:val="18"/>
              </w:rPr>
            </w:pPr>
          </w:p>
        </w:tc>
        <w:tc>
          <w:tcPr>
            <w:tcW w:w="1350" w:type="dxa"/>
          </w:tcPr>
          <w:p w14:paraId="09AD0F68" w14:textId="77777777" w:rsidR="0049782B" w:rsidRPr="0049782B" w:rsidRDefault="0049782B" w:rsidP="00E83A2B">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18"/>
              </w:rPr>
            </w:pPr>
            <w:r w:rsidRPr="0049782B">
              <w:rPr>
                <w:rFonts w:ascii="Bookman Old Style" w:eastAsiaTheme="minorEastAsia" w:hAnsi="Bookman Old Style"/>
                <w:sz w:val="18"/>
              </w:rPr>
              <w:t>CF</w:t>
            </w:r>
          </w:p>
        </w:tc>
      </w:tr>
      <w:tr w:rsidR="0049782B" w14:paraId="584EB0CC" w14:textId="77777777" w:rsidTr="00E83A2B">
        <w:trPr>
          <w:jc w:val="center"/>
        </w:trPr>
        <w:tc>
          <w:tcPr>
            <w:cnfStyle w:val="001000000000" w:firstRow="0" w:lastRow="0" w:firstColumn="1" w:lastColumn="0" w:oddVBand="0" w:evenVBand="0" w:oddHBand="0" w:evenHBand="0" w:firstRowFirstColumn="0" w:firstRowLastColumn="0" w:lastRowFirstColumn="0" w:lastRowLastColumn="0"/>
            <w:tcW w:w="1098" w:type="dxa"/>
          </w:tcPr>
          <w:p w14:paraId="35971C9B" w14:textId="77777777" w:rsidR="0049782B" w:rsidRPr="0049782B" w:rsidRDefault="0049782B" w:rsidP="00E83A2B">
            <w:pPr>
              <w:jc w:val="both"/>
              <w:rPr>
                <w:rFonts w:ascii="Bookman Old Style" w:eastAsiaTheme="minorEastAsia" w:hAnsi="Bookman Old Style"/>
                <w:b w:val="0"/>
                <w:sz w:val="18"/>
              </w:rPr>
            </w:pPr>
            <w:proofErr w:type="spellStart"/>
            <w:r w:rsidRPr="0049782B">
              <w:rPr>
                <w:rFonts w:ascii="Bookman Old Style" w:eastAsiaTheme="minorEastAsia" w:hAnsi="Bookman Old Style"/>
                <w:b w:val="0"/>
                <w:sz w:val="18"/>
              </w:rPr>
              <w:t>CFo</w:t>
            </w:r>
            <w:proofErr w:type="spellEnd"/>
          </w:p>
        </w:tc>
        <w:tc>
          <w:tcPr>
            <w:tcW w:w="1350" w:type="dxa"/>
          </w:tcPr>
          <w:p w14:paraId="0131386F" w14:textId="77777777" w:rsidR="0049782B" w:rsidRPr="0049782B" w:rsidRDefault="0049782B" w:rsidP="00E83A2B">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18"/>
              </w:rPr>
            </w:pPr>
            <w:r w:rsidRPr="0049782B">
              <w:rPr>
                <w:rFonts w:ascii="Bookman Old Style" w:eastAsiaTheme="minorEastAsia" w:hAnsi="Bookman Old Style"/>
                <w:sz w:val="18"/>
              </w:rPr>
              <w:t>-500</w:t>
            </w:r>
          </w:p>
        </w:tc>
      </w:tr>
      <w:tr w:rsidR="0049782B" w14:paraId="691A1CED" w14:textId="77777777" w:rsidTr="00E83A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98" w:type="dxa"/>
          </w:tcPr>
          <w:p w14:paraId="5DE15DF9" w14:textId="77777777" w:rsidR="0049782B" w:rsidRPr="0049782B" w:rsidRDefault="0049782B" w:rsidP="00E83A2B">
            <w:pPr>
              <w:jc w:val="both"/>
              <w:rPr>
                <w:rFonts w:ascii="Bookman Old Style" w:eastAsiaTheme="minorEastAsia" w:hAnsi="Bookman Old Style"/>
                <w:b w:val="0"/>
                <w:sz w:val="18"/>
              </w:rPr>
            </w:pPr>
            <w:r w:rsidRPr="0049782B">
              <w:rPr>
                <w:rFonts w:ascii="Bookman Old Style" w:eastAsiaTheme="minorEastAsia" w:hAnsi="Bookman Old Style"/>
                <w:b w:val="0"/>
                <w:sz w:val="18"/>
              </w:rPr>
              <w:t>ENTER</w:t>
            </w:r>
          </w:p>
        </w:tc>
        <w:tc>
          <w:tcPr>
            <w:tcW w:w="1350" w:type="dxa"/>
          </w:tcPr>
          <w:p w14:paraId="29DEF2EC" w14:textId="77777777" w:rsidR="0049782B" w:rsidRPr="0049782B" w:rsidRDefault="0049782B" w:rsidP="00E83A2B">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18"/>
              </w:rPr>
            </w:pPr>
            <w:r w:rsidRPr="0049782B">
              <w:rPr>
                <w:rFonts w:ascii="Bookman Old Style" w:eastAsiaTheme="minorEastAsia" w:hAnsi="Bookman Old Style"/>
                <w:sz w:val="18"/>
              </w:rPr>
              <w:t>↓</w:t>
            </w:r>
          </w:p>
        </w:tc>
      </w:tr>
      <w:tr w:rsidR="0049782B" w14:paraId="11984EE7" w14:textId="77777777" w:rsidTr="00E83A2B">
        <w:trPr>
          <w:jc w:val="center"/>
        </w:trPr>
        <w:tc>
          <w:tcPr>
            <w:cnfStyle w:val="001000000000" w:firstRow="0" w:lastRow="0" w:firstColumn="1" w:lastColumn="0" w:oddVBand="0" w:evenVBand="0" w:oddHBand="0" w:evenHBand="0" w:firstRowFirstColumn="0" w:firstRowLastColumn="0" w:lastRowFirstColumn="0" w:lastRowLastColumn="0"/>
            <w:tcW w:w="1098" w:type="dxa"/>
          </w:tcPr>
          <w:p w14:paraId="29D49E18" w14:textId="77777777" w:rsidR="0049782B" w:rsidRPr="0049782B" w:rsidRDefault="0049782B" w:rsidP="00E83A2B">
            <w:pPr>
              <w:jc w:val="both"/>
              <w:rPr>
                <w:rFonts w:ascii="Bookman Old Style" w:eastAsiaTheme="minorEastAsia" w:hAnsi="Bookman Old Style"/>
                <w:b w:val="0"/>
                <w:sz w:val="18"/>
              </w:rPr>
            </w:pPr>
            <w:r w:rsidRPr="0049782B">
              <w:rPr>
                <w:rFonts w:ascii="Bookman Old Style" w:eastAsiaTheme="minorEastAsia" w:hAnsi="Bookman Old Style"/>
                <w:b w:val="0"/>
                <w:sz w:val="18"/>
              </w:rPr>
              <w:t>C01</w:t>
            </w:r>
          </w:p>
        </w:tc>
        <w:tc>
          <w:tcPr>
            <w:tcW w:w="1350" w:type="dxa"/>
          </w:tcPr>
          <w:p w14:paraId="5CC1CB12" w14:textId="77777777" w:rsidR="0049782B" w:rsidRPr="0049782B" w:rsidRDefault="0049782B" w:rsidP="00E83A2B">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18"/>
              </w:rPr>
            </w:pPr>
            <w:r w:rsidRPr="0049782B">
              <w:rPr>
                <w:rFonts w:ascii="Bookman Old Style" w:eastAsiaTheme="minorEastAsia" w:hAnsi="Bookman Old Style"/>
                <w:sz w:val="18"/>
              </w:rPr>
              <w:t>100</w:t>
            </w:r>
          </w:p>
        </w:tc>
      </w:tr>
      <w:tr w:rsidR="0049782B" w14:paraId="71003606" w14:textId="77777777" w:rsidTr="00E83A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98" w:type="dxa"/>
          </w:tcPr>
          <w:p w14:paraId="1B17B3D6" w14:textId="77777777" w:rsidR="0049782B" w:rsidRPr="0049782B" w:rsidRDefault="0049782B" w:rsidP="00E83A2B">
            <w:pPr>
              <w:jc w:val="both"/>
              <w:rPr>
                <w:rFonts w:ascii="Bookman Old Style" w:eastAsiaTheme="minorEastAsia" w:hAnsi="Bookman Old Style"/>
                <w:b w:val="0"/>
                <w:sz w:val="18"/>
              </w:rPr>
            </w:pPr>
            <w:r w:rsidRPr="0049782B">
              <w:rPr>
                <w:rFonts w:ascii="Bookman Old Style" w:eastAsiaTheme="minorEastAsia" w:hAnsi="Bookman Old Style"/>
                <w:b w:val="0"/>
                <w:sz w:val="18"/>
              </w:rPr>
              <w:t>ENTER</w:t>
            </w:r>
          </w:p>
        </w:tc>
        <w:tc>
          <w:tcPr>
            <w:tcW w:w="1350" w:type="dxa"/>
          </w:tcPr>
          <w:p w14:paraId="775AC9E4" w14:textId="77777777" w:rsidR="0049782B" w:rsidRPr="0049782B" w:rsidRDefault="0049782B" w:rsidP="00E83A2B">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18"/>
              </w:rPr>
            </w:pPr>
            <w:r w:rsidRPr="0049782B">
              <w:rPr>
                <w:rFonts w:ascii="Bookman Old Style" w:eastAsiaTheme="minorEastAsia" w:hAnsi="Bookman Old Style"/>
                <w:sz w:val="18"/>
              </w:rPr>
              <w:t>↓</w:t>
            </w:r>
          </w:p>
        </w:tc>
      </w:tr>
      <w:tr w:rsidR="0049782B" w14:paraId="1D6EC5BE" w14:textId="77777777" w:rsidTr="00E83A2B">
        <w:trPr>
          <w:jc w:val="center"/>
        </w:trPr>
        <w:tc>
          <w:tcPr>
            <w:cnfStyle w:val="001000000000" w:firstRow="0" w:lastRow="0" w:firstColumn="1" w:lastColumn="0" w:oddVBand="0" w:evenVBand="0" w:oddHBand="0" w:evenHBand="0" w:firstRowFirstColumn="0" w:firstRowLastColumn="0" w:lastRowFirstColumn="0" w:lastRowLastColumn="0"/>
            <w:tcW w:w="1098" w:type="dxa"/>
          </w:tcPr>
          <w:p w14:paraId="30256A4F" w14:textId="77777777" w:rsidR="0049782B" w:rsidRPr="0049782B" w:rsidRDefault="0049782B" w:rsidP="00E83A2B">
            <w:pPr>
              <w:jc w:val="both"/>
              <w:rPr>
                <w:rFonts w:ascii="Bookman Old Style" w:eastAsiaTheme="minorEastAsia" w:hAnsi="Bookman Old Style"/>
                <w:b w:val="0"/>
                <w:sz w:val="18"/>
              </w:rPr>
            </w:pPr>
            <w:r w:rsidRPr="0049782B">
              <w:rPr>
                <w:rFonts w:ascii="Bookman Old Style" w:eastAsiaTheme="minorEastAsia" w:hAnsi="Bookman Old Style"/>
                <w:b w:val="0"/>
                <w:sz w:val="18"/>
              </w:rPr>
              <w:t>F01</w:t>
            </w:r>
          </w:p>
        </w:tc>
        <w:tc>
          <w:tcPr>
            <w:tcW w:w="1350" w:type="dxa"/>
          </w:tcPr>
          <w:p w14:paraId="266C225B" w14:textId="77777777" w:rsidR="0049782B" w:rsidRPr="0049782B" w:rsidRDefault="0049782B" w:rsidP="00E83A2B">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18"/>
              </w:rPr>
            </w:pPr>
            <w:r w:rsidRPr="0049782B">
              <w:rPr>
                <w:rFonts w:ascii="Bookman Old Style" w:eastAsiaTheme="minorEastAsia" w:hAnsi="Bookman Old Style"/>
                <w:sz w:val="18"/>
              </w:rPr>
              <w:t>1</w:t>
            </w:r>
          </w:p>
        </w:tc>
      </w:tr>
      <w:tr w:rsidR="0049782B" w14:paraId="75895FA8" w14:textId="77777777" w:rsidTr="00E83A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98" w:type="dxa"/>
          </w:tcPr>
          <w:p w14:paraId="3DA4C4D8" w14:textId="77777777" w:rsidR="0049782B" w:rsidRPr="0049782B" w:rsidRDefault="0049782B" w:rsidP="00E83A2B">
            <w:pPr>
              <w:jc w:val="both"/>
              <w:rPr>
                <w:rFonts w:ascii="Bookman Old Style" w:eastAsiaTheme="minorEastAsia" w:hAnsi="Bookman Old Style"/>
                <w:b w:val="0"/>
                <w:sz w:val="18"/>
              </w:rPr>
            </w:pPr>
            <w:r w:rsidRPr="0049782B">
              <w:rPr>
                <w:rFonts w:ascii="Bookman Old Style" w:eastAsiaTheme="minorEastAsia" w:hAnsi="Bookman Old Style"/>
                <w:b w:val="0"/>
                <w:sz w:val="18"/>
              </w:rPr>
              <w:t>ENTER</w:t>
            </w:r>
          </w:p>
        </w:tc>
        <w:tc>
          <w:tcPr>
            <w:tcW w:w="1350" w:type="dxa"/>
          </w:tcPr>
          <w:p w14:paraId="75205C7F" w14:textId="77777777" w:rsidR="0049782B" w:rsidRPr="0049782B" w:rsidRDefault="0049782B" w:rsidP="00E83A2B">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18"/>
              </w:rPr>
            </w:pPr>
            <w:r w:rsidRPr="0049782B">
              <w:rPr>
                <w:rFonts w:ascii="Bookman Old Style" w:eastAsiaTheme="minorEastAsia" w:hAnsi="Bookman Old Style"/>
                <w:sz w:val="18"/>
              </w:rPr>
              <w:t>↓</w:t>
            </w:r>
          </w:p>
        </w:tc>
      </w:tr>
      <w:tr w:rsidR="0049782B" w14:paraId="5C784B19" w14:textId="77777777" w:rsidTr="00E83A2B">
        <w:trPr>
          <w:jc w:val="center"/>
        </w:trPr>
        <w:tc>
          <w:tcPr>
            <w:cnfStyle w:val="001000000000" w:firstRow="0" w:lastRow="0" w:firstColumn="1" w:lastColumn="0" w:oddVBand="0" w:evenVBand="0" w:oddHBand="0" w:evenHBand="0" w:firstRowFirstColumn="0" w:firstRowLastColumn="0" w:lastRowFirstColumn="0" w:lastRowLastColumn="0"/>
            <w:tcW w:w="1098" w:type="dxa"/>
          </w:tcPr>
          <w:p w14:paraId="3227A30C" w14:textId="77777777" w:rsidR="0049782B" w:rsidRPr="0049782B" w:rsidRDefault="0049782B" w:rsidP="00E83A2B">
            <w:pPr>
              <w:jc w:val="both"/>
              <w:rPr>
                <w:rFonts w:ascii="Bookman Old Style" w:eastAsiaTheme="minorEastAsia" w:hAnsi="Bookman Old Style"/>
                <w:b w:val="0"/>
                <w:sz w:val="18"/>
              </w:rPr>
            </w:pPr>
            <w:r w:rsidRPr="0049782B">
              <w:rPr>
                <w:rFonts w:ascii="Bookman Old Style" w:eastAsiaTheme="minorEastAsia" w:hAnsi="Bookman Old Style"/>
                <w:b w:val="0"/>
                <w:sz w:val="18"/>
              </w:rPr>
              <w:t>C02</w:t>
            </w:r>
          </w:p>
        </w:tc>
        <w:tc>
          <w:tcPr>
            <w:tcW w:w="1350" w:type="dxa"/>
          </w:tcPr>
          <w:p w14:paraId="35A6D64E" w14:textId="77777777" w:rsidR="0049782B" w:rsidRPr="0049782B" w:rsidRDefault="0049782B" w:rsidP="00E83A2B">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18"/>
              </w:rPr>
            </w:pPr>
            <w:r w:rsidRPr="0049782B">
              <w:rPr>
                <w:rFonts w:ascii="Times New Roman" w:eastAsiaTheme="minorEastAsia" w:hAnsi="Times New Roman" w:cs="Times New Roman"/>
                <w:sz w:val="18"/>
              </w:rPr>
              <w:t>200</w:t>
            </w:r>
          </w:p>
        </w:tc>
      </w:tr>
      <w:tr w:rsidR="0049782B" w14:paraId="36A10463" w14:textId="77777777" w:rsidTr="00E83A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98" w:type="dxa"/>
          </w:tcPr>
          <w:p w14:paraId="0DE5D2FB" w14:textId="77777777" w:rsidR="0049782B" w:rsidRPr="0049782B" w:rsidRDefault="0049782B" w:rsidP="00E83A2B">
            <w:pPr>
              <w:jc w:val="both"/>
              <w:rPr>
                <w:rFonts w:ascii="Bookman Old Style" w:eastAsiaTheme="minorEastAsia" w:hAnsi="Bookman Old Style"/>
                <w:b w:val="0"/>
                <w:sz w:val="18"/>
              </w:rPr>
            </w:pPr>
            <w:r w:rsidRPr="0049782B">
              <w:rPr>
                <w:rFonts w:ascii="Bookman Old Style" w:eastAsiaTheme="minorEastAsia" w:hAnsi="Bookman Old Style"/>
                <w:b w:val="0"/>
                <w:sz w:val="18"/>
              </w:rPr>
              <w:t>ENTER</w:t>
            </w:r>
          </w:p>
        </w:tc>
        <w:tc>
          <w:tcPr>
            <w:tcW w:w="1350" w:type="dxa"/>
          </w:tcPr>
          <w:p w14:paraId="44DB92F1" w14:textId="77777777" w:rsidR="0049782B" w:rsidRPr="0049782B" w:rsidRDefault="0049782B" w:rsidP="00E83A2B">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18"/>
              </w:rPr>
            </w:pPr>
            <w:r w:rsidRPr="0049782B">
              <w:rPr>
                <w:rFonts w:ascii="Bookman Old Style" w:eastAsiaTheme="minorEastAsia" w:hAnsi="Bookman Old Style"/>
                <w:sz w:val="18"/>
              </w:rPr>
              <w:t>↓</w:t>
            </w:r>
          </w:p>
        </w:tc>
      </w:tr>
      <w:tr w:rsidR="0049782B" w14:paraId="09C0EAAB" w14:textId="77777777" w:rsidTr="00E83A2B">
        <w:trPr>
          <w:jc w:val="center"/>
        </w:trPr>
        <w:tc>
          <w:tcPr>
            <w:cnfStyle w:val="001000000000" w:firstRow="0" w:lastRow="0" w:firstColumn="1" w:lastColumn="0" w:oddVBand="0" w:evenVBand="0" w:oddHBand="0" w:evenHBand="0" w:firstRowFirstColumn="0" w:firstRowLastColumn="0" w:lastRowFirstColumn="0" w:lastRowLastColumn="0"/>
            <w:tcW w:w="1098" w:type="dxa"/>
          </w:tcPr>
          <w:p w14:paraId="5A3225D3" w14:textId="77777777" w:rsidR="0049782B" w:rsidRPr="0049782B" w:rsidRDefault="0049782B" w:rsidP="00E83A2B">
            <w:pPr>
              <w:jc w:val="both"/>
              <w:rPr>
                <w:rFonts w:ascii="Bookman Old Style" w:eastAsiaTheme="minorEastAsia" w:hAnsi="Bookman Old Style"/>
                <w:b w:val="0"/>
                <w:sz w:val="18"/>
              </w:rPr>
            </w:pPr>
            <w:r w:rsidRPr="0049782B">
              <w:rPr>
                <w:rFonts w:ascii="Bookman Old Style" w:eastAsiaTheme="minorEastAsia" w:hAnsi="Bookman Old Style"/>
                <w:b w:val="0"/>
                <w:sz w:val="18"/>
              </w:rPr>
              <w:t>F02</w:t>
            </w:r>
          </w:p>
        </w:tc>
        <w:tc>
          <w:tcPr>
            <w:tcW w:w="1350" w:type="dxa"/>
          </w:tcPr>
          <w:p w14:paraId="50E20404" w14:textId="77777777" w:rsidR="0049782B" w:rsidRPr="0049782B" w:rsidRDefault="0049782B" w:rsidP="00E83A2B">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18"/>
              </w:rPr>
            </w:pPr>
            <w:r w:rsidRPr="0049782B">
              <w:rPr>
                <w:rFonts w:ascii="Bookman Old Style" w:eastAsiaTheme="minorEastAsia" w:hAnsi="Bookman Old Style"/>
                <w:sz w:val="18"/>
              </w:rPr>
              <w:t>1</w:t>
            </w:r>
          </w:p>
        </w:tc>
      </w:tr>
      <w:tr w:rsidR="0049782B" w14:paraId="76DF7130" w14:textId="77777777" w:rsidTr="00E83A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98" w:type="dxa"/>
          </w:tcPr>
          <w:p w14:paraId="48F75419" w14:textId="77777777" w:rsidR="0049782B" w:rsidRPr="0049782B" w:rsidRDefault="0049782B" w:rsidP="00E83A2B">
            <w:pPr>
              <w:jc w:val="both"/>
              <w:rPr>
                <w:rFonts w:ascii="Bookman Old Style" w:eastAsiaTheme="minorEastAsia" w:hAnsi="Bookman Old Style"/>
                <w:b w:val="0"/>
                <w:sz w:val="18"/>
              </w:rPr>
            </w:pPr>
            <w:r w:rsidRPr="0049782B">
              <w:rPr>
                <w:rFonts w:ascii="Bookman Old Style" w:eastAsiaTheme="minorEastAsia" w:hAnsi="Bookman Old Style"/>
                <w:b w:val="0"/>
                <w:sz w:val="18"/>
              </w:rPr>
              <w:t>ENTER</w:t>
            </w:r>
          </w:p>
        </w:tc>
        <w:tc>
          <w:tcPr>
            <w:tcW w:w="1350" w:type="dxa"/>
          </w:tcPr>
          <w:p w14:paraId="536222D7" w14:textId="77777777" w:rsidR="0049782B" w:rsidRPr="0049782B" w:rsidRDefault="0049782B" w:rsidP="00E83A2B">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18"/>
              </w:rPr>
            </w:pPr>
            <w:r w:rsidRPr="0049782B">
              <w:rPr>
                <w:rFonts w:ascii="Bookman Old Style" w:eastAsiaTheme="minorEastAsia" w:hAnsi="Bookman Old Style"/>
                <w:sz w:val="18"/>
              </w:rPr>
              <w:t>↓</w:t>
            </w:r>
          </w:p>
        </w:tc>
      </w:tr>
      <w:tr w:rsidR="0049782B" w14:paraId="6C335598" w14:textId="77777777" w:rsidTr="00E83A2B">
        <w:trPr>
          <w:jc w:val="center"/>
        </w:trPr>
        <w:tc>
          <w:tcPr>
            <w:cnfStyle w:val="001000000000" w:firstRow="0" w:lastRow="0" w:firstColumn="1" w:lastColumn="0" w:oddVBand="0" w:evenVBand="0" w:oddHBand="0" w:evenHBand="0" w:firstRowFirstColumn="0" w:firstRowLastColumn="0" w:lastRowFirstColumn="0" w:lastRowLastColumn="0"/>
            <w:tcW w:w="1098" w:type="dxa"/>
          </w:tcPr>
          <w:p w14:paraId="75062B88" w14:textId="77777777" w:rsidR="0049782B" w:rsidRPr="0049782B" w:rsidRDefault="0049782B" w:rsidP="00E83A2B">
            <w:pPr>
              <w:jc w:val="both"/>
              <w:rPr>
                <w:rFonts w:ascii="Bookman Old Style" w:eastAsiaTheme="minorEastAsia" w:hAnsi="Bookman Old Style"/>
                <w:b w:val="0"/>
                <w:sz w:val="18"/>
              </w:rPr>
            </w:pPr>
            <w:r w:rsidRPr="0049782B">
              <w:rPr>
                <w:rFonts w:ascii="Bookman Old Style" w:eastAsiaTheme="minorEastAsia" w:hAnsi="Bookman Old Style"/>
                <w:b w:val="0"/>
                <w:sz w:val="18"/>
              </w:rPr>
              <w:t>C03</w:t>
            </w:r>
          </w:p>
        </w:tc>
        <w:tc>
          <w:tcPr>
            <w:tcW w:w="1350" w:type="dxa"/>
          </w:tcPr>
          <w:p w14:paraId="08C0EC3B" w14:textId="77777777" w:rsidR="0049782B" w:rsidRPr="0049782B" w:rsidRDefault="0049782B" w:rsidP="00E83A2B">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18"/>
              </w:rPr>
            </w:pPr>
            <w:r w:rsidRPr="0049782B">
              <w:rPr>
                <w:rFonts w:ascii="Bookman Old Style" w:eastAsiaTheme="minorEastAsia" w:hAnsi="Bookman Old Style"/>
                <w:sz w:val="18"/>
              </w:rPr>
              <w:t>300</w:t>
            </w:r>
          </w:p>
        </w:tc>
      </w:tr>
      <w:tr w:rsidR="0049782B" w14:paraId="6711CDA2" w14:textId="77777777" w:rsidTr="00E83A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98" w:type="dxa"/>
          </w:tcPr>
          <w:p w14:paraId="086790F9" w14:textId="77777777" w:rsidR="0049782B" w:rsidRPr="0049782B" w:rsidRDefault="0049782B" w:rsidP="00E83A2B">
            <w:pPr>
              <w:jc w:val="both"/>
              <w:rPr>
                <w:rFonts w:ascii="Bookman Old Style" w:eastAsiaTheme="minorEastAsia" w:hAnsi="Bookman Old Style"/>
                <w:b w:val="0"/>
                <w:sz w:val="18"/>
              </w:rPr>
            </w:pPr>
            <w:r w:rsidRPr="0049782B">
              <w:rPr>
                <w:rFonts w:ascii="Bookman Old Style" w:eastAsiaTheme="minorEastAsia" w:hAnsi="Bookman Old Style"/>
                <w:b w:val="0"/>
                <w:sz w:val="18"/>
              </w:rPr>
              <w:t>ENTER</w:t>
            </w:r>
          </w:p>
        </w:tc>
        <w:tc>
          <w:tcPr>
            <w:tcW w:w="1350" w:type="dxa"/>
          </w:tcPr>
          <w:p w14:paraId="0831518A" w14:textId="77777777" w:rsidR="0049782B" w:rsidRPr="0049782B" w:rsidRDefault="0049782B" w:rsidP="00E83A2B">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18"/>
              </w:rPr>
            </w:pPr>
            <w:r w:rsidRPr="0049782B">
              <w:rPr>
                <w:rFonts w:ascii="Bookman Old Style" w:eastAsiaTheme="minorEastAsia" w:hAnsi="Bookman Old Style"/>
                <w:sz w:val="18"/>
              </w:rPr>
              <w:t>↓</w:t>
            </w:r>
          </w:p>
        </w:tc>
      </w:tr>
      <w:tr w:rsidR="0049782B" w14:paraId="32A41203" w14:textId="77777777" w:rsidTr="00E83A2B">
        <w:trPr>
          <w:jc w:val="center"/>
        </w:trPr>
        <w:tc>
          <w:tcPr>
            <w:cnfStyle w:val="001000000000" w:firstRow="0" w:lastRow="0" w:firstColumn="1" w:lastColumn="0" w:oddVBand="0" w:evenVBand="0" w:oddHBand="0" w:evenHBand="0" w:firstRowFirstColumn="0" w:firstRowLastColumn="0" w:lastRowFirstColumn="0" w:lastRowLastColumn="0"/>
            <w:tcW w:w="1098" w:type="dxa"/>
          </w:tcPr>
          <w:p w14:paraId="310AAA07" w14:textId="77777777" w:rsidR="0049782B" w:rsidRPr="0049782B" w:rsidRDefault="0049782B" w:rsidP="00E83A2B">
            <w:pPr>
              <w:jc w:val="both"/>
              <w:rPr>
                <w:rFonts w:ascii="Bookman Old Style" w:eastAsiaTheme="minorEastAsia" w:hAnsi="Bookman Old Style"/>
                <w:b w:val="0"/>
                <w:sz w:val="18"/>
              </w:rPr>
            </w:pPr>
            <w:r w:rsidRPr="0049782B">
              <w:rPr>
                <w:rFonts w:ascii="Bookman Old Style" w:eastAsiaTheme="minorEastAsia" w:hAnsi="Bookman Old Style"/>
                <w:b w:val="0"/>
                <w:sz w:val="18"/>
              </w:rPr>
              <w:t>F03</w:t>
            </w:r>
          </w:p>
        </w:tc>
        <w:tc>
          <w:tcPr>
            <w:tcW w:w="1350" w:type="dxa"/>
          </w:tcPr>
          <w:p w14:paraId="012990C9" w14:textId="77777777" w:rsidR="0049782B" w:rsidRPr="0049782B" w:rsidRDefault="0049782B" w:rsidP="00E83A2B">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18"/>
              </w:rPr>
            </w:pPr>
            <w:r w:rsidRPr="0049782B">
              <w:rPr>
                <w:rFonts w:ascii="Bookman Old Style" w:eastAsiaTheme="minorEastAsia" w:hAnsi="Bookman Old Style"/>
                <w:sz w:val="18"/>
              </w:rPr>
              <w:t>1</w:t>
            </w:r>
          </w:p>
        </w:tc>
      </w:tr>
      <w:tr w:rsidR="0049782B" w14:paraId="1D266FA9" w14:textId="77777777" w:rsidTr="00E83A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98" w:type="dxa"/>
          </w:tcPr>
          <w:p w14:paraId="5B53D043" w14:textId="77777777" w:rsidR="0049782B" w:rsidRPr="0049782B" w:rsidRDefault="0049782B" w:rsidP="00E83A2B">
            <w:pPr>
              <w:jc w:val="both"/>
              <w:rPr>
                <w:rFonts w:ascii="Bookman Old Style" w:eastAsiaTheme="minorEastAsia" w:hAnsi="Bookman Old Style"/>
                <w:b w:val="0"/>
                <w:sz w:val="18"/>
              </w:rPr>
            </w:pPr>
            <w:r w:rsidRPr="0049782B">
              <w:rPr>
                <w:rFonts w:ascii="Bookman Old Style" w:eastAsiaTheme="minorEastAsia" w:hAnsi="Bookman Old Style"/>
                <w:b w:val="0"/>
                <w:sz w:val="18"/>
              </w:rPr>
              <w:t>C04</w:t>
            </w:r>
          </w:p>
        </w:tc>
        <w:tc>
          <w:tcPr>
            <w:tcW w:w="1350" w:type="dxa"/>
          </w:tcPr>
          <w:p w14:paraId="39697125" w14:textId="77777777" w:rsidR="0049782B" w:rsidRPr="0049782B" w:rsidRDefault="0049782B" w:rsidP="00E83A2B">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18"/>
              </w:rPr>
            </w:pPr>
            <w:r w:rsidRPr="0049782B">
              <w:rPr>
                <w:rFonts w:ascii="Bookman Old Style" w:eastAsiaTheme="minorEastAsia" w:hAnsi="Bookman Old Style"/>
                <w:sz w:val="18"/>
              </w:rPr>
              <w:t>400</w:t>
            </w:r>
          </w:p>
        </w:tc>
      </w:tr>
      <w:tr w:rsidR="0049782B" w14:paraId="0F1EBFEA" w14:textId="77777777" w:rsidTr="00E83A2B">
        <w:trPr>
          <w:jc w:val="center"/>
        </w:trPr>
        <w:tc>
          <w:tcPr>
            <w:cnfStyle w:val="001000000000" w:firstRow="0" w:lastRow="0" w:firstColumn="1" w:lastColumn="0" w:oddVBand="0" w:evenVBand="0" w:oddHBand="0" w:evenHBand="0" w:firstRowFirstColumn="0" w:firstRowLastColumn="0" w:lastRowFirstColumn="0" w:lastRowLastColumn="0"/>
            <w:tcW w:w="1098" w:type="dxa"/>
          </w:tcPr>
          <w:p w14:paraId="66966A5A" w14:textId="77777777" w:rsidR="0049782B" w:rsidRPr="0049782B" w:rsidRDefault="0049782B" w:rsidP="00E83A2B">
            <w:pPr>
              <w:jc w:val="both"/>
              <w:rPr>
                <w:rFonts w:ascii="Bookman Old Style" w:eastAsiaTheme="minorEastAsia" w:hAnsi="Bookman Old Style"/>
                <w:b w:val="0"/>
                <w:sz w:val="18"/>
              </w:rPr>
            </w:pPr>
            <w:r w:rsidRPr="0049782B">
              <w:rPr>
                <w:rFonts w:ascii="Bookman Old Style" w:eastAsiaTheme="minorEastAsia" w:hAnsi="Bookman Old Style"/>
                <w:b w:val="0"/>
                <w:sz w:val="18"/>
              </w:rPr>
              <w:t>ENTER</w:t>
            </w:r>
          </w:p>
        </w:tc>
        <w:tc>
          <w:tcPr>
            <w:tcW w:w="1350" w:type="dxa"/>
          </w:tcPr>
          <w:p w14:paraId="337AF53C" w14:textId="77777777" w:rsidR="0049782B" w:rsidRPr="0049782B" w:rsidRDefault="0049782B" w:rsidP="00E83A2B">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18"/>
              </w:rPr>
            </w:pPr>
            <w:r w:rsidRPr="0049782B">
              <w:rPr>
                <w:rFonts w:ascii="Bookman Old Style" w:eastAsiaTheme="minorEastAsia" w:hAnsi="Bookman Old Style"/>
                <w:sz w:val="18"/>
              </w:rPr>
              <w:t>↓</w:t>
            </w:r>
          </w:p>
        </w:tc>
      </w:tr>
      <w:tr w:rsidR="0049782B" w14:paraId="2D006BDF" w14:textId="77777777" w:rsidTr="00E83A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98" w:type="dxa"/>
          </w:tcPr>
          <w:p w14:paraId="29B52191" w14:textId="77777777" w:rsidR="0049782B" w:rsidRPr="0049782B" w:rsidRDefault="0049782B" w:rsidP="00E83A2B">
            <w:pPr>
              <w:jc w:val="both"/>
              <w:rPr>
                <w:rFonts w:ascii="Bookman Old Style" w:eastAsiaTheme="minorEastAsia" w:hAnsi="Bookman Old Style"/>
                <w:b w:val="0"/>
                <w:sz w:val="18"/>
              </w:rPr>
            </w:pPr>
            <w:r w:rsidRPr="0049782B">
              <w:rPr>
                <w:rFonts w:ascii="Bookman Old Style" w:eastAsiaTheme="minorEastAsia" w:hAnsi="Bookman Old Style"/>
                <w:b w:val="0"/>
                <w:sz w:val="18"/>
              </w:rPr>
              <w:t>F04</w:t>
            </w:r>
          </w:p>
        </w:tc>
        <w:tc>
          <w:tcPr>
            <w:tcW w:w="1350" w:type="dxa"/>
          </w:tcPr>
          <w:p w14:paraId="24D57BF0" w14:textId="77777777" w:rsidR="0049782B" w:rsidRPr="0049782B" w:rsidRDefault="0049782B" w:rsidP="00E83A2B">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18"/>
              </w:rPr>
            </w:pPr>
            <w:r w:rsidRPr="0049782B">
              <w:rPr>
                <w:rFonts w:ascii="Bookman Old Style" w:eastAsiaTheme="minorEastAsia" w:hAnsi="Bookman Old Style"/>
                <w:sz w:val="18"/>
              </w:rPr>
              <w:t>1</w:t>
            </w:r>
          </w:p>
        </w:tc>
      </w:tr>
      <w:tr w:rsidR="0049782B" w14:paraId="7DC9ED30" w14:textId="77777777" w:rsidTr="00E83A2B">
        <w:trPr>
          <w:jc w:val="center"/>
        </w:trPr>
        <w:tc>
          <w:tcPr>
            <w:cnfStyle w:val="001000000000" w:firstRow="0" w:lastRow="0" w:firstColumn="1" w:lastColumn="0" w:oddVBand="0" w:evenVBand="0" w:oddHBand="0" w:evenHBand="0" w:firstRowFirstColumn="0" w:firstRowLastColumn="0" w:lastRowFirstColumn="0" w:lastRowLastColumn="0"/>
            <w:tcW w:w="1098" w:type="dxa"/>
          </w:tcPr>
          <w:p w14:paraId="04372102" w14:textId="77777777" w:rsidR="0049782B" w:rsidRPr="0049782B" w:rsidRDefault="0049782B" w:rsidP="00E83A2B">
            <w:pPr>
              <w:jc w:val="both"/>
              <w:rPr>
                <w:rFonts w:ascii="Bookman Old Style" w:eastAsiaTheme="minorEastAsia" w:hAnsi="Bookman Old Style"/>
                <w:b w:val="0"/>
                <w:sz w:val="18"/>
              </w:rPr>
            </w:pPr>
            <w:r w:rsidRPr="0049782B">
              <w:rPr>
                <w:rFonts w:ascii="Bookman Old Style" w:eastAsiaTheme="minorEastAsia" w:hAnsi="Bookman Old Style"/>
                <w:b w:val="0"/>
                <w:sz w:val="18"/>
              </w:rPr>
              <w:t>ENTER</w:t>
            </w:r>
          </w:p>
        </w:tc>
        <w:tc>
          <w:tcPr>
            <w:tcW w:w="1350" w:type="dxa"/>
          </w:tcPr>
          <w:p w14:paraId="51F9F8C8" w14:textId="77777777" w:rsidR="0049782B" w:rsidRPr="0049782B" w:rsidRDefault="0049782B" w:rsidP="00E83A2B">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18"/>
              </w:rPr>
            </w:pPr>
          </w:p>
        </w:tc>
      </w:tr>
      <w:tr w:rsidR="0049782B" w14:paraId="3BC00F1F" w14:textId="77777777" w:rsidTr="00E83A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98" w:type="dxa"/>
          </w:tcPr>
          <w:p w14:paraId="469D5727" w14:textId="77777777" w:rsidR="0049782B" w:rsidRPr="0049782B" w:rsidRDefault="0049782B" w:rsidP="00E83A2B">
            <w:pPr>
              <w:jc w:val="both"/>
              <w:rPr>
                <w:rFonts w:ascii="Bookman Old Style" w:eastAsiaTheme="minorEastAsia" w:hAnsi="Bookman Old Style"/>
                <w:b w:val="0"/>
                <w:sz w:val="18"/>
              </w:rPr>
            </w:pPr>
            <w:r w:rsidRPr="0049782B">
              <w:rPr>
                <w:rFonts w:ascii="Bookman Old Style" w:eastAsiaTheme="minorEastAsia" w:hAnsi="Bookman Old Style"/>
                <w:b w:val="0"/>
                <w:sz w:val="18"/>
              </w:rPr>
              <w:t>IRR</w:t>
            </w:r>
          </w:p>
        </w:tc>
        <w:tc>
          <w:tcPr>
            <w:tcW w:w="1350" w:type="dxa"/>
          </w:tcPr>
          <w:p w14:paraId="1D2551CE" w14:textId="77777777" w:rsidR="0049782B" w:rsidRPr="0049782B" w:rsidRDefault="0049782B" w:rsidP="00E83A2B">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18"/>
              </w:rPr>
            </w:pPr>
            <w:r w:rsidRPr="0049782B">
              <w:rPr>
                <w:rFonts w:ascii="Bookman Old Style" w:eastAsiaTheme="minorEastAsia" w:hAnsi="Bookman Old Style"/>
                <w:sz w:val="18"/>
              </w:rPr>
              <w:t>CPT</w:t>
            </w:r>
          </w:p>
        </w:tc>
      </w:tr>
      <w:tr w:rsidR="0049782B" w14:paraId="6739D2F2" w14:textId="77777777" w:rsidTr="00E83A2B">
        <w:trPr>
          <w:jc w:val="center"/>
        </w:trPr>
        <w:tc>
          <w:tcPr>
            <w:cnfStyle w:val="001000000000" w:firstRow="0" w:lastRow="0" w:firstColumn="1" w:lastColumn="0" w:oddVBand="0" w:evenVBand="0" w:oddHBand="0" w:evenHBand="0" w:firstRowFirstColumn="0" w:firstRowLastColumn="0" w:lastRowFirstColumn="0" w:lastRowLastColumn="0"/>
            <w:tcW w:w="1098" w:type="dxa"/>
          </w:tcPr>
          <w:p w14:paraId="5210F672" w14:textId="77777777" w:rsidR="0049782B" w:rsidRPr="0049782B" w:rsidRDefault="0049782B" w:rsidP="00E83A2B">
            <w:pPr>
              <w:jc w:val="both"/>
              <w:rPr>
                <w:rFonts w:ascii="Bookman Old Style" w:eastAsiaTheme="minorEastAsia" w:hAnsi="Bookman Old Style"/>
                <w:sz w:val="18"/>
              </w:rPr>
            </w:pPr>
          </w:p>
        </w:tc>
        <w:tc>
          <w:tcPr>
            <w:tcW w:w="1350" w:type="dxa"/>
          </w:tcPr>
          <w:p w14:paraId="6FCB599D" w14:textId="77777777" w:rsidR="0049782B" w:rsidRPr="0049782B" w:rsidRDefault="0049782B" w:rsidP="00E83A2B">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18"/>
              </w:rPr>
            </w:pPr>
            <w:r w:rsidRPr="0049782B">
              <w:rPr>
                <w:rFonts w:ascii="Bookman Old Style" w:eastAsiaTheme="minorEastAsia" w:hAnsi="Bookman Old Style"/>
                <w:sz w:val="18"/>
              </w:rPr>
              <w:t>=27.2732%</w:t>
            </w:r>
          </w:p>
        </w:tc>
      </w:tr>
    </w:tbl>
    <w:p w14:paraId="305E71F2" w14:textId="77777777" w:rsidR="0049782B" w:rsidRPr="005451CD" w:rsidRDefault="0049782B" w:rsidP="0049782B">
      <w:pPr>
        <w:spacing w:after="0" w:line="240" w:lineRule="auto"/>
        <w:jc w:val="both"/>
        <w:rPr>
          <w:rFonts w:ascii="Bookman Old Style" w:eastAsiaTheme="minorEastAsia" w:hAnsi="Bookman Old Style"/>
        </w:rPr>
      </w:pPr>
    </w:p>
    <w:p w14:paraId="478C34A4" w14:textId="020B9FA8" w:rsidR="005451CD" w:rsidRDefault="005451CD" w:rsidP="005451CD">
      <w:pPr>
        <w:spacing w:after="0" w:line="240" w:lineRule="auto"/>
        <w:jc w:val="both"/>
        <w:rPr>
          <w:rFonts w:ascii="Bookman Old Style" w:eastAsiaTheme="minorEastAsia" w:hAnsi="Bookman Old Style"/>
          <w:b/>
          <w:u w:val="single"/>
        </w:rPr>
      </w:pPr>
      <w:r>
        <w:rPr>
          <w:rFonts w:ascii="Bookman Old Style" w:eastAsiaTheme="minorEastAsia" w:hAnsi="Bookman Old Style"/>
          <w:b/>
          <w:u w:val="single"/>
        </w:rPr>
        <w:lastRenderedPageBreak/>
        <w:t>Problems with the IRR</w:t>
      </w:r>
    </w:p>
    <w:p w14:paraId="68CC55FC" w14:textId="7AD71CFC" w:rsidR="005451CD" w:rsidRDefault="005451CD" w:rsidP="005451CD">
      <w:pPr>
        <w:spacing w:after="0" w:line="240" w:lineRule="auto"/>
        <w:jc w:val="both"/>
        <w:rPr>
          <w:rFonts w:ascii="Bookman Old Style" w:eastAsiaTheme="minorEastAsia" w:hAnsi="Bookman Old Style"/>
        </w:rPr>
      </w:pPr>
      <w:r>
        <w:rPr>
          <w:rFonts w:ascii="Bookman Old Style" w:eastAsiaTheme="minorEastAsia" w:hAnsi="Bookman Old Style"/>
        </w:rPr>
        <w:t>Problems with the IRR come about when the cash flows are unconventional or when we’re trying to compare 2 or more investments to see is best.</w:t>
      </w:r>
    </w:p>
    <w:p w14:paraId="3F7448AB" w14:textId="77777777" w:rsidR="005451CD" w:rsidRDefault="005451CD" w:rsidP="005451CD">
      <w:pPr>
        <w:spacing w:after="0" w:line="240" w:lineRule="auto"/>
        <w:jc w:val="both"/>
        <w:rPr>
          <w:rFonts w:ascii="Bookman Old Style" w:eastAsiaTheme="minorEastAsia" w:hAnsi="Bookman Old Style"/>
        </w:rPr>
      </w:pPr>
    </w:p>
    <w:p w14:paraId="0F5FE585" w14:textId="457B97D8" w:rsidR="005451CD" w:rsidRDefault="005451CD" w:rsidP="005451CD">
      <w:pPr>
        <w:spacing w:after="0" w:line="240" w:lineRule="auto"/>
        <w:jc w:val="both"/>
        <w:rPr>
          <w:rFonts w:ascii="Bookman Old Style" w:eastAsiaTheme="minorEastAsia" w:hAnsi="Bookman Old Style"/>
        </w:rPr>
      </w:pPr>
      <w:r>
        <w:rPr>
          <w:rFonts w:ascii="Bookman Old Style" w:eastAsiaTheme="minorEastAsia" w:hAnsi="Bookman Old Style"/>
        </w:rPr>
        <w:t>In the first case, the simple question – what’s the return? – can be difficult to answer. In the second case, the IRR can be a misleading guide.</w:t>
      </w:r>
    </w:p>
    <w:p w14:paraId="252CDF34" w14:textId="77777777" w:rsidR="005451CD" w:rsidRDefault="005451CD" w:rsidP="005451CD">
      <w:pPr>
        <w:spacing w:after="0" w:line="240" w:lineRule="auto"/>
        <w:jc w:val="both"/>
        <w:rPr>
          <w:rFonts w:ascii="Bookman Old Style" w:eastAsiaTheme="minorEastAsia" w:hAnsi="Bookman Old Style"/>
        </w:rPr>
      </w:pPr>
    </w:p>
    <w:p w14:paraId="7A722123" w14:textId="77777777" w:rsidR="005451CD" w:rsidRDefault="005451CD" w:rsidP="005451CD">
      <w:pPr>
        <w:spacing w:after="0" w:line="240" w:lineRule="auto"/>
        <w:jc w:val="both"/>
        <w:rPr>
          <w:rFonts w:ascii="Bookman Old Style" w:eastAsiaTheme="minorEastAsia" w:hAnsi="Bookman Old Style"/>
          <w:b/>
        </w:rPr>
      </w:pPr>
    </w:p>
    <w:p w14:paraId="27F59CE1" w14:textId="53EB61F6" w:rsidR="005451CD" w:rsidRPr="0049782B" w:rsidRDefault="005451CD" w:rsidP="005451CD">
      <w:pPr>
        <w:spacing w:after="0" w:line="240" w:lineRule="auto"/>
        <w:jc w:val="both"/>
        <w:rPr>
          <w:rFonts w:ascii="Bookman Old Style" w:eastAsiaTheme="minorEastAsia" w:hAnsi="Bookman Old Style"/>
          <w:b/>
          <w:u w:val="single"/>
        </w:rPr>
      </w:pPr>
      <w:r w:rsidRPr="0049782B">
        <w:rPr>
          <w:rFonts w:ascii="Bookman Old Style" w:eastAsiaTheme="minorEastAsia" w:hAnsi="Bookman Old Style"/>
          <w:b/>
          <w:u w:val="single"/>
        </w:rPr>
        <w:t>1. Non-Conventional Cash Flows</w:t>
      </w:r>
    </w:p>
    <w:p w14:paraId="65BBD044" w14:textId="77777777" w:rsidR="0049782B" w:rsidRDefault="0049782B" w:rsidP="005451CD">
      <w:pPr>
        <w:spacing w:after="0" w:line="240" w:lineRule="auto"/>
        <w:jc w:val="both"/>
        <w:rPr>
          <w:rFonts w:ascii="Bookman Old Style" w:eastAsiaTheme="minorEastAsia" w:hAnsi="Bookman Old Style"/>
        </w:rPr>
      </w:pPr>
    </w:p>
    <w:p w14:paraId="236424FA" w14:textId="0819FDBA" w:rsidR="005451CD" w:rsidRDefault="005451CD" w:rsidP="005451CD">
      <w:pPr>
        <w:spacing w:after="0" w:line="240" w:lineRule="auto"/>
        <w:jc w:val="both"/>
        <w:rPr>
          <w:rFonts w:ascii="Bookman Old Style" w:eastAsiaTheme="minorEastAsia" w:hAnsi="Bookman Old Style"/>
        </w:rPr>
      </w:pPr>
      <w:r>
        <w:rPr>
          <w:rFonts w:ascii="Bookman Old Style" w:eastAsiaTheme="minorEastAsia" w:hAnsi="Bookman Old Style"/>
        </w:rPr>
        <w:t xml:space="preserve">Suppose we have an oil sands project that requires a $60 investment. </w:t>
      </w:r>
    </w:p>
    <w:p w14:paraId="68277680" w14:textId="2707EB5B" w:rsidR="005451CD" w:rsidRDefault="005451CD" w:rsidP="005451CD">
      <w:pPr>
        <w:spacing w:after="0" w:line="240" w:lineRule="auto"/>
        <w:jc w:val="both"/>
        <w:rPr>
          <w:rFonts w:ascii="Bookman Old Style" w:eastAsiaTheme="minorEastAsia" w:hAnsi="Bookman Old Style"/>
        </w:rPr>
      </w:pPr>
      <w:r>
        <w:rPr>
          <w:rFonts w:ascii="Bookman Old Style" w:eastAsiaTheme="minorEastAsia" w:hAnsi="Bookman Old Style"/>
        </w:rPr>
        <w:t>Our cash flow for the 1</w:t>
      </w:r>
      <w:r w:rsidRPr="005451CD">
        <w:rPr>
          <w:rFonts w:ascii="Bookman Old Style" w:eastAsiaTheme="minorEastAsia" w:hAnsi="Bookman Old Style"/>
          <w:vertAlign w:val="superscript"/>
        </w:rPr>
        <w:t>st</w:t>
      </w:r>
      <w:r>
        <w:rPr>
          <w:rFonts w:ascii="Bookman Old Style" w:eastAsiaTheme="minorEastAsia" w:hAnsi="Bookman Old Style"/>
        </w:rPr>
        <w:t xml:space="preserve"> year will be $155; in the 2</w:t>
      </w:r>
      <w:r w:rsidRPr="005451CD">
        <w:rPr>
          <w:rFonts w:ascii="Bookman Old Style" w:eastAsiaTheme="minorEastAsia" w:hAnsi="Bookman Old Style"/>
          <w:vertAlign w:val="superscript"/>
        </w:rPr>
        <w:t>nd</w:t>
      </w:r>
      <w:r>
        <w:rPr>
          <w:rFonts w:ascii="Bookman Old Style" w:eastAsiaTheme="minorEastAsia" w:hAnsi="Bookman Old Style"/>
        </w:rPr>
        <w:t xml:space="preserve"> year, the mine is depleted, but we have to spend $100 to restore the terrain. As our figure below shows, both the 1</w:t>
      </w:r>
      <w:r w:rsidRPr="005451CD">
        <w:rPr>
          <w:rFonts w:ascii="Bookman Old Style" w:eastAsiaTheme="minorEastAsia" w:hAnsi="Bookman Old Style"/>
          <w:vertAlign w:val="superscript"/>
        </w:rPr>
        <w:t>st</w:t>
      </w:r>
      <w:r>
        <w:rPr>
          <w:rFonts w:ascii="Bookman Old Style" w:eastAsiaTheme="minorEastAsia" w:hAnsi="Bookman Old Style"/>
        </w:rPr>
        <w:t xml:space="preserve"> and 3</w:t>
      </w:r>
      <w:r w:rsidRPr="005451CD">
        <w:rPr>
          <w:rFonts w:ascii="Bookman Old Style" w:eastAsiaTheme="minorEastAsia" w:hAnsi="Bookman Old Style"/>
          <w:vertAlign w:val="superscript"/>
        </w:rPr>
        <w:t>rd</w:t>
      </w:r>
      <w:r>
        <w:rPr>
          <w:rFonts w:ascii="Bookman Old Style" w:eastAsiaTheme="minorEastAsia" w:hAnsi="Bookman Old Style"/>
        </w:rPr>
        <w:t xml:space="preserve"> cash flows are negative.</w:t>
      </w:r>
    </w:p>
    <w:p w14:paraId="48DB7AEE" w14:textId="77777777" w:rsidR="005451CD" w:rsidRDefault="005451CD" w:rsidP="005451CD">
      <w:pPr>
        <w:spacing w:after="0" w:line="240" w:lineRule="auto"/>
        <w:jc w:val="center"/>
        <w:rPr>
          <w:rFonts w:ascii="Bookman Old Style" w:eastAsiaTheme="minorEastAsia" w:hAnsi="Bookman Old Style"/>
        </w:rPr>
      </w:pPr>
    </w:p>
    <w:p w14:paraId="75DCD54D" w14:textId="0A98013B" w:rsidR="005451CD" w:rsidRDefault="005451CD" w:rsidP="005451CD">
      <w:pPr>
        <w:spacing w:after="0" w:line="240" w:lineRule="auto"/>
        <w:jc w:val="center"/>
        <w:rPr>
          <w:rFonts w:ascii="Bookman Old Style" w:eastAsiaTheme="minorEastAsia" w:hAnsi="Bookman Old Style"/>
        </w:rPr>
      </w:pPr>
      <w:r>
        <w:rPr>
          <w:rFonts w:ascii="Bookman Old Style" w:eastAsiaTheme="minorEastAsia" w:hAnsi="Bookman Old Style"/>
          <w:noProof/>
        </w:rPr>
        <w:drawing>
          <wp:inline distT="0" distB="0" distL="0" distR="0" wp14:anchorId="0473F2A1" wp14:editId="6701AA19">
            <wp:extent cx="4264638" cy="991240"/>
            <wp:effectExtent l="0" t="0" r="3175"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50DD1B84" w14:textId="1524971E" w:rsidR="002A6A13" w:rsidRDefault="002A6A13" w:rsidP="005451CD">
      <w:pPr>
        <w:spacing w:after="0" w:line="240" w:lineRule="auto"/>
        <w:jc w:val="both"/>
        <w:rPr>
          <w:rFonts w:ascii="Bookman Old Style" w:eastAsiaTheme="minorEastAsia" w:hAnsi="Bookman Old Style"/>
        </w:rPr>
      </w:pPr>
      <w:r>
        <w:rPr>
          <w:rFonts w:ascii="Bookman Old Style" w:eastAsiaTheme="minorEastAsia" w:hAnsi="Bookman Old Style"/>
        </w:rPr>
        <w:t>To find the IRR on this project, we can calculate the NPV at various rates:</w:t>
      </w:r>
    </w:p>
    <w:p w14:paraId="49DF4345" w14:textId="77777777" w:rsidR="002A6A13" w:rsidRDefault="002A6A13" w:rsidP="005451CD">
      <w:pPr>
        <w:spacing w:after="0" w:line="240" w:lineRule="auto"/>
        <w:jc w:val="both"/>
        <w:rPr>
          <w:rFonts w:ascii="Bookman Old Style" w:eastAsiaTheme="minorEastAsia" w:hAnsi="Bookman Old Style"/>
        </w:rPr>
      </w:pPr>
    </w:p>
    <w:tbl>
      <w:tblPr>
        <w:tblStyle w:val="TableGrid"/>
        <w:tblW w:w="0" w:type="auto"/>
        <w:jc w:val="center"/>
        <w:tblBorders>
          <w:insideV w:val="none" w:sz="0" w:space="0" w:color="auto"/>
        </w:tblBorders>
        <w:tblLook w:val="04A0" w:firstRow="1" w:lastRow="0" w:firstColumn="1" w:lastColumn="0" w:noHBand="0" w:noVBand="1"/>
      </w:tblPr>
      <w:tblGrid>
        <w:gridCol w:w="1908"/>
        <w:gridCol w:w="1980"/>
      </w:tblGrid>
      <w:tr w:rsidR="002A6A13" w14:paraId="56B47951" w14:textId="77777777" w:rsidTr="00BA5DD9">
        <w:trPr>
          <w:jc w:val="center"/>
        </w:trPr>
        <w:tc>
          <w:tcPr>
            <w:tcW w:w="1908" w:type="dxa"/>
            <w:tcBorders>
              <w:bottom w:val="single" w:sz="4" w:space="0" w:color="auto"/>
            </w:tcBorders>
          </w:tcPr>
          <w:p w14:paraId="579DF9BF" w14:textId="77777777" w:rsidR="002A6A13" w:rsidRPr="001B27A2" w:rsidRDefault="002A6A13" w:rsidP="00BA5DD9">
            <w:pPr>
              <w:jc w:val="center"/>
              <w:rPr>
                <w:rFonts w:ascii="Bookman Old Style" w:eastAsiaTheme="minorEastAsia" w:hAnsi="Bookman Old Style"/>
                <w:b/>
              </w:rPr>
            </w:pPr>
            <w:r>
              <w:rPr>
                <w:rFonts w:ascii="Bookman Old Style" w:eastAsiaTheme="minorEastAsia" w:hAnsi="Bookman Old Style"/>
                <w:b/>
              </w:rPr>
              <w:t>Discount Rate</w:t>
            </w:r>
          </w:p>
        </w:tc>
        <w:tc>
          <w:tcPr>
            <w:tcW w:w="1980" w:type="dxa"/>
            <w:tcBorders>
              <w:bottom w:val="single" w:sz="4" w:space="0" w:color="auto"/>
            </w:tcBorders>
          </w:tcPr>
          <w:p w14:paraId="6283006E" w14:textId="77777777" w:rsidR="002A6A13" w:rsidRPr="001B27A2" w:rsidRDefault="002A6A13" w:rsidP="00BA5DD9">
            <w:pPr>
              <w:jc w:val="center"/>
              <w:rPr>
                <w:rFonts w:ascii="Bookman Old Style" w:eastAsiaTheme="minorEastAsia" w:hAnsi="Bookman Old Style"/>
                <w:b/>
              </w:rPr>
            </w:pPr>
            <w:r>
              <w:rPr>
                <w:rFonts w:ascii="Bookman Old Style" w:eastAsiaTheme="minorEastAsia" w:hAnsi="Bookman Old Style"/>
                <w:b/>
              </w:rPr>
              <w:t>NPV</w:t>
            </w:r>
          </w:p>
        </w:tc>
      </w:tr>
      <w:tr w:rsidR="002A6A13" w14:paraId="59FE90B7" w14:textId="77777777" w:rsidTr="00BA5DD9">
        <w:trPr>
          <w:jc w:val="center"/>
        </w:trPr>
        <w:tc>
          <w:tcPr>
            <w:tcW w:w="1908" w:type="dxa"/>
            <w:tcBorders>
              <w:bottom w:val="nil"/>
            </w:tcBorders>
          </w:tcPr>
          <w:p w14:paraId="649EEDD8" w14:textId="77777777" w:rsidR="002A6A13" w:rsidRDefault="002A6A13" w:rsidP="00BA5DD9">
            <w:pPr>
              <w:jc w:val="center"/>
              <w:rPr>
                <w:rFonts w:ascii="Bookman Old Style" w:eastAsiaTheme="minorEastAsia" w:hAnsi="Bookman Old Style"/>
              </w:rPr>
            </w:pPr>
            <w:r>
              <w:rPr>
                <w:rFonts w:ascii="Bookman Old Style" w:eastAsiaTheme="minorEastAsia" w:hAnsi="Bookman Old Style"/>
              </w:rPr>
              <w:t>0%</w:t>
            </w:r>
          </w:p>
        </w:tc>
        <w:tc>
          <w:tcPr>
            <w:tcW w:w="1980" w:type="dxa"/>
            <w:tcBorders>
              <w:bottom w:val="nil"/>
            </w:tcBorders>
          </w:tcPr>
          <w:p w14:paraId="40175401" w14:textId="5EF30353" w:rsidR="002A6A13" w:rsidRDefault="002A6A13" w:rsidP="00BA5DD9">
            <w:pPr>
              <w:jc w:val="center"/>
              <w:rPr>
                <w:rFonts w:ascii="Bookman Old Style" w:eastAsiaTheme="minorEastAsia" w:hAnsi="Bookman Old Style"/>
              </w:rPr>
            </w:pPr>
            <w:r>
              <w:rPr>
                <w:rFonts w:ascii="Bookman Old Style" w:eastAsiaTheme="minorEastAsia" w:hAnsi="Bookman Old Style"/>
              </w:rPr>
              <w:t>-$5.00</w:t>
            </w:r>
          </w:p>
        </w:tc>
      </w:tr>
      <w:tr w:rsidR="002A6A13" w14:paraId="7D12C279" w14:textId="77777777" w:rsidTr="00BA5DD9">
        <w:trPr>
          <w:jc w:val="center"/>
        </w:trPr>
        <w:tc>
          <w:tcPr>
            <w:tcW w:w="1908" w:type="dxa"/>
            <w:tcBorders>
              <w:top w:val="nil"/>
              <w:bottom w:val="nil"/>
            </w:tcBorders>
          </w:tcPr>
          <w:p w14:paraId="16029AF8" w14:textId="6A05A1DF" w:rsidR="002A6A13" w:rsidRDefault="002A6A13" w:rsidP="00BA5DD9">
            <w:pPr>
              <w:jc w:val="center"/>
              <w:rPr>
                <w:rFonts w:ascii="Bookman Old Style" w:eastAsiaTheme="minorEastAsia" w:hAnsi="Bookman Old Style"/>
              </w:rPr>
            </w:pPr>
            <w:r>
              <w:rPr>
                <w:rFonts w:ascii="Bookman Old Style" w:eastAsiaTheme="minorEastAsia" w:hAnsi="Bookman Old Style"/>
              </w:rPr>
              <w:t>10%</w:t>
            </w:r>
          </w:p>
        </w:tc>
        <w:tc>
          <w:tcPr>
            <w:tcW w:w="1980" w:type="dxa"/>
            <w:tcBorders>
              <w:top w:val="nil"/>
              <w:bottom w:val="nil"/>
            </w:tcBorders>
          </w:tcPr>
          <w:p w14:paraId="7CFFD170" w14:textId="605C42D8" w:rsidR="002A6A13" w:rsidRDefault="002A6A13" w:rsidP="00BA5DD9">
            <w:pPr>
              <w:jc w:val="center"/>
              <w:rPr>
                <w:rFonts w:ascii="Bookman Old Style" w:eastAsiaTheme="minorEastAsia" w:hAnsi="Bookman Old Style"/>
              </w:rPr>
            </w:pPr>
            <w:r>
              <w:rPr>
                <w:rFonts w:ascii="Bookman Old Style" w:eastAsiaTheme="minorEastAsia" w:hAnsi="Bookman Old Style"/>
              </w:rPr>
              <w:t>-$1.74</w:t>
            </w:r>
          </w:p>
        </w:tc>
      </w:tr>
      <w:tr w:rsidR="002A6A13" w14:paraId="18EED4E2" w14:textId="77777777" w:rsidTr="00BA5DD9">
        <w:trPr>
          <w:jc w:val="center"/>
        </w:trPr>
        <w:tc>
          <w:tcPr>
            <w:tcW w:w="1908" w:type="dxa"/>
            <w:tcBorders>
              <w:top w:val="nil"/>
              <w:bottom w:val="nil"/>
            </w:tcBorders>
          </w:tcPr>
          <w:p w14:paraId="53BBA7D9" w14:textId="38FC18F3" w:rsidR="002A6A13" w:rsidRDefault="002A6A13" w:rsidP="00BA5DD9">
            <w:pPr>
              <w:jc w:val="center"/>
              <w:rPr>
                <w:rFonts w:ascii="Bookman Old Style" w:eastAsiaTheme="minorEastAsia" w:hAnsi="Bookman Old Style"/>
              </w:rPr>
            </w:pPr>
            <w:r>
              <w:rPr>
                <w:rFonts w:ascii="Bookman Old Style" w:eastAsiaTheme="minorEastAsia" w:hAnsi="Bookman Old Style"/>
              </w:rPr>
              <w:t>20%</w:t>
            </w:r>
          </w:p>
        </w:tc>
        <w:tc>
          <w:tcPr>
            <w:tcW w:w="1980" w:type="dxa"/>
            <w:tcBorders>
              <w:top w:val="nil"/>
              <w:bottom w:val="nil"/>
            </w:tcBorders>
          </w:tcPr>
          <w:p w14:paraId="61230E77" w14:textId="1165092D" w:rsidR="002A6A13" w:rsidRDefault="002A6A13" w:rsidP="00BA5DD9">
            <w:pPr>
              <w:jc w:val="center"/>
              <w:rPr>
                <w:rFonts w:ascii="Bookman Old Style" w:eastAsiaTheme="minorEastAsia" w:hAnsi="Bookman Old Style"/>
              </w:rPr>
            </w:pPr>
            <w:r>
              <w:rPr>
                <w:rFonts w:ascii="Bookman Old Style" w:eastAsiaTheme="minorEastAsia" w:hAnsi="Bookman Old Style"/>
              </w:rPr>
              <w:t>-$0.28</w:t>
            </w:r>
          </w:p>
        </w:tc>
      </w:tr>
      <w:tr w:rsidR="002A6A13" w14:paraId="5A893FBC" w14:textId="77777777" w:rsidTr="00BA5DD9">
        <w:trPr>
          <w:jc w:val="center"/>
        </w:trPr>
        <w:tc>
          <w:tcPr>
            <w:tcW w:w="1908" w:type="dxa"/>
            <w:tcBorders>
              <w:top w:val="nil"/>
              <w:bottom w:val="nil"/>
            </w:tcBorders>
          </w:tcPr>
          <w:p w14:paraId="1D6999ED" w14:textId="6A71587C" w:rsidR="002A6A13" w:rsidRDefault="002A6A13" w:rsidP="00BA5DD9">
            <w:pPr>
              <w:jc w:val="center"/>
              <w:rPr>
                <w:rFonts w:ascii="Bookman Old Style" w:eastAsiaTheme="minorEastAsia" w:hAnsi="Bookman Old Style"/>
              </w:rPr>
            </w:pPr>
            <w:r>
              <w:rPr>
                <w:rFonts w:ascii="Bookman Old Style" w:eastAsiaTheme="minorEastAsia" w:hAnsi="Bookman Old Style"/>
              </w:rPr>
              <w:t>30%</w:t>
            </w:r>
          </w:p>
        </w:tc>
        <w:tc>
          <w:tcPr>
            <w:tcW w:w="1980" w:type="dxa"/>
            <w:tcBorders>
              <w:top w:val="nil"/>
              <w:bottom w:val="nil"/>
            </w:tcBorders>
          </w:tcPr>
          <w:p w14:paraId="7742D8EF" w14:textId="7A47D45E" w:rsidR="002A6A13" w:rsidRDefault="002A6A13" w:rsidP="00BA5DD9">
            <w:pPr>
              <w:jc w:val="center"/>
              <w:rPr>
                <w:rFonts w:ascii="Bookman Old Style" w:eastAsiaTheme="minorEastAsia" w:hAnsi="Bookman Old Style"/>
              </w:rPr>
            </w:pPr>
            <w:r>
              <w:rPr>
                <w:rFonts w:ascii="Bookman Old Style" w:eastAsiaTheme="minorEastAsia" w:hAnsi="Bookman Old Style"/>
              </w:rPr>
              <w:t>$0.06</w:t>
            </w:r>
          </w:p>
        </w:tc>
      </w:tr>
      <w:tr w:rsidR="002A6A13" w14:paraId="35FDB17C" w14:textId="77777777" w:rsidTr="00BA5DD9">
        <w:trPr>
          <w:trHeight w:val="58"/>
          <w:jc w:val="center"/>
        </w:trPr>
        <w:tc>
          <w:tcPr>
            <w:tcW w:w="1908" w:type="dxa"/>
            <w:tcBorders>
              <w:top w:val="nil"/>
            </w:tcBorders>
          </w:tcPr>
          <w:p w14:paraId="5E5EF353" w14:textId="652C9472" w:rsidR="002A6A13" w:rsidRDefault="002A6A13" w:rsidP="00BA5DD9">
            <w:pPr>
              <w:jc w:val="center"/>
              <w:rPr>
                <w:rFonts w:ascii="Bookman Old Style" w:eastAsiaTheme="minorEastAsia" w:hAnsi="Bookman Old Style"/>
              </w:rPr>
            </w:pPr>
            <w:r>
              <w:rPr>
                <w:rFonts w:ascii="Bookman Old Style" w:eastAsiaTheme="minorEastAsia" w:hAnsi="Bookman Old Style"/>
              </w:rPr>
              <w:t>40%</w:t>
            </w:r>
          </w:p>
        </w:tc>
        <w:tc>
          <w:tcPr>
            <w:tcW w:w="1980" w:type="dxa"/>
            <w:tcBorders>
              <w:top w:val="nil"/>
            </w:tcBorders>
          </w:tcPr>
          <w:p w14:paraId="7BA9A3CC" w14:textId="111E28D5" w:rsidR="002A6A13" w:rsidRDefault="002A6A13" w:rsidP="002A6A13">
            <w:pPr>
              <w:jc w:val="center"/>
              <w:rPr>
                <w:rFonts w:ascii="Bookman Old Style" w:eastAsiaTheme="minorEastAsia" w:hAnsi="Bookman Old Style"/>
              </w:rPr>
            </w:pPr>
            <w:r>
              <w:rPr>
                <w:rFonts w:ascii="Bookman Old Style" w:eastAsiaTheme="minorEastAsia" w:hAnsi="Bookman Old Style"/>
              </w:rPr>
              <w:t>-$0.31</w:t>
            </w:r>
          </w:p>
        </w:tc>
      </w:tr>
    </w:tbl>
    <w:p w14:paraId="5C0219A0" w14:textId="77777777" w:rsidR="002A6A13" w:rsidRDefault="002A6A13" w:rsidP="005451CD">
      <w:pPr>
        <w:spacing w:after="0" w:line="240" w:lineRule="auto"/>
        <w:jc w:val="both"/>
        <w:rPr>
          <w:rFonts w:ascii="Bookman Old Style" w:eastAsiaTheme="minorEastAsia" w:hAnsi="Bookman Old Style"/>
        </w:rPr>
      </w:pPr>
    </w:p>
    <w:p w14:paraId="4D111DDD" w14:textId="47EAA5E8" w:rsidR="002A6A13" w:rsidRDefault="002A6A13" w:rsidP="005451CD">
      <w:pPr>
        <w:spacing w:after="0" w:line="240" w:lineRule="auto"/>
        <w:jc w:val="both"/>
        <w:rPr>
          <w:rFonts w:ascii="Bookman Old Style" w:eastAsiaTheme="minorEastAsia" w:hAnsi="Bookman Old Style"/>
        </w:rPr>
      </w:pPr>
      <w:r>
        <w:rPr>
          <w:rFonts w:ascii="Bookman Old Style" w:eastAsiaTheme="minorEastAsia" w:hAnsi="Bookman Old Style"/>
        </w:rPr>
        <w:t>The NPV behaves oddly here – as the discount rate increases from 0% to 30%, the NPV starts out negative and becomes positive. This seems backward because the NPV is rising as the discount rate rises. It starts getting smaller and become negative again.</w:t>
      </w:r>
    </w:p>
    <w:p w14:paraId="48D253EE" w14:textId="77777777" w:rsidR="002A6A13" w:rsidRDefault="002A6A13" w:rsidP="005451CD">
      <w:pPr>
        <w:spacing w:after="0" w:line="240" w:lineRule="auto"/>
        <w:jc w:val="both"/>
        <w:rPr>
          <w:rFonts w:ascii="Bookman Old Style" w:eastAsiaTheme="minorEastAsia" w:hAnsi="Bookman Old Style"/>
        </w:rPr>
      </w:pPr>
    </w:p>
    <w:p w14:paraId="0FEB83F6" w14:textId="1A1A2784" w:rsidR="002A6A13" w:rsidRDefault="002A6A13" w:rsidP="005451CD">
      <w:pPr>
        <w:spacing w:after="0" w:line="240" w:lineRule="auto"/>
        <w:jc w:val="both"/>
        <w:rPr>
          <w:rFonts w:ascii="Bookman Old Style" w:eastAsiaTheme="minorEastAsia" w:hAnsi="Bookman Old Style"/>
        </w:rPr>
      </w:pPr>
      <w:r>
        <w:rPr>
          <w:rFonts w:ascii="Bookman Old Style" w:eastAsiaTheme="minorEastAsia" w:hAnsi="Bookman Old Style"/>
        </w:rPr>
        <w:t>What’s the IRR?</w:t>
      </w:r>
    </w:p>
    <w:p w14:paraId="2ADF1998" w14:textId="77777777" w:rsidR="00BA5DD9" w:rsidRDefault="00BA5DD9" w:rsidP="005451CD">
      <w:pPr>
        <w:spacing w:after="0" w:line="240" w:lineRule="auto"/>
        <w:jc w:val="both"/>
        <w:rPr>
          <w:rFonts w:ascii="Bookman Old Style" w:eastAsiaTheme="minorEastAsia" w:hAnsi="Bookman Old Style"/>
        </w:rPr>
      </w:pPr>
    </w:p>
    <w:p w14:paraId="4BE5A8B8" w14:textId="77D4F11C" w:rsidR="00BA5DD9" w:rsidRDefault="00BA5DD9" w:rsidP="005451CD">
      <w:pPr>
        <w:spacing w:after="0" w:line="240" w:lineRule="auto"/>
        <w:jc w:val="both"/>
        <w:rPr>
          <w:rFonts w:ascii="Bookman Old Style" w:eastAsiaTheme="minorEastAsia" w:hAnsi="Bookman Old Style"/>
        </w:rPr>
      </w:pPr>
      <w:r>
        <w:rPr>
          <w:rFonts w:ascii="Bookman Old Style" w:eastAsiaTheme="minorEastAsia" w:hAnsi="Bookman Old Style"/>
        </w:rPr>
        <w:t>To find out, we draw the NPV profile below:</w:t>
      </w:r>
    </w:p>
    <w:p w14:paraId="44868624" w14:textId="77777777" w:rsidR="00BA5DD9" w:rsidRDefault="00BA5DD9" w:rsidP="005451CD">
      <w:pPr>
        <w:spacing w:after="0" w:line="240" w:lineRule="auto"/>
        <w:jc w:val="both"/>
        <w:rPr>
          <w:rFonts w:ascii="Bookman Old Style" w:eastAsiaTheme="minorEastAsia" w:hAnsi="Bookman Old Style"/>
        </w:rPr>
      </w:pPr>
    </w:p>
    <w:p w14:paraId="3F32BDCD" w14:textId="08D5BF4A" w:rsidR="00BA5DD9" w:rsidRDefault="00BA5DD9" w:rsidP="00BA5DD9">
      <w:pPr>
        <w:spacing w:after="0" w:line="240" w:lineRule="auto"/>
        <w:jc w:val="center"/>
        <w:rPr>
          <w:rFonts w:ascii="Bookman Old Style" w:eastAsiaTheme="minorEastAsia" w:hAnsi="Bookman Old Style"/>
        </w:rPr>
      </w:pPr>
      <w:r>
        <w:rPr>
          <w:rFonts w:ascii="Bookman Old Style" w:eastAsiaTheme="minorEastAsia" w:hAnsi="Bookman Old Style"/>
          <w:noProof/>
        </w:rPr>
        <w:drawing>
          <wp:inline distT="0" distB="0" distL="0" distR="0" wp14:anchorId="0B183800" wp14:editId="0C26B109">
            <wp:extent cx="2850776" cy="1751960"/>
            <wp:effectExtent l="0" t="0" r="26035" b="2032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5FC4619" w14:textId="77777777" w:rsidR="002A6A13" w:rsidRDefault="002A6A13" w:rsidP="005451CD">
      <w:pPr>
        <w:spacing w:after="0" w:line="240" w:lineRule="auto"/>
        <w:jc w:val="both"/>
        <w:rPr>
          <w:rFonts w:ascii="Bookman Old Style" w:eastAsiaTheme="minorEastAsia" w:hAnsi="Bookman Old Style"/>
        </w:rPr>
      </w:pPr>
    </w:p>
    <w:p w14:paraId="43624E6E" w14:textId="77234A50" w:rsidR="00BA5DD9" w:rsidRDefault="00BA5DD9" w:rsidP="005451CD">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Notice that the NPV is zero when the discount rate is 25% - so this is the IRR. Or is it? The NPV is also zero at 33 ½%. Which of these is correct?</w:t>
      </w:r>
    </w:p>
    <w:p w14:paraId="1AE24FFD" w14:textId="77777777" w:rsidR="00BA5DD9" w:rsidRDefault="00BA5DD9" w:rsidP="005451CD">
      <w:pPr>
        <w:spacing w:after="0" w:line="240" w:lineRule="auto"/>
        <w:jc w:val="both"/>
        <w:rPr>
          <w:rFonts w:ascii="Bookman Old Style" w:eastAsiaTheme="minorEastAsia" w:hAnsi="Bookman Old Style"/>
        </w:rPr>
      </w:pPr>
    </w:p>
    <w:p w14:paraId="1FE6E21D" w14:textId="5FF62EB2" w:rsidR="00BA5DD9" w:rsidRDefault="00BA5DD9" w:rsidP="005451CD">
      <w:pPr>
        <w:spacing w:after="0" w:line="240" w:lineRule="auto"/>
        <w:jc w:val="both"/>
        <w:rPr>
          <w:rFonts w:ascii="Bookman Old Style" w:eastAsiaTheme="minorEastAsia" w:hAnsi="Bookman Old Style"/>
        </w:rPr>
      </w:pPr>
      <w:r>
        <w:rPr>
          <w:rFonts w:ascii="Bookman Old Style" w:eastAsiaTheme="minorEastAsia" w:hAnsi="Bookman Old Style"/>
        </w:rPr>
        <w:t xml:space="preserve">The answer is both or neither; more precisely, there’s no unambiguously correct answer. This is the </w:t>
      </w:r>
      <w:r>
        <w:rPr>
          <w:rFonts w:ascii="Bookman Old Style" w:eastAsiaTheme="minorEastAsia" w:hAnsi="Bookman Old Style"/>
          <w:b/>
        </w:rPr>
        <w:t>multiple rates of return</w:t>
      </w:r>
      <w:r>
        <w:rPr>
          <w:rFonts w:ascii="Bookman Old Style" w:eastAsiaTheme="minorEastAsia" w:hAnsi="Bookman Old Style"/>
        </w:rPr>
        <w:t xml:space="preserve"> problem</w:t>
      </w:r>
      <w:r w:rsidR="0049782B">
        <w:rPr>
          <w:rFonts w:ascii="Bookman Old Style" w:eastAsiaTheme="minorEastAsia" w:hAnsi="Bookman Old Style"/>
        </w:rPr>
        <w:t>. Many financial computer packages aren’t aware of this problem and just report the first IRR that’s found. Others report only the smallest positive IRR, even though this answer is no better than any other.</w:t>
      </w:r>
    </w:p>
    <w:p w14:paraId="026A5B3A" w14:textId="77777777" w:rsidR="0049782B" w:rsidRDefault="0049782B" w:rsidP="005451CD">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49782B" w14:paraId="1BCBC676" w14:textId="77777777" w:rsidTr="0049782B">
        <w:tc>
          <w:tcPr>
            <w:tcW w:w="9576" w:type="dxa"/>
          </w:tcPr>
          <w:p w14:paraId="738964B8" w14:textId="39D589CB" w:rsidR="0049782B" w:rsidRDefault="0049782B" w:rsidP="005451CD">
            <w:pPr>
              <w:jc w:val="both"/>
              <w:rPr>
                <w:rFonts w:ascii="Bookman Old Style" w:eastAsiaTheme="minorEastAsia" w:hAnsi="Bookman Old Style"/>
              </w:rPr>
            </w:pPr>
          </w:p>
          <w:p w14:paraId="7FD21751" w14:textId="77777777" w:rsidR="0049782B" w:rsidRDefault="0049782B" w:rsidP="005451CD">
            <w:pPr>
              <w:jc w:val="both"/>
              <w:rPr>
                <w:rFonts w:ascii="Bookman Old Style" w:eastAsiaTheme="minorEastAsia" w:hAnsi="Bookman Old Style"/>
              </w:rPr>
            </w:pPr>
            <w:r>
              <w:rPr>
                <w:rFonts w:ascii="Bookman Old Style" w:eastAsiaTheme="minorEastAsia" w:hAnsi="Bookman Old Style"/>
                <w:b/>
              </w:rPr>
              <w:t>Multiple Rates of Return</w:t>
            </w:r>
            <w:r>
              <w:rPr>
                <w:rFonts w:ascii="Bookman Old Style" w:eastAsiaTheme="minorEastAsia" w:hAnsi="Bookman Old Style"/>
              </w:rPr>
              <w:t xml:space="preserve"> – One potential problem in using the IRR method if more than one discount rate makes the NPV of an investment zero.</w:t>
            </w:r>
          </w:p>
          <w:p w14:paraId="6C1C7BF1" w14:textId="1136D690" w:rsidR="0049782B" w:rsidRPr="0049782B" w:rsidRDefault="0049782B" w:rsidP="005451CD">
            <w:pPr>
              <w:jc w:val="both"/>
              <w:rPr>
                <w:rFonts w:ascii="Bookman Old Style" w:eastAsiaTheme="minorEastAsia" w:hAnsi="Bookman Old Style"/>
              </w:rPr>
            </w:pPr>
          </w:p>
        </w:tc>
      </w:tr>
    </w:tbl>
    <w:p w14:paraId="453A7D83" w14:textId="77777777" w:rsidR="0049782B" w:rsidRDefault="0049782B" w:rsidP="005451CD">
      <w:pPr>
        <w:spacing w:after="0" w:line="240" w:lineRule="auto"/>
        <w:jc w:val="both"/>
        <w:rPr>
          <w:rFonts w:ascii="Bookman Old Style" w:eastAsiaTheme="minorEastAsia" w:hAnsi="Bookman Old Style"/>
        </w:rPr>
      </w:pPr>
    </w:p>
    <w:p w14:paraId="501404E4" w14:textId="18642AF6" w:rsidR="0049782B" w:rsidRDefault="0049782B" w:rsidP="005451CD">
      <w:pPr>
        <w:spacing w:after="0" w:line="240" w:lineRule="auto"/>
        <w:jc w:val="both"/>
        <w:rPr>
          <w:rFonts w:ascii="Bookman Old Style" w:eastAsiaTheme="minorEastAsia" w:hAnsi="Bookman Old Style"/>
        </w:rPr>
      </w:pPr>
      <w:r>
        <w:rPr>
          <w:rFonts w:ascii="Bookman Old Style" w:eastAsiaTheme="minorEastAsia" w:hAnsi="Bookman Old Style"/>
        </w:rPr>
        <w:t>So in this problem, our IRR rule breaks down completely.</w:t>
      </w:r>
    </w:p>
    <w:p w14:paraId="2B0C77FF" w14:textId="77777777" w:rsidR="0049782B" w:rsidRDefault="0049782B" w:rsidP="005451CD">
      <w:pPr>
        <w:spacing w:after="0" w:line="240" w:lineRule="auto"/>
        <w:jc w:val="both"/>
        <w:rPr>
          <w:rFonts w:ascii="Bookman Old Style" w:eastAsiaTheme="minorEastAsia" w:hAnsi="Bookman Old Style"/>
        </w:rPr>
      </w:pPr>
    </w:p>
    <w:p w14:paraId="2331FF8F" w14:textId="166F3F05" w:rsidR="0049782B" w:rsidRDefault="0049782B" w:rsidP="005451CD">
      <w:pPr>
        <w:spacing w:after="0" w:line="240" w:lineRule="auto"/>
        <w:jc w:val="both"/>
        <w:rPr>
          <w:rFonts w:ascii="Bookman Old Style" w:eastAsiaTheme="minorEastAsia" w:hAnsi="Bookman Old Style"/>
        </w:rPr>
      </w:pPr>
      <w:r>
        <w:rPr>
          <w:rFonts w:ascii="Bookman Old Style" w:eastAsiaTheme="minorEastAsia" w:hAnsi="Bookman Old Style"/>
        </w:rPr>
        <w:t>If our required return was 10%, should we take the investment? Both IRRs are greater than 10%, maybe we should. But as the graph shows, the NPV is negative at any discount rate less than 25%, so this isn’t a good investment.</w:t>
      </w:r>
    </w:p>
    <w:p w14:paraId="5302331A" w14:textId="77777777" w:rsidR="0049782B" w:rsidRDefault="0049782B" w:rsidP="005451CD">
      <w:pPr>
        <w:spacing w:after="0" w:line="240" w:lineRule="auto"/>
        <w:jc w:val="both"/>
        <w:rPr>
          <w:rFonts w:ascii="Bookman Old Style" w:eastAsiaTheme="minorEastAsia" w:hAnsi="Bookman Old Style"/>
        </w:rPr>
      </w:pPr>
    </w:p>
    <w:p w14:paraId="44D15CBC" w14:textId="79227480" w:rsidR="0049782B" w:rsidRDefault="0049782B" w:rsidP="005451CD">
      <w:pPr>
        <w:spacing w:after="0" w:line="240" w:lineRule="auto"/>
        <w:jc w:val="both"/>
        <w:rPr>
          <w:rFonts w:ascii="Bookman Old Style" w:eastAsiaTheme="minorEastAsia" w:hAnsi="Bookman Old Style"/>
        </w:rPr>
      </w:pPr>
      <w:r>
        <w:rPr>
          <w:rFonts w:ascii="Bookman Old Style" w:eastAsiaTheme="minorEastAsia" w:hAnsi="Bookman Old Style"/>
        </w:rPr>
        <w:t>When should we take it?</w:t>
      </w:r>
    </w:p>
    <w:p w14:paraId="4F833F5B" w14:textId="1E15D47C" w:rsidR="0049782B" w:rsidRDefault="0049782B" w:rsidP="005451CD">
      <w:pPr>
        <w:spacing w:after="0" w:line="240" w:lineRule="auto"/>
        <w:jc w:val="both"/>
        <w:rPr>
          <w:rFonts w:ascii="Bookman Old Style" w:eastAsiaTheme="minorEastAsia" w:hAnsi="Bookman Old Style"/>
        </w:rPr>
      </w:pPr>
      <w:r>
        <w:rPr>
          <w:rFonts w:ascii="Bookman Old Style" w:eastAsiaTheme="minorEastAsia" w:hAnsi="Bookman Old Style"/>
        </w:rPr>
        <w:t>Looking at the figure again, the NPV is positive only if our required return is between 25 and 33 ½ %.</w:t>
      </w:r>
    </w:p>
    <w:p w14:paraId="66C7E7D5" w14:textId="77777777" w:rsidR="0049782B" w:rsidRDefault="0049782B" w:rsidP="005451CD">
      <w:pPr>
        <w:spacing w:after="0" w:line="240" w:lineRule="auto"/>
        <w:jc w:val="both"/>
        <w:rPr>
          <w:rFonts w:ascii="Bookman Old Style" w:eastAsiaTheme="minorEastAsia" w:hAnsi="Bookman Old Style"/>
        </w:rPr>
      </w:pPr>
    </w:p>
    <w:p w14:paraId="4685676C" w14:textId="78B50ED4" w:rsidR="0049782B" w:rsidRDefault="0049782B" w:rsidP="005451CD">
      <w:pPr>
        <w:spacing w:after="0" w:line="240" w:lineRule="auto"/>
        <w:jc w:val="both"/>
        <w:rPr>
          <w:rFonts w:ascii="Bookman Old Style" w:eastAsiaTheme="minorEastAsia" w:hAnsi="Bookman Old Style"/>
        </w:rPr>
      </w:pPr>
      <w:r>
        <w:rPr>
          <w:rFonts w:ascii="Bookman Old Style" w:eastAsiaTheme="minorEastAsia" w:hAnsi="Bookman Old Style"/>
        </w:rPr>
        <w:t>Non-conventional cash flows occur when a project has an outlay (negative cash flow) at the end (or in some intermediate period in the life of a project) as well as the beginning.</w:t>
      </w:r>
    </w:p>
    <w:p w14:paraId="06DD73ED" w14:textId="77777777" w:rsidR="0049782B" w:rsidRDefault="0049782B" w:rsidP="005451CD">
      <w:pPr>
        <w:spacing w:after="0" w:line="240" w:lineRule="auto"/>
        <w:jc w:val="both"/>
        <w:rPr>
          <w:rFonts w:ascii="Bookman Old Style" w:eastAsiaTheme="minorEastAsia" w:hAnsi="Bookman Old Style"/>
        </w:rPr>
      </w:pPr>
    </w:p>
    <w:p w14:paraId="5506E302" w14:textId="45A21CAA" w:rsidR="0049782B" w:rsidRPr="00BA5DD9" w:rsidRDefault="0049782B" w:rsidP="005451CD">
      <w:pPr>
        <w:spacing w:after="0" w:line="240" w:lineRule="auto"/>
        <w:jc w:val="both"/>
        <w:rPr>
          <w:rFonts w:ascii="Bookman Old Style" w:eastAsiaTheme="minorEastAsia" w:hAnsi="Bookman Old Style"/>
        </w:rPr>
      </w:pPr>
      <w:r>
        <w:rPr>
          <w:rFonts w:ascii="Bookman Old Style" w:eastAsiaTheme="minorEastAsia" w:hAnsi="Bookman Old Style"/>
        </w:rPr>
        <w:t>Basically, when cash flows aren’t conventional, strange things can start to happen to the IRR – but the NPV rule works fine. This shows that, oddly enough, the obvious questions – what’s the rate of return? – may not always have a good answer.</w:t>
      </w:r>
    </w:p>
    <w:p w14:paraId="37C626B3" w14:textId="77777777" w:rsidR="002A6A13" w:rsidRPr="002A6A13" w:rsidRDefault="002A6A13" w:rsidP="005451CD">
      <w:pPr>
        <w:spacing w:after="0" w:line="240" w:lineRule="auto"/>
        <w:jc w:val="both"/>
        <w:rPr>
          <w:rFonts w:ascii="Bookman Old Style" w:eastAsiaTheme="minorEastAsia" w:hAnsi="Bookman Old Style"/>
        </w:rPr>
      </w:pPr>
    </w:p>
    <w:p w14:paraId="4D758579" w14:textId="77777777" w:rsidR="002A6A13" w:rsidRDefault="002A6A13" w:rsidP="005451CD">
      <w:pPr>
        <w:spacing w:after="0" w:line="240" w:lineRule="auto"/>
        <w:jc w:val="both"/>
        <w:rPr>
          <w:rFonts w:ascii="Bookman Old Style" w:eastAsiaTheme="minorEastAsia" w:hAnsi="Bookman Old Style"/>
          <w:b/>
          <w:i/>
        </w:rPr>
      </w:pPr>
    </w:p>
    <w:p w14:paraId="1D871CDB" w14:textId="0CCFA5E5" w:rsidR="0049782B" w:rsidRPr="0049782B" w:rsidRDefault="0049782B" w:rsidP="005451CD">
      <w:pPr>
        <w:spacing w:after="0" w:line="240" w:lineRule="auto"/>
        <w:jc w:val="both"/>
        <w:rPr>
          <w:rFonts w:ascii="Bookman Old Style" w:eastAsiaTheme="minorEastAsia" w:hAnsi="Bookman Old Style"/>
          <w:u w:val="single"/>
        </w:rPr>
      </w:pPr>
      <w:r w:rsidRPr="0049782B">
        <w:rPr>
          <w:rFonts w:ascii="Bookman Old Style" w:eastAsiaTheme="minorEastAsia" w:hAnsi="Bookman Old Style"/>
          <w:b/>
          <w:u w:val="single"/>
        </w:rPr>
        <w:t>2. Mutually Exclusive Investments</w:t>
      </w:r>
    </w:p>
    <w:p w14:paraId="3127FA58" w14:textId="77777777" w:rsidR="0049782B" w:rsidRDefault="0049782B" w:rsidP="005451CD">
      <w:pPr>
        <w:spacing w:after="0" w:line="240" w:lineRule="auto"/>
        <w:jc w:val="both"/>
        <w:rPr>
          <w:rFonts w:ascii="Bookman Old Style" w:eastAsiaTheme="minorEastAsia" w:hAnsi="Bookman Old Style"/>
        </w:rPr>
      </w:pPr>
    </w:p>
    <w:p w14:paraId="151C040E" w14:textId="11ECEB2F" w:rsidR="0049782B" w:rsidRDefault="0049782B" w:rsidP="005451CD">
      <w:pPr>
        <w:spacing w:after="0" w:line="240" w:lineRule="auto"/>
        <w:jc w:val="both"/>
        <w:rPr>
          <w:rFonts w:ascii="Bookman Old Style" w:eastAsiaTheme="minorEastAsia" w:hAnsi="Bookman Old Style"/>
        </w:rPr>
      </w:pPr>
      <w:r>
        <w:rPr>
          <w:rFonts w:ascii="Bookman Old Style" w:eastAsiaTheme="minorEastAsia" w:hAnsi="Bookman Old Style"/>
        </w:rPr>
        <w:t xml:space="preserve">Even if there’s a single IRR, another problem can come up concerning </w:t>
      </w:r>
      <w:r>
        <w:rPr>
          <w:rFonts w:ascii="Bookman Old Style" w:eastAsiaTheme="minorEastAsia" w:hAnsi="Bookman Old Style"/>
          <w:b/>
        </w:rPr>
        <w:t>mutually exclusive investment decisions</w:t>
      </w:r>
      <w:r>
        <w:rPr>
          <w:rFonts w:ascii="Bookman Old Style" w:eastAsiaTheme="minorEastAsia" w:hAnsi="Bookman Old Style"/>
        </w:rPr>
        <w:t>. If 2 investments, X and Y, are mutually exclusive, then taking one of them means we can’t take the other.</w:t>
      </w:r>
    </w:p>
    <w:p w14:paraId="4C401BED" w14:textId="77777777" w:rsidR="0049782B" w:rsidRDefault="0049782B" w:rsidP="005451CD">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49782B" w14:paraId="21EF930C" w14:textId="77777777" w:rsidTr="0049782B">
        <w:tc>
          <w:tcPr>
            <w:tcW w:w="9576" w:type="dxa"/>
          </w:tcPr>
          <w:p w14:paraId="7EE90806" w14:textId="0F87C97A" w:rsidR="0049782B" w:rsidRDefault="0049782B" w:rsidP="005451CD">
            <w:pPr>
              <w:jc w:val="both"/>
              <w:rPr>
                <w:rFonts w:ascii="Bookman Old Style" w:eastAsiaTheme="minorEastAsia" w:hAnsi="Bookman Old Style"/>
              </w:rPr>
            </w:pPr>
          </w:p>
          <w:p w14:paraId="7FCDA6E0" w14:textId="77777777" w:rsidR="0049782B" w:rsidRDefault="0049782B" w:rsidP="0049782B">
            <w:pPr>
              <w:jc w:val="both"/>
              <w:rPr>
                <w:rFonts w:ascii="Bookman Old Style" w:eastAsiaTheme="minorEastAsia" w:hAnsi="Bookman Old Style"/>
              </w:rPr>
            </w:pPr>
            <w:r>
              <w:rPr>
                <w:rFonts w:ascii="Bookman Old Style" w:eastAsiaTheme="minorEastAsia" w:hAnsi="Bookman Old Style"/>
                <w:b/>
              </w:rPr>
              <w:t>Mutually Exclusive Investment Decisions</w:t>
            </w:r>
            <w:r>
              <w:rPr>
                <w:rFonts w:ascii="Bookman Old Style" w:eastAsiaTheme="minorEastAsia" w:hAnsi="Bookman Old Style"/>
              </w:rPr>
              <w:t xml:space="preserve"> – One potential problem in using the IRR method is the acceptance of one project excludes that of another.</w:t>
            </w:r>
          </w:p>
          <w:p w14:paraId="4600A610" w14:textId="44D6CEF0" w:rsidR="0049782B" w:rsidRPr="0049782B" w:rsidRDefault="0049782B" w:rsidP="0049782B">
            <w:pPr>
              <w:jc w:val="both"/>
              <w:rPr>
                <w:rFonts w:ascii="Bookman Old Style" w:eastAsiaTheme="minorEastAsia" w:hAnsi="Bookman Old Style"/>
              </w:rPr>
            </w:pPr>
          </w:p>
        </w:tc>
      </w:tr>
    </w:tbl>
    <w:p w14:paraId="7131B9C9" w14:textId="77777777" w:rsidR="0049782B" w:rsidRDefault="0049782B" w:rsidP="005451CD">
      <w:pPr>
        <w:spacing w:after="0" w:line="240" w:lineRule="auto"/>
        <w:jc w:val="both"/>
        <w:rPr>
          <w:rFonts w:ascii="Bookman Old Style" w:eastAsiaTheme="minorEastAsia" w:hAnsi="Bookman Old Style"/>
        </w:rPr>
      </w:pPr>
    </w:p>
    <w:p w14:paraId="47011A06" w14:textId="420847CD" w:rsidR="008B725D" w:rsidRDefault="008B725D" w:rsidP="005451CD">
      <w:pPr>
        <w:spacing w:after="0" w:line="240" w:lineRule="auto"/>
        <w:jc w:val="both"/>
        <w:rPr>
          <w:rFonts w:ascii="Bookman Old Style" w:eastAsiaTheme="minorEastAsia" w:hAnsi="Bookman Old Style"/>
        </w:rPr>
      </w:pPr>
      <w:r>
        <w:rPr>
          <w:rFonts w:ascii="Bookman Old Style" w:eastAsiaTheme="minorEastAsia" w:hAnsi="Bookman Old Style"/>
        </w:rPr>
        <w:t>As an example, if we own one corner lot, we can build a gas station or an apartment building, but not both – these are mutually exclusive alternatives.</w:t>
      </w:r>
    </w:p>
    <w:p w14:paraId="300EC780" w14:textId="77777777" w:rsidR="008B725D" w:rsidRDefault="008B725D" w:rsidP="005451CD">
      <w:pPr>
        <w:spacing w:after="0" w:line="240" w:lineRule="auto"/>
        <w:jc w:val="both"/>
        <w:rPr>
          <w:rFonts w:ascii="Bookman Old Style" w:eastAsiaTheme="minorEastAsia" w:hAnsi="Bookman Old Style"/>
        </w:rPr>
      </w:pPr>
    </w:p>
    <w:p w14:paraId="52B75631" w14:textId="40746CAF" w:rsidR="008B725D" w:rsidRDefault="008B725D" w:rsidP="005451CD">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At this point, we’ve asked whether or not a given investment is worth undertaking – a related question comes up though: Give 2 or more mutually exclusive investments, which one is the best?</w:t>
      </w:r>
    </w:p>
    <w:p w14:paraId="55F5596C" w14:textId="77777777" w:rsidR="008B725D" w:rsidRDefault="008B725D" w:rsidP="005451CD">
      <w:pPr>
        <w:spacing w:after="0" w:line="240" w:lineRule="auto"/>
        <w:jc w:val="both"/>
        <w:rPr>
          <w:rFonts w:ascii="Bookman Old Style" w:eastAsiaTheme="minorEastAsia" w:hAnsi="Bookman Old Style"/>
        </w:rPr>
      </w:pPr>
    </w:p>
    <w:p w14:paraId="4D7A575B" w14:textId="5B8BD66C" w:rsidR="008B725D" w:rsidRDefault="008B725D" w:rsidP="005451CD">
      <w:pPr>
        <w:spacing w:after="0" w:line="240" w:lineRule="auto"/>
        <w:jc w:val="both"/>
        <w:rPr>
          <w:rFonts w:ascii="Bookman Old Style" w:eastAsiaTheme="minorEastAsia" w:hAnsi="Bookman Old Style"/>
        </w:rPr>
      </w:pPr>
      <w:r>
        <w:rPr>
          <w:rFonts w:ascii="Bookman Old Style" w:eastAsiaTheme="minorEastAsia" w:hAnsi="Bookman Old Style"/>
        </w:rPr>
        <w:t xml:space="preserve">The answer is actually simple </w:t>
      </w:r>
      <w:r w:rsidRPr="008B725D">
        <w:rPr>
          <w:rFonts w:ascii="Bookman Old Style" w:eastAsiaTheme="minorEastAsia" w:hAnsi="Bookman Old Style"/>
        </w:rPr>
        <w:sym w:font="Wingdings" w:char="F0E0"/>
      </w:r>
      <w:r>
        <w:rPr>
          <w:rFonts w:ascii="Bookman Old Style" w:eastAsiaTheme="minorEastAsia" w:hAnsi="Bookman Old Style"/>
        </w:rPr>
        <w:t xml:space="preserve"> </w:t>
      </w:r>
      <w:proofErr w:type="gramStart"/>
      <w:r>
        <w:rPr>
          <w:rFonts w:ascii="Bookman Old Style" w:eastAsiaTheme="minorEastAsia" w:hAnsi="Bookman Old Style"/>
        </w:rPr>
        <w:t>The</w:t>
      </w:r>
      <w:proofErr w:type="gramEnd"/>
      <w:r>
        <w:rPr>
          <w:rFonts w:ascii="Bookman Old Style" w:eastAsiaTheme="minorEastAsia" w:hAnsi="Bookman Old Style"/>
        </w:rPr>
        <w:t xml:space="preserve"> best one is the one with the largest NPV.</w:t>
      </w:r>
    </w:p>
    <w:p w14:paraId="1EDB3BA4" w14:textId="77777777" w:rsidR="008B725D" w:rsidRDefault="008B725D" w:rsidP="005451CD">
      <w:pPr>
        <w:spacing w:after="0" w:line="240" w:lineRule="auto"/>
        <w:jc w:val="both"/>
        <w:rPr>
          <w:rFonts w:ascii="Bookman Old Style" w:eastAsiaTheme="minorEastAsia" w:hAnsi="Bookman Old Style"/>
        </w:rPr>
      </w:pPr>
    </w:p>
    <w:p w14:paraId="1EADD0E4" w14:textId="0C741179" w:rsidR="008B725D" w:rsidRDefault="008B725D" w:rsidP="005451CD">
      <w:pPr>
        <w:spacing w:after="0" w:line="240" w:lineRule="auto"/>
        <w:jc w:val="both"/>
        <w:rPr>
          <w:rFonts w:ascii="Bookman Old Style" w:eastAsiaTheme="minorEastAsia" w:hAnsi="Bookman Old Style"/>
        </w:rPr>
      </w:pPr>
      <w:r>
        <w:rPr>
          <w:rFonts w:ascii="Bookman Old Style" w:eastAsiaTheme="minorEastAsia" w:hAnsi="Bookman Old Style"/>
        </w:rPr>
        <w:t>Can we also say that the best one has the highest return? No.</w:t>
      </w:r>
    </w:p>
    <w:p w14:paraId="5BCF0188" w14:textId="77777777" w:rsidR="008B725D" w:rsidRDefault="008B725D" w:rsidP="005451CD">
      <w:pPr>
        <w:spacing w:after="0" w:line="240" w:lineRule="auto"/>
        <w:jc w:val="both"/>
        <w:rPr>
          <w:rFonts w:ascii="Bookman Old Style" w:eastAsiaTheme="minorEastAsia" w:hAnsi="Bookman Old Style"/>
        </w:rPr>
      </w:pPr>
    </w:p>
    <w:p w14:paraId="2F7AAF8D" w14:textId="53053066" w:rsidR="008B725D" w:rsidRDefault="008B725D" w:rsidP="005451CD">
      <w:pPr>
        <w:spacing w:after="0" w:line="240" w:lineRule="auto"/>
        <w:jc w:val="both"/>
        <w:rPr>
          <w:rFonts w:ascii="Bookman Old Style" w:eastAsiaTheme="minorEastAsia" w:hAnsi="Bookman Old Style"/>
        </w:rPr>
      </w:pPr>
      <w:r>
        <w:rPr>
          <w:rFonts w:ascii="Bookman Old Style" w:eastAsiaTheme="minorEastAsia" w:hAnsi="Bookman Old Style"/>
        </w:rPr>
        <w:t>To illustrate the problem with the IRR rule and mutually exclusive investments, consider the cash flows from the following 2 mutually exclusive investments:</w:t>
      </w:r>
    </w:p>
    <w:p w14:paraId="059C2A08" w14:textId="77777777" w:rsidR="008B725D" w:rsidRDefault="008B725D" w:rsidP="005451CD">
      <w:pPr>
        <w:spacing w:after="0" w:line="240" w:lineRule="auto"/>
        <w:jc w:val="both"/>
        <w:rPr>
          <w:rFonts w:ascii="Bookman Old Style" w:eastAsiaTheme="minorEastAsia" w:hAnsi="Bookman Old Style"/>
        </w:rPr>
      </w:pPr>
    </w:p>
    <w:tbl>
      <w:tblPr>
        <w:tblStyle w:val="LightShading"/>
        <w:tblW w:w="0" w:type="auto"/>
        <w:jc w:val="center"/>
        <w:tblLook w:val="04A0" w:firstRow="1" w:lastRow="0" w:firstColumn="1" w:lastColumn="0" w:noHBand="0" w:noVBand="1"/>
      </w:tblPr>
      <w:tblGrid>
        <w:gridCol w:w="1008"/>
        <w:gridCol w:w="3240"/>
        <w:gridCol w:w="2070"/>
      </w:tblGrid>
      <w:tr w:rsidR="008B725D" w14:paraId="0AE35115" w14:textId="77777777" w:rsidTr="008B725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08" w:type="dxa"/>
          </w:tcPr>
          <w:p w14:paraId="4DAE1859" w14:textId="75A22724" w:rsidR="008B725D" w:rsidRDefault="008B725D" w:rsidP="008B725D">
            <w:pPr>
              <w:jc w:val="center"/>
              <w:rPr>
                <w:rFonts w:ascii="Bookman Old Style" w:eastAsiaTheme="minorEastAsia" w:hAnsi="Bookman Old Style"/>
              </w:rPr>
            </w:pPr>
            <w:r>
              <w:rPr>
                <w:rFonts w:ascii="Bookman Old Style" w:eastAsiaTheme="minorEastAsia" w:hAnsi="Bookman Old Style"/>
              </w:rPr>
              <w:t>Year</w:t>
            </w:r>
          </w:p>
        </w:tc>
        <w:tc>
          <w:tcPr>
            <w:tcW w:w="3240" w:type="dxa"/>
          </w:tcPr>
          <w:p w14:paraId="2AE8EC85" w14:textId="68C480FE" w:rsidR="008B725D" w:rsidRDefault="008B725D" w:rsidP="008B725D">
            <w:pPr>
              <w:jc w:val="center"/>
              <w:cnfStyle w:val="100000000000" w:firstRow="1" w:lastRow="0" w:firstColumn="0" w:lastColumn="0" w:oddVBand="0" w:evenVBand="0" w:oddHBand="0"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Investment A</w:t>
            </w:r>
          </w:p>
        </w:tc>
        <w:tc>
          <w:tcPr>
            <w:tcW w:w="2070" w:type="dxa"/>
          </w:tcPr>
          <w:p w14:paraId="44C66A28" w14:textId="55958649" w:rsidR="008B725D" w:rsidRDefault="008B725D" w:rsidP="008B725D">
            <w:pPr>
              <w:jc w:val="center"/>
              <w:cnfStyle w:val="100000000000" w:firstRow="1" w:lastRow="0" w:firstColumn="0" w:lastColumn="0" w:oddVBand="0" w:evenVBand="0" w:oddHBand="0"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Investment B</w:t>
            </w:r>
          </w:p>
        </w:tc>
      </w:tr>
      <w:tr w:rsidR="008B725D" w14:paraId="2AC4FD81" w14:textId="77777777" w:rsidTr="008B72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08" w:type="dxa"/>
          </w:tcPr>
          <w:p w14:paraId="4DAA5038" w14:textId="644D7B94" w:rsidR="008B725D" w:rsidRPr="008B725D" w:rsidRDefault="008B725D" w:rsidP="008B725D">
            <w:pPr>
              <w:jc w:val="center"/>
              <w:rPr>
                <w:rFonts w:ascii="Bookman Old Style" w:eastAsiaTheme="minorEastAsia" w:hAnsi="Bookman Old Style"/>
                <w:b w:val="0"/>
              </w:rPr>
            </w:pPr>
            <w:r w:rsidRPr="008B725D">
              <w:rPr>
                <w:rFonts w:ascii="Bookman Old Style" w:eastAsiaTheme="minorEastAsia" w:hAnsi="Bookman Old Style"/>
                <w:b w:val="0"/>
              </w:rPr>
              <w:t>0</w:t>
            </w:r>
          </w:p>
        </w:tc>
        <w:tc>
          <w:tcPr>
            <w:tcW w:w="3240" w:type="dxa"/>
          </w:tcPr>
          <w:p w14:paraId="19D45A06" w14:textId="0B8ACD89" w:rsidR="008B725D" w:rsidRDefault="008B725D" w:rsidP="008B725D">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-$100</w:t>
            </w:r>
          </w:p>
        </w:tc>
        <w:tc>
          <w:tcPr>
            <w:tcW w:w="2070" w:type="dxa"/>
          </w:tcPr>
          <w:p w14:paraId="028E5E51" w14:textId="66FBC268" w:rsidR="008B725D" w:rsidRDefault="008B725D" w:rsidP="008B725D">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-$100</w:t>
            </w:r>
          </w:p>
        </w:tc>
      </w:tr>
      <w:tr w:rsidR="008B725D" w14:paraId="78BF6FBF" w14:textId="77777777" w:rsidTr="008B725D">
        <w:trPr>
          <w:jc w:val="center"/>
        </w:trPr>
        <w:tc>
          <w:tcPr>
            <w:cnfStyle w:val="001000000000" w:firstRow="0" w:lastRow="0" w:firstColumn="1" w:lastColumn="0" w:oddVBand="0" w:evenVBand="0" w:oddHBand="0" w:evenHBand="0" w:firstRowFirstColumn="0" w:firstRowLastColumn="0" w:lastRowFirstColumn="0" w:lastRowLastColumn="0"/>
            <w:tcW w:w="1008" w:type="dxa"/>
          </w:tcPr>
          <w:p w14:paraId="623DFA8E" w14:textId="635DEE1D" w:rsidR="008B725D" w:rsidRPr="008B725D" w:rsidRDefault="008B725D" w:rsidP="008B725D">
            <w:pPr>
              <w:jc w:val="center"/>
              <w:rPr>
                <w:rFonts w:ascii="Bookman Old Style" w:eastAsiaTheme="minorEastAsia" w:hAnsi="Bookman Old Style"/>
                <w:b w:val="0"/>
              </w:rPr>
            </w:pPr>
            <w:r w:rsidRPr="008B725D">
              <w:rPr>
                <w:rFonts w:ascii="Bookman Old Style" w:eastAsiaTheme="minorEastAsia" w:hAnsi="Bookman Old Style"/>
                <w:b w:val="0"/>
              </w:rPr>
              <w:t>1</w:t>
            </w:r>
          </w:p>
        </w:tc>
        <w:tc>
          <w:tcPr>
            <w:tcW w:w="3240" w:type="dxa"/>
          </w:tcPr>
          <w:p w14:paraId="7EC20F5F" w14:textId="2584C2AD" w:rsidR="008B725D" w:rsidRDefault="008B725D" w:rsidP="008B725D">
            <w:pPr>
              <w:jc w:val="center"/>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$50</w:t>
            </w:r>
          </w:p>
        </w:tc>
        <w:tc>
          <w:tcPr>
            <w:tcW w:w="2070" w:type="dxa"/>
          </w:tcPr>
          <w:p w14:paraId="75D49E07" w14:textId="712D2F27" w:rsidR="008B725D" w:rsidRDefault="008B725D" w:rsidP="008B725D">
            <w:pPr>
              <w:jc w:val="center"/>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$20</w:t>
            </w:r>
          </w:p>
        </w:tc>
      </w:tr>
      <w:tr w:rsidR="008B725D" w14:paraId="439CE8F7" w14:textId="77777777" w:rsidTr="008B72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08" w:type="dxa"/>
          </w:tcPr>
          <w:p w14:paraId="632EE04E" w14:textId="6D76CFDF" w:rsidR="008B725D" w:rsidRPr="008B725D" w:rsidRDefault="008B725D" w:rsidP="008B725D">
            <w:pPr>
              <w:jc w:val="center"/>
              <w:rPr>
                <w:rFonts w:ascii="Bookman Old Style" w:eastAsiaTheme="minorEastAsia" w:hAnsi="Bookman Old Style"/>
                <w:b w:val="0"/>
              </w:rPr>
            </w:pPr>
            <w:r w:rsidRPr="008B725D">
              <w:rPr>
                <w:rFonts w:ascii="Bookman Old Style" w:eastAsiaTheme="minorEastAsia" w:hAnsi="Bookman Old Style"/>
                <w:b w:val="0"/>
              </w:rPr>
              <w:t>2</w:t>
            </w:r>
          </w:p>
        </w:tc>
        <w:tc>
          <w:tcPr>
            <w:tcW w:w="3240" w:type="dxa"/>
          </w:tcPr>
          <w:p w14:paraId="185FFC29" w14:textId="02117CA6" w:rsidR="008B725D" w:rsidRDefault="008B725D" w:rsidP="008B725D">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$40</w:t>
            </w:r>
          </w:p>
        </w:tc>
        <w:tc>
          <w:tcPr>
            <w:tcW w:w="2070" w:type="dxa"/>
          </w:tcPr>
          <w:p w14:paraId="355972FB" w14:textId="73E7AFAA" w:rsidR="008B725D" w:rsidRDefault="008B725D" w:rsidP="008B725D">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$40</w:t>
            </w:r>
          </w:p>
        </w:tc>
      </w:tr>
      <w:tr w:rsidR="008B725D" w14:paraId="0642B3B3" w14:textId="77777777" w:rsidTr="008B725D">
        <w:trPr>
          <w:jc w:val="center"/>
        </w:trPr>
        <w:tc>
          <w:tcPr>
            <w:cnfStyle w:val="001000000000" w:firstRow="0" w:lastRow="0" w:firstColumn="1" w:lastColumn="0" w:oddVBand="0" w:evenVBand="0" w:oddHBand="0" w:evenHBand="0" w:firstRowFirstColumn="0" w:firstRowLastColumn="0" w:lastRowFirstColumn="0" w:lastRowLastColumn="0"/>
            <w:tcW w:w="1008" w:type="dxa"/>
          </w:tcPr>
          <w:p w14:paraId="38A0F988" w14:textId="47F47DEB" w:rsidR="008B725D" w:rsidRPr="008B725D" w:rsidRDefault="008B725D" w:rsidP="008B725D">
            <w:pPr>
              <w:jc w:val="center"/>
              <w:rPr>
                <w:rFonts w:ascii="Bookman Old Style" w:eastAsiaTheme="minorEastAsia" w:hAnsi="Bookman Old Style"/>
                <w:b w:val="0"/>
              </w:rPr>
            </w:pPr>
            <w:r w:rsidRPr="008B725D">
              <w:rPr>
                <w:rFonts w:ascii="Bookman Old Style" w:eastAsiaTheme="minorEastAsia" w:hAnsi="Bookman Old Style"/>
                <w:b w:val="0"/>
              </w:rPr>
              <w:t>3</w:t>
            </w:r>
          </w:p>
        </w:tc>
        <w:tc>
          <w:tcPr>
            <w:tcW w:w="3240" w:type="dxa"/>
          </w:tcPr>
          <w:p w14:paraId="1291A7C8" w14:textId="098F7A70" w:rsidR="008B725D" w:rsidRDefault="008B725D" w:rsidP="008B725D">
            <w:pPr>
              <w:jc w:val="center"/>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$40</w:t>
            </w:r>
          </w:p>
        </w:tc>
        <w:tc>
          <w:tcPr>
            <w:tcW w:w="2070" w:type="dxa"/>
          </w:tcPr>
          <w:p w14:paraId="78DE612B" w14:textId="6058DAE6" w:rsidR="008B725D" w:rsidRDefault="008B725D" w:rsidP="008B725D">
            <w:pPr>
              <w:jc w:val="center"/>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$50</w:t>
            </w:r>
          </w:p>
        </w:tc>
      </w:tr>
      <w:tr w:rsidR="008B725D" w14:paraId="5040E1C7" w14:textId="77777777" w:rsidTr="008B72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08" w:type="dxa"/>
          </w:tcPr>
          <w:p w14:paraId="34D689B8" w14:textId="64227678" w:rsidR="008B725D" w:rsidRPr="008B725D" w:rsidRDefault="008B725D" w:rsidP="008B725D">
            <w:pPr>
              <w:jc w:val="center"/>
              <w:rPr>
                <w:rFonts w:ascii="Bookman Old Style" w:eastAsiaTheme="minorEastAsia" w:hAnsi="Bookman Old Style"/>
                <w:b w:val="0"/>
              </w:rPr>
            </w:pPr>
            <w:r w:rsidRPr="008B725D">
              <w:rPr>
                <w:rFonts w:ascii="Bookman Old Style" w:eastAsiaTheme="minorEastAsia" w:hAnsi="Bookman Old Style"/>
                <w:b w:val="0"/>
              </w:rPr>
              <w:t>4</w:t>
            </w:r>
          </w:p>
        </w:tc>
        <w:tc>
          <w:tcPr>
            <w:tcW w:w="3240" w:type="dxa"/>
          </w:tcPr>
          <w:p w14:paraId="256E17FC" w14:textId="1927B802" w:rsidR="008B725D" w:rsidRDefault="008B725D" w:rsidP="008B725D">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$30</w:t>
            </w:r>
          </w:p>
        </w:tc>
        <w:tc>
          <w:tcPr>
            <w:tcW w:w="2070" w:type="dxa"/>
          </w:tcPr>
          <w:p w14:paraId="0B9AE49C" w14:textId="23CAD31C" w:rsidR="008B725D" w:rsidRDefault="008B725D" w:rsidP="008B725D">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$60</w:t>
            </w:r>
          </w:p>
        </w:tc>
      </w:tr>
      <w:tr w:rsidR="008B725D" w14:paraId="602206E6" w14:textId="77777777" w:rsidTr="008B725D">
        <w:trPr>
          <w:jc w:val="center"/>
        </w:trPr>
        <w:tc>
          <w:tcPr>
            <w:cnfStyle w:val="001000000000" w:firstRow="0" w:lastRow="0" w:firstColumn="1" w:lastColumn="0" w:oddVBand="0" w:evenVBand="0" w:oddHBand="0" w:evenHBand="0" w:firstRowFirstColumn="0" w:firstRowLastColumn="0" w:lastRowFirstColumn="0" w:lastRowLastColumn="0"/>
            <w:tcW w:w="1008" w:type="dxa"/>
          </w:tcPr>
          <w:p w14:paraId="33B2880F" w14:textId="146F92E1" w:rsidR="008B725D" w:rsidRPr="008B725D" w:rsidRDefault="008B725D" w:rsidP="008B725D">
            <w:pPr>
              <w:jc w:val="center"/>
              <w:rPr>
                <w:rFonts w:ascii="Bookman Old Style" w:eastAsiaTheme="minorEastAsia" w:hAnsi="Bookman Old Style"/>
                <w:b w:val="0"/>
              </w:rPr>
            </w:pPr>
            <w:r w:rsidRPr="008B725D">
              <w:rPr>
                <w:rFonts w:ascii="Bookman Old Style" w:eastAsiaTheme="minorEastAsia" w:hAnsi="Bookman Old Style"/>
                <w:b w:val="0"/>
              </w:rPr>
              <w:t>IRR</w:t>
            </w:r>
          </w:p>
        </w:tc>
        <w:tc>
          <w:tcPr>
            <w:tcW w:w="3240" w:type="dxa"/>
          </w:tcPr>
          <w:p w14:paraId="631A8781" w14:textId="176275BE" w:rsidR="008B725D" w:rsidRDefault="008B725D" w:rsidP="008B725D">
            <w:pPr>
              <w:jc w:val="center"/>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24%</w:t>
            </w:r>
          </w:p>
        </w:tc>
        <w:tc>
          <w:tcPr>
            <w:tcW w:w="2070" w:type="dxa"/>
          </w:tcPr>
          <w:p w14:paraId="0BCD5AD3" w14:textId="374BAFBF" w:rsidR="008B725D" w:rsidRDefault="008B725D" w:rsidP="008B725D">
            <w:pPr>
              <w:jc w:val="center"/>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21%</w:t>
            </w:r>
          </w:p>
        </w:tc>
      </w:tr>
    </w:tbl>
    <w:p w14:paraId="0227F59A" w14:textId="77777777" w:rsidR="0049782B" w:rsidRDefault="0049782B" w:rsidP="005451CD">
      <w:pPr>
        <w:spacing w:after="0" w:line="240" w:lineRule="auto"/>
        <w:jc w:val="both"/>
        <w:rPr>
          <w:rFonts w:ascii="Bookman Old Style" w:eastAsiaTheme="minorEastAsia" w:hAnsi="Bookman Old Style"/>
        </w:rPr>
      </w:pPr>
    </w:p>
    <w:p w14:paraId="6DA50541" w14:textId="14DA3A28" w:rsidR="008B725D" w:rsidRDefault="008B725D" w:rsidP="005451CD">
      <w:pPr>
        <w:spacing w:after="0" w:line="240" w:lineRule="auto"/>
        <w:jc w:val="both"/>
        <w:rPr>
          <w:rFonts w:ascii="Bookman Old Style" w:eastAsiaTheme="minorEastAsia" w:hAnsi="Bookman Old Style"/>
        </w:rPr>
      </w:pPr>
      <w:r>
        <w:rPr>
          <w:rFonts w:ascii="Bookman Old Style" w:eastAsiaTheme="minorEastAsia" w:hAnsi="Bookman Old Style"/>
        </w:rPr>
        <w:t>Since these investments are mutually exclusive, we can only take one of them. Simple intuition suggests that Investment A is better because of its higher return. But simple intuition isn’t always right.</w:t>
      </w:r>
    </w:p>
    <w:p w14:paraId="210696F7" w14:textId="77777777" w:rsidR="008B725D" w:rsidRDefault="008B725D" w:rsidP="005451CD">
      <w:pPr>
        <w:spacing w:after="0" w:line="240" w:lineRule="auto"/>
        <w:jc w:val="both"/>
        <w:rPr>
          <w:rFonts w:ascii="Bookman Old Style" w:eastAsiaTheme="minorEastAsia" w:hAnsi="Bookman Old Style"/>
        </w:rPr>
      </w:pPr>
    </w:p>
    <w:p w14:paraId="12F5BB65" w14:textId="35BCF3CC" w:rsidR="008B725D" w:rsidRDefault="008B725D" w:rsidP="005451CD">
      <w:pPr>
        <w:spacing w:after="0" w:line="240" w:lineRule="auto"/>
        <w:jc w:val="both"/>
        <w:rPr>
          <w:rFonts w:ascii="Bookman Old Style" w:eastAsiaTheme="minorEastAsia" w:hAnsi="Bookman Old Style"/>
        </w:rPr>
      </w:pPr>
      <w:r>
        <w:rPr>
          <w:rFonts w:ascii="Bookman Old Style" w:eastAsiaTheme="minorEastAsia" w:hAnsi="Bookman Old Style"/>
        </w:rPr>
        <w:t>To see why Investment A isn’t necessarily the better of the 2 investments, we’ve calculated the NPV of these investments for different required returns:</w:t>
      </w:r>
    </w:p>
    <w:p w14:paraId="1682DF4B" w14:textId="77777777" w:rsidR="008B725D" w:rsidRDefault="008B725D" w:rsidP="005451CD">
      <w:pPr>
        <w:spacing w:after="0" w:line="240" w:lineRule="auto"/>
        <w:jc w:val="both"/>
        <w:rPr>
          <w:rFonts w:ascii="Bookman Old Style" w:eastAsiaTheme="minorEastAsia" w:hAnsi="Bookman Old Style"/>
        </w:rPr>
      </w:pPr>
    </w:p>
    <w:tbl>
      <w:tblPr>
        <w:tblStyle w:val="LightShading-Accent2"/>
        <w:tblW w:w="0" w:type="auto"/>
        <w:jc w:val="center"/>
        <w:tblLook w:val="04A0" w:firstRow="1" w:lastRow="0" w:firstColumn="1" w:lastColumn="0" w:noHBand="0" w:noVBand="1"/>
      </w:tblPr>
      <w:tblGrid>
        <w:gridCol w:w="2358"/>
        <w:gridCol w:w="2160"/>
        <w:gridCol w:w="1530"/>
      </w:tblGrid>
      <w:tr w:rsidR="00E74969" w14:paraId="5003D6D9" w14:textId="77777777" w:rsidTr="00CE29F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58" w:type="dxa"/>
          </w:tcPr>
          <w:p w14:paraId="553705B9" w14:textId="17D54638" w:rsidR="00E74969" w:rsidRDefault="00E74969" w:rsidP="00CE29FC">
            <w:pPr>
              <w:jc w:val="center"/>
              <w:rPr>
                <w:rFonts w:ascii="Bookman Old Style" w:eastAsiaTheme="minorEastAsia" w:hAnsi="Bookman Old Style"/>
              </w:rPr>
            </w:pPr>
            <w:r>
              <w:rPr>
                <w:rFonts w:ascii="Bookman Old Style" w:eastAsiaTheme="minorEastAsia" w:hAnsi="Bookman Old Style"/>
              </w:rPr>
              <w:t>Discount Rate %</w:t>
            </w:r>
          </w:p>
        </w:tc>
        <w:tc>
          <w:tcPr>
            <w:tcW w:w="2160" w:type="dxa"/>
          </w:tcPr>
          <w:p w14:paraId="3AE36D43" w14:textId="7A0B07D1" w:rsidR="00E74969" w:rsidRDefault="00E74969" w:rsidP="00CE29FC">
            <w:pPr>
              <w:jc w:val="center"/>
              <w:cnfStyle w:val="100000000000" w:firstRow="1" w:lastRow="0" w:firstColumn="0" w:lastColumn="0" w:oddVBand="0" w:evenVBand="0" w:oddHBand="0"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NPV (A)</w:t>
            </w:r>
          </w:p>
        </w:tc>
        <w:tc>
          <w:tcPr>
            <w:tcW w:w="1530" w:type="dxa"/>
          </w:tcPr>
          <w:p w14:paraId="41E38220" w14:textId="1437E0BA" w:rsidR="00E74969" w:rsidRDefault="00E74969" w:rsidP="00CE29FC">
            <w:pPr>
              <w:jc w:val="center"/>
              <w:cnfStyle w:val="100000000000" w:firstRow="1" w:lastRow="0" w:firstColumn="0" w:lastColumn="0" w:oddVBand="0" w:evenVBand="0" w:oddHBand="0"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NPV (B)</w:t>
            </w:r>
          </w:p>
        </w:tc>
      </w:tr>
      <w:tr w:rsidR="00E74969" w14:paraId="5A85E06A" w14:textId="77777777" w:rsidTr="00CE29F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58" w:type="dxa"/>
          </w:tcPr>
          <w:p w14:paraId="3E5618C6" w14:textId="62B34B6F" w:rsidR="00E74969" w:rsidRPr="00CE29FC" w:rsidRDefault="00CE29FC" w:rsidP="00CE29FC">
            <w:pPr>
              <w:jc w:val="center"/>
              <w:rPr>
                <w:rFonts w:ascii="Bookman Old Style" w:eastAsiaTheme="minorEastAsia" w:hAnsi="Bookman Old Style"/>
                <w:b w:val="0"/>
              </w:rPr>
            </w:pPr>
            <w:r w:rsidRPr="00CE29FC">
              <w:rPr>
                <w:rFonts w:ascii="Bookman Old Style" w:eastAsiaTheme="minorEastAsia" w:hAnsi="Bookman Old Style"/>
                <w:b w:val="0"/>
              </w:rPr>
              <w:t>0</w:t>
            </w:r>
          </w:p>
        </w:tc>
        <w:tc>
          <w:tcPr>
            <w:tcW w:w="2160" w:type="dxa"/>
          </w:tcPr>
          <w:p w14:paraId="08014AE3" w14:textId="1361BACB" w:rsidR="00E74969" w:rsidRDefault="00CE29FC" w:rsidP="00CE29FC">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$60.00</w:t>
            </w:r>
          </w:p>
        </w:tc>
        <w:tc>
          <w:tcPr>
            <w:tcW w:w="1530" w:type="dxa"/>
          </w:tcPr>
          <w:p w14:paraId="34A2899B" w14:textId="2747AC94" w:rsidR="00E74969" w:rsidRDefault="00CE29FC" w:rsidP="00CE29FC">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$70.00</w:t>
            </w:r>
          </w:p>
        </w:tc>
      </w:tr>
      <w:tr w:rsidR="00E74969" w14:paraId="2CAA7B84" w14:textId="77777777" w:rsidTr="00CE29FC">
        <w:trPr>
          <w:jc w:val="center"/>
        </w:trPr>
        <w:tc>
          <w:tcPr>
            <w:cnfStyle w:val="001000000000" w:firstRow="0" w:lastRow="0" w:firstColumn="1" w:lastColumn="0" w:oddVBand="0" w:evenVBand="0" w:oddHBand="0" w:evenHBand="0" w:firstRowFirstColumn="0" w:firstRowLastColumn="0" w:lastRowFirstColumn="0" w:lastRowLastColumn="0"/>
            <w:tcW w:w="2358" w:type="dxa"/>
          </w:tcPr>
          <w:p w14:paraId="5CFF2BEE" w14:textId="03B47167" w:rsidR="00E74969" w:rsidRPr="00CE29FC" w:rsidRDefault="00CE29FC" w:rsidP="00CE29FC">
            <w:pPr>
              <w:jc w:val="center"/>
              <w:rPr>
                <w:rFonts w:ascii="Bookman Old Style" w:eastAsiaTheme="minorEastAsia" w:hAnsi="Bookman Old Style"/>
                <w:b w:val="0"/>
              </w:rPr>
            </w:pPr>
            <w:r w:rsidRPr="00CE29FC">
              <w:rPr>
                <w:rFonts w:ascii="Bookman Old Style" w:eastAsiaTheme="minorEastAsia" w:hAnsi="Bookman Old Style"/>
                <w:b w:val="0"/>
              </w:rPr>
              <w:t>5</w:t>
            </w:r>
          </w:p>
        </w:tc>
        <w:tc>
          <w:tcPr>
            <w:tcW w:w="2160" w:type="dxa"/>
          </w:tcPr>
          <w:p w14:paraId="4445391B" w14:textId="3C6F2268" w:rsidR="00E74969" w:rsidRDefault="00CE29FC" w:rsidP="00CE29FC">
            <w:pPr>
              <w:jc w:val="center"/>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$43.13</w:t>
            </w:r>
          </w:p>
        </w:tc>
        <w:tc>
          <w:tcPr>
            <w:tcW w:w="1530" w:type="dxa"/>
          </w:tcPr>
          <w:p w14:paraId="2EAC8D03" w14:textId="0E87CD25" w:rsidR="00E74969" w:rsidRDefault="00CE29FC" w:rsidP="00CE29FC">
            <w:pPr>
              <w:jc w:val="center"/>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$47.88</w:t>
            </w:r>
          </w:p>
        </w:tc>
      </w:tr>
      <w:tr w:rsidR="00E74969" w14:paraId="1ED977CA" w14:textId="77777777" w:rsidTr="00CE29F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58" w:type="dxa"/>
          </w:tcPr>
          <w:p w14:paraId="23513F1C" w14:textId="0AD5C45C" w:rsidR="00E74969" w:rsidRPr="00CE29FC" w:rsidRDefault="00CE29FC" w:rsidP="00CE29FC">
            <w:pPr>
              <w:jc w:val="center"/>
              <w:rPr>
                <w:rFonts w:ascii="Bookman Old Style" w:eastAsiaTheme="minorEastAsia" w:hAnsi="Bookman Old Style"/>
                <w:b w:val="0"/>
              </w:rPr>
            </w:pPr>
            <w:r w:rsidRPr="00CE29FC">
              <w:rPr>
                <w:rFonts w:ascii="Bookman Old Style" w:eastAsiaTheme="minorEastAsia" w:hAnsi="Bookman Old Style"/>
                <w:b w:val="0"/>
              </w:rPr>
              <w:t>10</w:t>
            </w:r>
          </w:p>
        </w:tc>
        <w:tc>
          <w:tcPr>
            <w:tcW w:w="2160" w:type="dxa"/>
          </w:tcPr>
          <w:p w14:paraId="7EEEEBEF" w14:textId="45DAAE93" w:rsidR="00E74969" w:rsidRDefault="00CE29FC" w:rsidP="00CE29FC">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$29.06</w:t>
            </w:r>
          </w:p>
        </w:tc>
        <w:tc>
          <w:tcPr>
            <w:tcW w:w="1530" w:type="dxa"/>
          </w:tcPr>
          <w:p w14:paraId="2EDE3D11" w14:textId="06608C43" w:rsidR="00E74969" w:rsidRDefault="00CE29FC" w:rsidP="00CE29FC">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$29.79</w:t>
            </w:r>
          </w:p>
        </w:tc>
      </w:tr>
      <w:tr w:rsidR="00CE29FC" w14:paraId="479F310B" w14:textId="77777777" w:rsidTr="00CE29FC">
        <w:trPr>
          <w:jc w:val="center"/>
        </w:trPr>
        <w:tc>
          <w:tcPr>
            <w:cnfStyle w:val="001000000000" w:firstRow="0" w:lastRow="0" w:firstColumn="1" w:lastColumn="0" w:oddVBand="0" w:evenVBand="0" w:oddHBand="0" w:evenHBand="0" w:firstRowFirstColumn="0" w:firstRowLastColumn="0" w:lastRowFirstColumn="0" w:lastRowLastColumn="0"/>
            <w:tcW w:w="2358" w:type="dxa"/>
          </w:tcPr>
          <w:p w14:paraId="5D395B9D" w14:textId="40F1ABCC" w:rsidR="00CE29FC" w:rsidRPr="00CE29FC" w:rsidRDefault="00CE29FC" w:rsidP="00CE29FC">
            <w:pPr>
              <w:jc w:val="center"/>
              <w:rPr>
                <w:rFonts w:ascii="Bookman Old Style" w:eastAsiaTheme="minorEastAsia" w:hAnsi="Bookman Old Style"/>
                <w:b w:val="0"/>
              </w:rPr>
            </w:pPr>
            <w:r w:rsidRPr="00CE29FC">
              <w:rPr>
                <w:rFonts w:ascii="Bookman Old Style" w:eastAsiaTheme="minorEastAsia" w:hAnsi="Bookman Old Style"/>
                <w:b w:val="0"/>
              </w:rPr>
              <w:t>15</w:t>
            </w:r>
          </w:p>
        </w:tc>
        <w:tc>
          <w:tcPr>
            <w:tcW w:w="2160" w:type="dxa"/>
          </w:tcPr>
          <w:p w14:paraId="7C7C8A65" w14:textId="12589990" w:rsidR="00CE29FC" w:rsidRDefault="00CE29FC" w:rsidP="00CE29FC">
            <w:pPr>
              <w:jc w:val="center"/>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$17.18</w:t>
            </w:r>
          </w:p>
        </w:tc>
        <w:tc>
          <w:tcPr>
            <w:tcW w:w="1530" w:type="dxa"/>
          </w:tcPr>
          <w:p w14:paraId="50D64844" w14:textId="6C07E4BA" w:rsidR="00CE29FC" w:rsidRDefault="00CE29FC" w:rsidP="00CE29FC">
            <w:pPr>
              <w:jc w:val="center"/>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$14.82</w:t>
            </w:r>
          </w:p>
        </w:tc>
      </w:tr>
      <w:tr w:rsidR="00CE29FC" w14:paraId="773539E6" w14:textId="77777777" w:rsidTr="00CE29F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58" w:type="dxa"/>
          </w:tcPr>
          <w:p w14:paraId="296E02BA" w14:textId="4FFB15E7" w:rsidR="00CE29FC" w:rsidRPr="00CE29FC" w:rsidRDefault="00CE29FC" w:rsidP="00CE29FC">
            <w:pPr>
              <w:jc w:val="center"/>
              <w:rPr>
                <w:rFonts w:ascii="Bookman Old Style" w:eastAsiaTheme="minorEastAsia" w:hAnsi="Bookman Old Style"/>
                <w:b w:val="0"/>
              </w:rPr>
            </w:pPr>
            <w:r w:rsidRPr="00CE29FC">
              <w:rPr>
                <w:rFonts w:ascii="Bookman Old Style" w:eastAsiaTheme="minorEastAsia" w:hAnsi="Bookman Old Style"/>
                <w:b w:val="0"/>
              </w:rPr>
              <w:t>20</w:t>
            </w:r>
          </w:p>
        </w:tc>
        <w:tc>
          <w:tcPr>
            <w:tcW w:w="2160" w:type="dxa"/>
          </w:tcPr>
          <w:p w14:paraId="7C6B6818" w14:textId="6E8427BD" w:rsidR="00CE29FC" w:rsidRDefault="00CE29FC" w:rsidP="00CE29FC">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$7.06</w:t>
            </w:r>
          </w:p>
        </w:tc>
        <w:tc>
          <w:tcPr>
            <w:tcW w:w="1530" w:type="dxa"/>
          </w:tcPr>
          <w:p w14:paraId="3F854858" w14:textId="5EF58248" w:rsidR="00CE29FC" w:rsidRDefault="00CE29FC" w:rsidP="00CE29FC">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$2.31</w:t>
            </w:r>
          </w:p>
        </w:tc>
      </w:tr>
      <w:tr w:rsidR="00CE29FC" w14:paraId="7C310E74" w14:textId="77777777" w:rsidTr="00CE29FC">
        <w:trPr>
          <w:jc w:val="center"/>
        </w:trPr>
        <w:tc>
          <w:tcPr>
            <w:cnfStyle w:val="001000000000" w:firstRow="0" w:lastRow="0" w:firstColumn="1" w:lastColumn="0" w:oddVBand="0" w:evenVBand="0" w:oddHBand="0" w:evenHBand="0" w:firstRowFirstColumn="0" w:firstRowLastColumn="0" w:lastRowFirstColumn="0" w:lastRowLastColumn="0"/>
            <w:tcW w:w="2358" w:type="dxa"/>
          </w:tcPr>
          <w:p w14:paraId="5C2E3E4C" w14:textId="01047414" w:rsidR="00CE29FC" w:rsidRPr="00CE29FC" w:rsidRDefault="00CE29FC" w:rsidP="00CE29FC">
            <w:pPr>
              <w:jc w:val="center"/>
              <w:rPr>
                <w:rFonts w:ascii="Bookman Old Style" w:eastAsiaTheme="minorEastAsia" w:hAnsi="Bookman Old Style"/>
                <w:b w:val="0"/>
              </w:rPr>
            </w:pPr>
            <w:r w:rsidRPr="00CE29FC">
              <w:rPr>
                <w:rFonts w:ascii="Bookman Old Style" w:eastAsiaTheme="minorEastAsia" w:hAnsi="Bookman Old Style"/>
                <w:b w:val="0"/>
              </w:rPr>
              <w:t>25</w:t>
            </w:r>
          </w:p>
        </w:tc>
        <w:tc>
          <w:tcPr>
            <w:tcW w:w="2160" w:type="dxa"/>
          </w:tcPr>
          <w:p w14:paraId="7518E0D1" w14:textId="22E5C12A" w:rsidR="00CE29FC" w:rsidRDefault="00CE29FC" w:rsidP="00CE29FC">
            <w:pPr>
              <w:jc w:val="center"/>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-$1.63</w:t>
            </w:r>
          </w:p>
        </w:tc>
        <w:tc>
          <w:tcPr>
            <w:tcW w:w="1530" w:type="dxa"/>
          </w:tcPr>
          <w:p w14:paraId="5675B1C1" w14:textId="63302DF1" w:rsidR="00CE29FC" w:rsidRDefault="00CE29FC" w:rsidP="00CE29FC">
            <w:pPr>
              <w:jc w:val="center"/>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-$8.22</w:t>
            </w:r>
          </w:p>
        </w:tc>
      </w:tr>
    </w:tbl>
    <w:p w14:paraId="2CE1B1C0" w14:textId="77777777" w:rsidR="008B725D" w:rsidRDefault="008B725D" w:rsidP="005451CD">
      <w:pPr>
        <w:spacing w:after="0" w:line="240" w:lineRule="auto"/>
        <w:jc w:val="both"/>
        <w:rPr>
          <w:rFonts w:ascii="Bookman Old Style" w:eastAsiaTheme="minorEastAsia" w:hAnsi="Bookman Old Style"/>
        </w:rPr>
      </w:pPr>
    </w:p>
    <w:p w14:paraId="0076F54F" w14:textId="2417455A" w:rsidR="00CE29FC" w:rsidRDefault="00CE29FC" w:rsidP="005451CD">
      <w:pPr>
        <w:spacing w:after="0" w:line="240" w:lineRule="auto"/>
        <w:jc w:val="both"/>
        <w:rPr>
          <w:rFonts w:ascii="Bookman Old Style" w:eastAsiaTheme="minorEastAsia" w:hAnsi="Bookman Old Style"/>
        </w:rPr>
      </w:pPr>
      <w:r>
        <w:rPr>
          <w:rFonts w:ascii="Bookman Old Style" w:eastAsiaTheme="minorEastAsia" w:hAnsi="Bookman Old Style"/>
        </w:rPr>
        <w:t xml:space="preserve">The IRR for A (24%) is larger than the IRR for B (21%) – but if compare the </w:t>
      </w:r>
      <w:proofErr w:type="gramStart"/>
      <w:r>
        <w:rPr>
          <w:rFonts w:ascii="Bookman Old Style" w:eastAsiaTheme="minorEastAsia" w:hAnsi="Bookman Old Style"/>
        </w:rPr>
        <w:t>NPVs,</w:t>
      </w:r>
      <w:proofErr w:type="gramEnd"/>
      <w:r>
        <w:rPr>
          <w:rFonts w:ascii="Bookman Old Style" w:eastAsiaTheme="minorEastAsia" w:hAnsi="Bookman Old Style"/>
        </w:rPr>
        <w:t xml:space="preserve"> you’ll see that which investment has the higher NPV depends on our required return.</w:t>
      </w:r>
    </w:p>
    <w:p w14:paraId="2F5D29BF" w14:textId="77777777" w:rsidR="00CE29FC" w:rsidRDefault="00CE29FC" w:rsidP="005451CD">
      <w:pPr>
        <w:spacing w:after="0" w:line="240" w:lineRule="auto"/>
        <w:jc w:val="both"/>
        <w:rPr>
          <w:rFonts w:ascii="Bookman Old Style" w:eastAsiaTheme="minorEastAsia" w:hAnsi="Bookman Old Style"/>
        </w:rPr>
      </w:pPr>
    </w:p>
    <w:p w14:paraId="2BCC53AE" w14:textId="3BE328A1" w:rsidR="00CE29FC" w:rsidRDefault="00CE29FC" w:rsidP="005451CD">
      <w:pPr>
        <w:spacing w:after="0" w:line="240" w:lineRule="auto"/>
        <w:jc w:val="both"/>
        <w:rPr>
          <w:rFonts w:ascii="Bookman Old Style" w:eastAsiaTheme="minorEastAsia" w:hAnsi="Bookman Old Style"/>
        </w:rPr>
      </w:pPr>
      <w:r>
        <w:rPr>
          <w:rFonts w:ascii="Bookman Old Style" w:eastAsiaTheme="minorEastAsia" w:hAnsi="Bookman Old Style"/>
        </w:rPr>
        <w:t>B has a greater total cash flow, but it pays back more slowly than A. As a result, it has a higher NPV at lower discount rates.</w:t>
      </w:r>
    </w:p>
    <w:p w14:paraId="50FE03C3" w14:textId="77777777" w:rsidR="00CE29FC" w:rsidRDefault="00CE29FC" w:rsidP="005451CD">
      <w:pPr>
        <w:spacing w:after="0" w:line="240" w:lineRule="auto"/>
        <w:jc w:val="both"/>
        <w:rPr>
          <w:rFonts w:ascii="Bookman Old Style" w:eastAsiaTheme="minorEastAsia" w:hAnsi="Bookman Old Style"/>
        </w:rPr>
      </w:pPr>
    </w:p>
    <w:p w14:paraId="149A8BB2" w14:textId="79F43AD1" w:rsidR="00CE29FC" w:rsidRDefault="00227792" w:rsidP="005451CD">
      <w:pPr>
        <w:spacing w:after="0" w:line="240" w:lineRule="auto"/>
        <w:jc w:val="both"/>
        <w:rPr>
          <w:rFonts w:ascii="Bookman Old Style" w:eastAsiaTheme="minorEastAsia" w:hAnsi="Bookman Old Style"/>
        </w:rPr>
      </w:pPr>
      <w:r>
        <w:rPr>
          <w:rFonts w:ascii="Bookman Old Style" w:eastAsiaTheme="minorEastAsia" w:hAnsi="Bookman Old Style"/>
        </w:rPr>
        <w:t>In our example, the NPV and IRR rankings conflict for some discount rates. If our required return is 10%, for instance, B has the higher NPV and is therefore the better of the 2 even though A has the higher return.</w:t>
      </w:r>
    </w:p>
    <w:p w14:paraId="09E38F11" w14:textId="77777777" w:rsidR="00227792" w:rsidRDefault="00227792" w:rsidP="005451CD">
      <w:pPr>
        <w:spacing w:after="0" w:line="240" w:lineRule="auto"/>
        <w:jc w:val="both"/>
        <w:rPr>
          <w:rFonts w:ascii="Bookman Old Style" w:eastAsiaTheme="minorEastAsia" w:hAnsi="Bookman Old Style"/>
        </w:rPr>
      </w:pPr>
    </w:p>
    <w:p w14:paraId="2981543F" w14:textId="6692C8D6" w:rsidR="00227792" w:rsidRDefault="00227792" w:rsidP="005451CD">
      <w:pPr>
        <w:spacing w:after="0" w:line="240" w:lineRule="auto"/>
        <w:jc w:val="both"/>
        <w:rPr>
          <w:rFonts w:ascii="Bookman Old Style" w:eastAsiaTheme="minorEastAsia" w:hAnsi="Bookman Old Style"/>
        </w:rPr>
      </w:pPr>
      <w:r>
        <w:rPr>
          <w:rFonts w:ascii="Bookman Old Style" w:eastAsiaTheme="minorEastAsia" w:hAnsi="Bookman Old Style"/>
        </w:rPr>
        <w:t>If our required return is 15%, there’s no ranking conflict: A is better.</w:t>
      </w:r>
    </w:p>
    <w:p w14:paraId="61CBE811" w14:textId="77777777" w:rsidR="00227792" w:rsidRDefault="00227792" w:rsidP="005451CD">
      <w:pPr>
        <w:spacing w:after="0" w:line="240" w:lineRule="auto"/>
        <w:jc w:val="both"/>
        <w:rPr>
          <w:rFonts w:ascii="Bookman Old Style" w:eastAsiaTheme="minorEastAsia" w:hAnsi="Bookman Old Style"/>
        </w:rPr>
      </w:pPr>
    </w:p>
    <w:p w14:paraId="282FB2D4" w14:textId="77777777" w:rsidR="00227792" w:rsidRDefault="00227792" w:rsidP="005451CD">
      <w:pPr>
        <w:spacing w:after="0" w:line="240" w:lineRule="auto"/>
        <w:jc w:val="both"/>
        <w:rPr>
          <w:rFonts w:ascii="Bookman Old Style" w:eastAsiaTheme="minorEastAsia" w:hAnsi="Bookman Old Style"/>
        </w:rPr>
      </w:pPr>
    </w:p>
    <w:p w14:paraId="48EC36DF" w14:textId="77777777" w:rsidR="00227792" w:rsidRDefault="00227792" w:rsidP="005451CD">
      <w:pPr>
        <w:spacing w:after="0" w:line="240" w:lineRule="auto"/>
        <w:jc w:val="both"/>
        <w:rPr>
          <w:rFonts w:ascii="Bookman Old Style" w:eastAsiaTheme="minorEastAsia" w:hAnsi="Bookman Old Style"/>
        </w:rPr>
      </w:pPr>
    </w:p>
    <w:p w14:paraId="2901EA45" w14:textId="77777777" w:rsidR="00227792" w:rsidRDefault="00227792" w:rsidP="005451CD">
      <w:pPr>
        <w:spacing w:after="0" w:line="240" w:lineRule="auto"/>
        <w:jc w:val="both"/>
        <w:rPr>
          <w:rFonts w:ascii="Bookman Old Style" w:eastAsiaTheme="minorEastAsia" w:hAnsi="Bookman Old Style"/>
        </w:rPr>
      </w:pPr>
    </w:p>
    <w:p w14:paraId="49852A10" w14:textId="7F593D82" w:rsidR="00227792" w:rsidRDefault="00227792" w:rsidP="005451CD">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The conflict between the IRR and NPV for mutually exclusive investments can be shown below by plotting their NPV profiles.</w:t>
      </w:r>
    </w:p>
    <w:p w14:paraId="2A28EEAD" w14:textId="77777777" w:rsidR="00227792" w:rsidRDefault="00227792" w:rsidP="005451CD">
      <w:pPr>
        <w:spacing w:after="0" w:line="240" w:lineRule="auto"/>
        <w:jc w:val="both"/>
        <w:rPr>
          <w:rFonts w:ascii="Bookman Old Style" w:eastAsiaTheme="minorEastAsia" w:hAnsi="Bookman Old Style"/>
        </w:rPr>
      </w:pPr>
    </w:p>
    <w:p w14:paraId="1D999C30" w14:textId="73AF3D23" w:rsidR="00227792" w:rsidRDefault="00227792" w:rsidP="00227792">
      <w:pPr>
        <w:spacing w:after="0" w:line="240" w:lineRule="auto"/>
        <w:jc w:val="center"/>
        <w:rPr>
          <w:rFonts w:ascii="Bookman Old Style" w:eastAsiaTheme="minorEastAsia" w:hAnsi="Bookman Old Style"/>
        </w:rPr>
      </w:pPr>
      <w:r>
        <w:rPr>
          <w:rFonts w:ascii="Bookman Old Style" w:eastAsiaTheme="minorEastAsia" w:hAnsi="Bookman Old Style"/>
          <w:noProof/>
        </w:rPr>
        <w:drawing>
          <wp:inline distT="0" distB="0" distL="0" distR="0" wp14:anchorId="24C95556" wp14:editId="2E3D9D7E">
            <wp:extent cx="4694945" cy="2796988"/>
            <wp:effectExtent l="0" t="0" r="10795" b="2286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CCFABF7" w14:textId="77777777" w:rsidR="00227792" w:rsidRDefault="00227792" w:rsidP="00227792">
      <w:pPr>
        <w:spacing w:after="0" w:line="240" w:lineRule="auto"/>
        <w:jc w:val="center"/>
        <w:rPr>
          <w:rFonts w:ascii="Bookman Old Style" w:eastAsiaTheme="minorEastAsia" w:hAnsi="Bookman Old Style"/>
        </w:rPr>
      </w:pPr>
    </w:p>
    <w:p w14:paraId="52C2BF1D" w14:textId="6DB1E2F0" w:rsidR="00227792" w:rsidRDefault="00227792" w:rsidP="00227792">
      <w:pPr>
        <w:spacing w:after="0" w:line="240" w:lineRule="auto"/>
        <w:jc w:val="both"/>
        <w:rPr>
          <w:rFonts w:ascii="Bookman Old Style" w:eastAsiaTheme="minorEastAsia" w:hAnsi="Bookman Old Style"/>
        </w:rPr>
      </w:pPr>
      <w:r>
        <w:rPr>
          <w:rFonts w:ascii="Bookman Old Style" w:eastAsiaTheme="minorEastAsia" w:hAnsi="Bookman Old Style"/>
        </w:rPr>
        <w:t>The NPV profiles cross at about 11% - the discount rate is referred to as the cross-over point. Notice that at any discount rate less than 11%, the NPV for B is higher. In this range, taking B benefits us more than taking A, even though A’s IRR is higher.</w:t>
      </w:r>
    </w:p>
    <w:p w14:paraId="4A95BE49" w14:textId="77777777" w:rsidR="00227792" w:rsidRDefault="00227792" w:rsidP="00227792">
      <w:pPr>
        <w:spacing w:after="0" w:line="240" w:lineRule="auto"/>
        <w:jc w:val="both"/>
        <w:rPr>
          <w:rFonts w:ascii="Bookman Old Style" w:eastAsiaTheme="minorEastAsia" w:hAnsi="Bookman Old Style"/>
        </w:rPr>
      </w:pPr>
    </w:p>
    <w:p w14:paraId="5C5C0B05" w14:textId="521FA624" w:rsidR="00227792" w:rsidRDefault="00227792" w:rsidP="00227792">
      <w:pPr>
        <w:spacing w:after="0" w:line="240" w:lineRule="auto"/>
        <w:jc w:val="both"/>
        <w:rPr>
          <w:rFonts w:ascii="Bookman Old Style" w:eastAsiaTheme="minorEastAsia" w:hAnsi="Bookman Old Style"/>
        </w:rPr>
      </w:pPr>
      <w:r>
        <w:rPr>
          <w:rFonts w:ascii="Bookman Old Style" w:eastAsiaTheme="minorEastAsia" w:hAnsi="Bookman Old Style"/>
        </w:rPr>
        <w:t>At any rate greater than 11%, project A has the greater NPV.</w:t>
      </w:r>
    </w:p>
    <w:p w14:paraId="23359F6D" w14:textId="77777777" w:rsidR="00227792" w:rsidRDefault="00227792" w:rsidP="00227792">
      <w:pPr>
        <w:spacing w:after="0" w:line="240" w:lineRule="auto"/>
        <w:jc w:val="both"/>
        <w:rPr>
          <w:rFonts w:ascii="Bookman Old Style" w:eastAsiaTheme="minorEastAsia" w:hAnsi="Bookman Old Style"/>
        </w:rPr>
      </w:pPr>
    </w:p>
    <w:p w14:paraId="5B31E519" w14:textId="5E6FE338" w:rsidR="00227792" w:rsidRDefault="00227792" w:rsidP="00227792">
      <w:pPr>
        <w:spacing w:after="0" w:line="240" w:lineRule="auto"/>
        <w:jc w:val="both"/>
        <w:rPr>
          <w:rFonts w:ascii="Bookman Old Style" w:eastAsiaTheme="minorEastAsia" w:hAnsi="Bookman Old Style"/>
        </w:rPr>
      </w:pPr>
      <w:r>
        <w:rPr>
          <w:rFonts w:ascii="Bookman Old Style" w:eastAsiaTheme="minorEastAsia" w:hAnsi="Bookman Old Style"/>
        </w:rPr>
        <w:t>This example shows us that whenever we have mutually exclusive projects, we shouldn’t rank them based on their returns. Anytime we’re comparing investments to determine which is best, IRRs can be misleading.</w:t>
      </w:r>
    </w:p>
    <w:p w14:paraId="36726A97" w14:textId="77777777" w:rsidR="00227792" w:rsidRDefault="00227792" w:rsidP="00227792">
      <w:pPr>
        <w:spacing w:after="0" w:line="240" w:lineRule="auto"/>
        <w:jc w:val="both"/>
        <w:rPr>
          <w:rFonts w:ascii="Bookman Old Style" w:eastAsiaTheme="minorEastAsia" w:hAnsi="Bookman Old Style"/>
        </w:rPr>
      </w:pPr>
    </w:p>
    <w:p w14:paraId="056CB650" w14:textId="2C10D5F4" w:rsidR="00227792" w:rsidRDefault="00227792" w:rsidP="00227792">
      <w:pPr>
        <w:spacing w:after="0" w:line="240" w:lineRule="auto"/>
        <w:jc w:val="both"/>
        <w:rPr>
          <w:rFonts w:ascii="Bookman Old Style" w:eastAsiaTheme="minorEastAsia" w:hAnsi="Bookman Old Style"/>
        </w:rPr>
      </w:pPr>
      <w:r>
        <w:rPr>
          <w:rFonts w:ascii="Bookman Old Style" w:eastAsiaTheme="minorEastAsia" w:hAnsi="Bookman Old Style"/>
        </w:rPr>
        <w:t>Instead, we need to look at the relative NPVs to avoid the possibility of choosing incorrectly. We’re ultimately interested in creating value for the shareholders, so the option with the higher NPV is preferred, regardless of the relative returns.</w:t>
      </w:r>
    </w:p>
    <w:p w14:paraId="5C2FAD1B" w14:textId="77777777" w:rsidR="00227792" w:rsidRDefault="00227792" w:rsidP="00227792">
      <w:pPr>
        <w:spacing w:after="0" w:line="240" w:lineRule="auto"/>
        <w:jc w:val="both"/>
        <w:rPr>
          <w:rFonts w:ascii="Bookman Old Style" w:eastAsiaTheme="minorEastAsia" w:hAnsi="Bookman Old Style"/>
        </w:rPr>
      </w:pPr>
    </w:p>
    <w:p w14:paraId="3B301E1C" w14:textId="3FFFE606" w:rsidR="00DA23ED" w:rsidRDefault="00DA23ED" w:rsidP="00227792">
      <w:pPr>
        <w:spacing w:after="0" w:line="240" w:lineRule="auto"/>
        <w:jc w:val="both"/>
        <w:rPr>
          <w:rFonts w:ascii="Bookman Old Style" w:eastAsiaTheme="minorEastAsia" w:hAnsi="Bookman Old Style"/>
        </w:rPr>
      </w:pPr>
      <w:r>
        <w:rPr>
          <w:rFonts w:ascii="Bookman Old Style" w:eastAsiaTheme="minorEastAsia" w:hAnsi="Bookman Old Style"/>
        </w:rPr>
        <w:t>Think of it this way:</w:t>
      </w:r>
    </w:p>
    <w:p w14:paraId="1CECAFC2" w14:textId="6ECFF67D" w:rsidR="00227792" w:rsidRDefault="00DA23ED" w:rsidP="00227792">
      <w:pPr>
        <w:spacing w:after="0" w:line="240" w:lineRule="auto"/>
        <w:jc w:val="both"/>
        <w:rPr>
          <w:rFonts w:ascii="Bookman Old Style" w:eastAsiaTheme="minorEastAsia" w:hAnsi="Bookman Old Style"/>
          <w:i/>
          <w:u w:val="single"/>
        </w:rPr>
      </w:pPr>
      <w:r>
        <w:rPr>
          <w:rFonts w:ascii="Bookman Old Style" w:eastAsiaTheme="minorEastAsia" w:hAnsi="Bookman Old Style"/>
          <w:i/>
          <w:u w:val="single"/>
        </w:rPr>
        <w:t>Ex.:</w:t>
      </w:r>
    </w:p>
    <w:p w14:paraId="2851E0F5" w14:textId="2CEA0406" w:rsidR="00DA23ED" w:rsidRDefault="00DA23ED" w:rsidP="00227792">
      <w:pPr>
        <w:spacing w:after="0" w:line="240" w:lineRule="auto"/>
        <w:jc w:val="both"/>
        <w:rPr>
          <w:rFonts w:ascii="Bookman Old Style" w:eastAsiaTheme="minorEastAsia" w:hAnsi="Bookman Old Style"/>
        </w:rPr>
      </w:pPr>
      <w:r>
        <w:rPr>
          <w:rFonts w:ascii="Bookman Old Style" w:eastAsiaTheme="minorEastAsia" w:hAnsi="Bookman Old Style"/>
        </w:rPr>
        <w:t>You have 2 i</w:t>
      </w:r>
      <w:bookmarkStart w:id="0" w:name="_GoBack"/>
      <w:bookmarkEnd w:id="0"/>
      <w:r>
        <w:rPr>
          <w:rFonts w:ascii="Bookman Old Style" w:eastAsiaTheme="minorEastAsia" w:hAnsi="Bookman Old Style"/>
        </w:rPr>
        <w:t>nvestments: one has a 10% return and makes you $100 richer immediately. The other has a 20% return and makes you $50 richer immediately.</w:t>
      </w:r>
    </w:p>
    <w:p w14:paraId="6606C615" w14:textId="3C2077CF" w:rsidR="00DA23ED" w:rsidRDefault="00DA23ED" w:rsidP="00227792">
      <w:pPr>
        <w:spacing w:after="0" w:line="240" w:lineRule="auto"/>
        <w:jc w:val="both"/>
        <w:rPr>
          <w:rFonts w:ascii="Bookman Old Style" w:eastAsiaTheme="minorEastAsia" w:hAnsi="Bookman Old Style"/>
        </w:rPr>
      </w:pPr>
      <w:r>
        <w:rPr>
          <w:rFonts w:ascii="Bookman Old Style" w:eastAsiaTheme="minorEastAsia" w:hAnsi="Bookman Old Style"/>
        </w:rPr>
        <w:t>Which one do you like better?</w:t>
      </w:r>
    </w:p>
    <w:p w14:paraId="5FF7AFCF" w14:textId="73A82B91" w:rsidR="00DA23ED" w:rsidRDefault="00DA23ED" w:rsidP="00227792">
      <w:pPr>
        <w:spacing w:after="0" w:line="240" w:lineRule="auto"/>
        <w:jc w:val="both"/>
        <w:rPr>
          <w:rFonts w:ascii="Bookman Old Style" w:eastAsiaTheme="minorEastAsia" w:hAnsi="Bookman Old Style"/>
        </w:rPr>
      </w:pPr>
      <w:r>
        <w:rPr>
          <w:rFonts w:ascii="Bookman Old Style" w:eastAsiaTheme="minorEastAsia" w:hAnsi="Bookman Old Style"/>
        </w:rPr>
        <w:t>We’d rather have $100 than $50, regardless of returns, so we like the first one better.</w:t>
      </w:r>
    </w:p>
    <w:p w14:paraId="071CB714" w14:textId="77777777" w:rsidR="00DA23ED" w:rsidRDefault="00DA23ED" w:rsidP="00227792">
      <w:pPr>
        <w:spacing w:after="0" w:line="240" w:lineRule="auto"/>
        <w:jc w:val="both"/>
        <w:rPr>
          <w:rFonts w:ascii="Bookman Old Style" w:eastAsiaTheme="minorEastAsia" w:hAnsi="Bookman Old Style"/>
        </w:rPr>
      </w:pPr>
    </w:p>
    <w:p w14:paraId="159C4773" w14:textId="5D66F2B0" w:rsidR="00DA23ED" w:rsidRDefault="00DA23ED" w:rsidP="00227792">
      <w:pPr>
        <w:spacing w:after="0" w:line="240" w:lineRule="auto"/>
        <w:jc w:val="both"/>
        <w:rPr>
          <w:rFonts w:ascii="Bookman Old Style" w:eastAsiaTheme="minorEastAsia" w:hAnsi="Bookman Old Style"/>
        </w:rPr>
      </w:pPr>
      <w:r>
        <w:rPr>
          <w:rFonts w:ascii="Bookman Old Style" w:eastAsiaTheme="minorEastAsia" w:hAnsi="Bookman Old Style"/>
        </w:rPr>
        <w:t xml:space="preserve">A final </w:t>
      </w:r>
      <w:r>
        <w:rPr>
          <w:rFonts w:ascii="Bookman Old Style" w:eastAsiaTheme="minorEastAsia" w:hAnsi="Bookman Old Style"/>
          <w:u w:val="single"/>
        </w:rPr>
        <w:t>important</w:t>
      </w:r>
      <w:r>
        <w:rPr>
          <w:rFonts w:ascii="Bookman Old Style" w:eastAsiaTheme="minorEastAsia" w:hAnsi="Bookman Old Style"/>
        </w:rPr>
        <w:t xml:space="preserve"> consideration in choosing between investment options is the actual amount of funds to be invested. </w:t>
      </w:r>
    </w:p>
    <w:p w14:paraId="51793C21" w14:textId="77777777" w:rsidR="00DA23ED" w:rsidRDefault="00DA23ED" w:rsidP="00227792">
      <w:pPr>
        <w:spacing w:after="0" w:line="240" w:lineRule="auto"/>
        <w:jc w:val="both"/>
        <w:rPr>
          <w:rFonts w:ascii="Bookman Old Style" w:eastAsiaTheme="minorEastAsia" w:hAnsi="Bookman Old Style"/>
        </w:rPr>
      </w:pPr>
    </w:p>
    <w:p w14:paraId="330490EF" w14:textId="77777777" w:rsidR="00DA23ED" w:rsidRDefault="00DA23ED" w:rsidP="00227792">
      <w:pPr>
        <w:spacing w:after="0" w:line="240" w:lineRule="auto"/>
        <w:jc w:val="both"/>
        <w:rPr>
          <w:rFonts w:ascii="Bookman Old Style" w:eastAsiaTheme="minorEastAsia" w:hAnsi="Bookman Old Style"/>
        </w:rPr>
      </w:pPr>
    </w:p>
    <w:p w14:paraId="70DD4519" w14:textId="77777777" w:rsidR="00DA23ED" w:rsidRDefault="00DA23ED" w:rsidP="00227792">
      <w:pPr>
        <w:spacing w:after="0" w:line="240" w:lineRule="auto"/>
        <w:jc w:val="both"/>
        <w:rPr>
          <w:rFonts w:ascii="Bookman Old Style" w:eastAsiaTheme="minorEastAsia" w:hAnsi="Bookman Old Style"/>
        </w:rPr>
      </w:pPr>
    </w:p>
    <w:p w14:paraId="73B0BB60" w14:textId="77777777" w:rsidR="00DA23ED" w:rsidRDefault="00DA23ED" w:rsidP="00227792">
      <w:pPr>
        <w:spacing w:after="0" w:line="240" w:lineRule="auto"/>
        <w:jc w:val="both"/>
        <w:rPr>
          <w:rFonts w:ascii="Bookman Old Style" w:eastAsiaTheme="minorEastAsia" w:hAnsi="Bookman Old Style"/>
        </w:rPr>
      </w:pPr>
    </w:p>
    <w:p w14:paraId="5E115646" w14:textId="77777777" w:rsidR="00DA23ED" w:rsidRDefault="00DA23ED" w:rsidP="00227792">
      <w:pPr>
        <w:spacing w:after="0" w:line="240" w:lineRule="auto"/>
        <w:jc w:val="both"/>
        <w:rPr>
          <w:rFonts w:ascii="Bookman Old Style" w:eastAsiaTheme="minorEastAsia"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6F2D3A" w14:paraId="40DD7632" w14:textId="77777777" w:rsidTr="006F2D3A">
        <w:tc>
          <w:tcPr>
            <w:tcW w:w="9576" w:type="dxa"/>
          </w:tcPr>
          <w:p w14:paraId="0B0C2D64" w14:textId="77777777" w:rsidR="006F2D3A" w:rsidRDefault="006F2D3A" w:rsidP="00227792">
            <w:pPr>
              <w:jc w:val="both"/>
              <w:rPr>
                <w:rFonts w:ascii="Bookman Old Style" w:eastAsiaTheme="minorEastAsia" w:hAnsi="Bookman Old Style"/>
              </w:rPr>
            </w:pPr>
          </w:p>
          <w:p w14:paraId="6D3604E8" w14:textId="77777777" w:rsidR="006F2D3A" w:rsidRDefault="006F2D3A" w:rsidP="006F2D3A">
            <w:pPr>
              <w:jc w:val="both"/>
              <w:rPr>
                <w:rFonts w:ascii="Bookman Old Style" w:eastAsiaTheme="minorEastAsia" w:hAnsi="Bookman Old Style"/>
                <w:i/>
              </w:rPr>
            </w:pPr>
            <w:r w:rsidRPr="00160779">
              <w:rPr>
                <w:rFonts w:ascii="Bookman Old Style" w:eastAsiaTheme="minorEastAsia" w:hAnsi="Bookman Old Style"/>
                <w:i/>
                <w:u w:val="single"/>
              </w:rPr>
              <w:t>Ex.:</w:t>
            </w:r>
            <w:r>
              <w:rPr>
                <w:rFonts w:ascii="Bookman Old Style" w:eastAsiaTheme="minorEastAsia" w:hAnsi="Bookman Old Style"/>
                <w:i/>
              </w:rPr>
              <w:t xml:space="preserve"> Calculating the Crossover Rate</w:t>
            </w:r>
          </w:p>
          <w:p w14:paraId="4C671F3B" w14:textId="77777777" w:rsidR="006F2D3A" w:rsidRDefault="006F2D3A" w:rsidP="006F2D3A">
            <w:pPr>
              <w:jc w:val="both"/>
              <w:rPr>
                <w:rFonts w:ascii="Bookman Old Style" w:eastAsiaTheme="minorEastAsia" w:hAnsi="Bookman Old Style"/>
              </w:rPr>
            </w:pPr>
            <w:r>
              <w:rPr>
                <w:rFonts w:ascii="Bookman Old Style" w:eastAsiaTheme="minorEastAsia" w:hAnsi="Bookman Old Style"/>
              </w:rPr>
              <w:t>How can we determine what the crossover point is?</w:t>
            </w:r>
          </w:p>
          <w:p w14:paraId="2B260A74" w14:textId="77777777" w:rsidR="006F2D3A" w:rsidRDefault="006F2D3A" w:rsidP="006F2D3A">
            <w:pPr>
              <w:jc w:val="both"/>
              <w:rPr>
                <w:rFonts w:ascii="Bookman Old Style" w:eastAsiaTheme="minorEastAsia" w:hAnsi="Bookman Old Style"/>
              </w:rPr>
            </w:pPr>
            <w:r>
              <w:rPr>
                <w:rFonts w:ascii="Bookman Old Style" w:eastAsiaTheme="minorEastAsia" w:hAnsi="Bookman Old Style"/>
              </w:rPr>
              <w:t>The crossover rate, by definition, is the discount rate that makes the NPVs of the 2 projects equal.</w:t>
            </w:r>
          </w:p>
          <w:p w14:paraId="6D6BCCD2" w14:textId="77777777" w:rsidR="006F2D3A" w:rsidRDefault="006F2D3A" w:rsidP="006F2D3A">
            <w:pPr>
              <w:jc w:val="both"/>
              <w:rPr>
                <w:rFonts w:ascii="Bookman Old Style" w:eastAsiaTheme="minorEastAsia" w:hAnsi="Bookman Old Style"/>
              </w:rPr>
            </w:pPr>
          </w:p>
          <w:p w14:paraId="5B9D7578" w14:textId="77777777" w:rsidR="006F2D3A" w:rsidRDefault="006F2D3A" w:rsidP="006F2D3A">
            <w:pPr>
              <w:jc w:val="both"/>
              <w:rPr>
                <w:rFonts w:ascii="Bookman Old Style" w:eastAsiaTheme="minorEastAsia" w:hAnsi="Bookman Old Style"/>
              </w:rPr>
            </w:pPr>
            <w:r>
              <w:rPr>
                <w:rFonts w:ascii="Bookman Old Style" w:eastAsiaTheme="minorEastAsia" w:hAnsi="Bookman Old Style"/>
              </w:rPr>
              <w:t>Suppose we have the following 2 mutually exclusive investments:</w:t>
            </w:r>
          </w:p>
          <w:p w14:paraId="42B06D10" w14:textId="77777777" w:rsidR="006F2D3A" w:rsidRDefault="006F2D3A" w:rsidP="006F2D3A">
            <w:pPr>
              <w:jc w:val="both"/>
              <w:rPr>
                <w:rFonts w:ascii="Bookman Old Style" w:eastAsiaTheme="minorEastAsia" w:hAnsi="Bookman Old Style"/>
              </w:rPr>
            </w:pPr>
          </w:p>
          <w:tbl>
            <w:tblPr>
              <w:tblStyle w:val="LightShading-Accent5"/>
              <w:tblW w:w="0" w:type="auto"/>
              <w:jc w:val="center"/>
              <w:tblLook w:val="04A0" w:firstRow="1" w:lastRow="0" w:firstColumn="1" w:lastColumn="0" w:noHBand="0" w:noVBand="1"/>
            </w:tblPr>
            <w:tblGrid>
              <w:gridCol w:w="1008"/>
              <w:gridCol w:w="2070"/>
              <w:gridCol w:w="2160"/>
            </w:tblGrid>
            <w:tr w:rsidR="006F2D3A" w14:paraId="442F99C1" w14:textId="77777777" w:rsidTr="00E83A2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08" w:type="dxa"/>
                </w:tcPr>
                <w:p w14:paraId="0554CAF2" w14:textId="77777777" w:rsidR="006F2D3A" w:rsidRDefault="006F2D3A" w:rsidP="00E83A2B">
                  <w:pPr>
                    <w:jc w:val="center"/>
                    <w:rPr>
                      <w:rFonts w:ascii="Bookman Old Style" w:eastAsiaTheme="minorEastAsia" w:hAnsi="Bookman Old Style"/>
                    </w:rPr>
                  </w:pPr>
                  <w:r>
                    <w:rPr>
                      <w:rFonts w:ascii="Bookman Old Style" w:eastAsiaTheme="minorEastAsia" w:hAnsi="Bookman Old Style"/>
                    </w:rPr>
                    <w:t>Year</w:t>
                  </w:r>
                </w:p>
              </w:tc>
              <w:tc>
                <w:tcPr>
                  <w:tcW w:w="2070" w:type="dxa"/>
                </w:tcPr>
                <w:p w14:paraId="20FA4802" w14:textId="77777777" w:rsidR="006F2D3A" w:rsidRDefault="006F2D3A" w:rsidP="00E83A2B">
                  <w:pPr>
                    <w:jc w:val="center"/>
                    <w:cnfStyle w:val="100000000000" w:firstRow="1" w:lastRow="0" w:firstColumn="0" w:lastColumn="0" w:oddVBand="0" w:evenVBand="0" w:oddHBand="0"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Investment A</w:t>
                  </w:r>
                </w:p>
              </w:tc>
              <w:tc>
                <w:tcPr>
                  <w:tcW w:w="2160" w:type="dxa"/>
                </w:tcPr>
                <w:p w14:paraId="3CA94101" w14:textId="77777777" w:rsidR="006F2D3A" w:rsidRDefault="006F2D3A" w:rsidP="00E83A2B">
                  <w:pPr>
                    <w:jc w:val="center"/>
                    <w:cnfStyle w:val="100000000000" w:firstRow="1" w:lastRow="0" w:firstColumn="0" w:lastColumn="0" w:oddVBand="0" w:evenVBand="0" w:oddHBand="0"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Investment B</w:t>
                  </w:r>
                </w:p>
              </w:tc>
            </w:tr>
            <w:tr w:rsidR="006F2D3A" w14:paraId="630FBF0C" w14:textId="77777777" w:rsidTr="00E83A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08" w:type="dxa"/>
                </w:tcPr>
                <w:p w14:paraId="712A6B82" w14:textId="77777777" w:rsidR="006F2D3A" w:rsidRPr="00160779" w:rsidRDefault="006F2D3A" w:rsidP="00E83A2B">
                  <w:pPr>
                    <w:jc w:val="center"/>
                    <w:rPr>
                      <w:rFonts w:ascii="Bookman Old Style" w:eastAsiaTheme="minorEastAsia" w:hAnsi="Bookman Old Style"/>
                      <w:b w:val="0"/>
                    </w:rPr>
                  </w:pPr>
                  <w:r w:rsidRPr="00160779">
                    <w:rPr>
                      <w:rFonts w:ascii="Bookman Old Style" w:eastAsiaTheme="minorEastAsia" w:hAnsi="Bookman Old Style"/>
                      <w:b w:val="0"/>
                    </w:rPr>
                    <w:t>0</w:t>
                  </w:r>
                </w:p>
              </w:tc>
              <w:tc>
                <w:tcPr>
                  <w:tcW w:w="2070" w:type="dxa"/>
                </w:tcPr>
                <w:p w14:paraId="036B57BC" w14:textId="77777777" w:rsidR="006F2D3A" w:rsidRDefault="006F2D3A" w:rsidP="00E83A2B">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-$400</w:t>
                  </w:r>
                </w:p>
              </w:tc>
              <w:tc>
                <w:tcPr>
                  <w:tcW w:w="2160" w:type="dxa"/>
                </w:tcPr>
                <w:p w14:paraId="4811845D" w14:textId="77777777" w:rsidR="006F2D3A" w:rsidRDefault="006F2D3A" w:rsidP="00E83A2B">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-$500</w:t>
                  </w:r>
                </w:p>
              </w:tc>
            </w:tr>
            <w:tr w:rsidR="006F2D3A" w14:paraId="57697A55" w14:textId="77777777" w:rsidTr="00E83A2B">
              <w:trPr>
                <w:jc w:val="center"/>
              </w:trPr>
              <w:tc>
                <w:tcPr>
                  <w:cnfStyle w:val="001000000000" w:firstRow="0" w:lastRow="0" w:firstColumn="1" w:lastColumn="0" w:oddVBand="0" w:evenVBand="0" w:oddHBand="0" w:evenHBand="0" w:firstRowFirstColumn="0" w:firstRowLastColumn="0" w:lastRowFirstColumn="0" w:lastRowLastColumn="0"/>
                  <w:tcW w:w="1008" w:type="dxa"/>
                </w:tcPr>
                <w:p w14:paraId="6E211256" w14:textId="77777777" w:rsidR="006F2D3A" w:rsidRPr="00160779" w:rsidRDefault="006F2D3A" w:rsidP="00E83A2B">
                  <w:pPr>
                    <w:jc w:val="center"/>
                    <w:rPr>
                      <w:rFonts w:ascii="Bookman Old Style" w:eastAsiaTheme="minorEastAsia" w:hAnsi="Bookman Old Style"/>
                      <w:b w:val="0"/>
                    </w:rPr>
                  </w:pPr>
                  <w:r w:rsidRPr="00160779">
                    <w:rPr>
                      <w:rFonts w:ascii="Bookman Old Style" w:eastAsiaTheme="minorEastAsia" w:hAnsi="Bookman Old Style"/>
                      <w:b w:val="0"/>
                    </w:rPr>
                    <w:t>1</w:t>
                  </w:r>
                </w:p>
              </w:tc>
              <w:tc>
                <w:tcPr>
                  <w:tcW w:w="2070" w:type="dxa"/>
                </w:tcPr>
                <w:p w14:paraId="05C96B6D" w14:textId="77777777" w:rsidR="006F2D3A" w:rsidRDefault="006F2D3A" w:rsidP="00E83A2B">
                  <w:pPr>
                    <w:jc w:val="center"/>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$250</w:t>
                  </w:r>
                </w:p>
              </w:tc>
              <w:tc>
                <w:tcPr>
                  <w:tcW w:w="2160" w:type="dxa"/>
                </w:tcPr>
                <w:p w14:paraId="1B2AE395" w14:textId="77777777" w:rsidR="006F2D3A" w:rsidRDefault="006F2D3A" w:rsidP="00E83A2B">
                  <w:pPr>
                    <w:jc w:val="center"/>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$320</w:t>
                  </w:r>
                </w:p>
              </w:tc>
            </w:tr>
            <w:tr w:rsidR="006F2D3A" w14:paraId="1E751436" w14:textId="77777777" w:rsidTr="00E83A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08" w:type="dxa"/>
                </w:tcPr>
                <w:p w14:paraId="0486F95B" w14:textId="77777777" w:rsidR="006F2D3A" w:rsidRPr="00160779" w:rsidRDefault="006F2D3A" w:rsidP="00E83A2B">
                  <w:pPr>
                    <w:jc w:val="center"/>
                    <w:rPr>
                      <w:rFonts w:ascii="Bookman Old Style" w:eastAsiaTheme="minorEastAsia" w:hAnsi="Bookman Old Style"/>
                      <w:b w:val="0"/>
                    </w:rPr>
                  </w:pPr>
                  <w:r w:rsidRPr="00160779">
                    <w:rPr>
                      <w:rFonts w:ascii="Bookman Old Style" w:eastAsiaTheme="minorEastAsia" w:hAnsi="Bookman Old Style"/>
                      <w:b w:val="0"/>
                    </w:rPr>
                    <w:t>2</w:t>
                  </w:r>
                </w:p>
              </w:tc>
              <w:tc>
                <w:tcPr>
                  <w:tcW w:w="2070" w:type="dxa"/>
                </w:tcPr>
                <w:p w14:paraId="4918CFCE" w14:textId="77777777" w:rsidR="006F2D3A" w:rsidRDefault="006F2D3A" w:rsidP="00E83A2B">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$280</w:t>
                  </w:r>
                </w:p>
              </w:tc>
              <w:tc>
                <w:tcPr>
                  <w:tcW w:w="2160" w:type="dxa"/>
                </w:tcPr>
                <w:p w14:paraId="57E8F112" w14:textId="77777777" w:rsidR="006F2D3A" w:rsidRDefault="006F2D3A" w:rsidP="00E83A2B">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$340</w:t>
                  </w:r>
                </w:p>
              </w:tc>
            </w:tr>
          </w:tbl>
          <w:p w14:paraId="0C9518D6" w14:textId="77777777" w:rsidR="006F2D3A" w:rsidRPr="00160779" w:rsidRDefault="006F2D3A" w:rsidP="006F2D3A">
            <w:pPr>
              <w:jc w:val="both"/>
              <w:rPr>
                <w:rFonts w:ascii="Bookman Old Style" w:eastAsiaTheme="minorEastAsia" w:hAnsi="Bookman Old Style"/>
              </w:rPr>
            </w:pPr>
          </w:p>
          <w:p w14:paraId="4EE68C94" w14:textId="77777777" w:rsidR="006F2D3A" w:rsidRDefault="006F2D3A" w:rsidP="006F2D3A">
            <w:pPr>
              <w:jc w:val="both"/>
              <w:rPr>
                <w:rFonts w:ascii="Bookman Old Style" w:eastAsiaTheme="minorEastAsia" w:hAnsi="Bookman Old Style"/>
              </w:rPr>
            </w:pPr>
            <w:r>
              <w:rPr>
                <w:rFonts w:ascii="Bookman Old Style" w:eastAsiaTheme="minorEastAsia" w:hAnsi="Bookman Old Style"/>
              </w:rPr>
              <w:t>What’s the crossover rate?</w:t>
            </w:r>
          </w:p>
          <w:p w14:paraId="7DABE480" w14:textId="77777777" w:rsidR="006F2D3A" w:rsidRDefault="006F2D3A" w:rsidP="006F2D3A">
            <w:pPr>
              <w:jc w:val="both"/>
              <w:rPr>
                <w:rFonts w:ascii="Bookman Old Style" w:eastAsiaTheme="minorEastAsia" w:hAnsi="Bookman Old Style"/>
              </w:rPr>
            </w:pPr>
          </w:p>
          <w:p w14:paraId="466A016E" w14:textId="77777777" w:rsidR="006F2D3A" w:rsidRDefault="006F2D3A" w:rsidP="006F2D3A">
            <w:pPr>
              <w:jc w:val="both"/>
              <w:rPr>
                <w:rFonts w:ascii="Bookman Old Style" w:eastAsiaTheme="minorEastAsia" w:hAnsi="Bookman Old Style"/>
              </w:rPr>
            </w:pPr>
            <w:r>
              <w:rPr>
                <w:rFonts w:ascii="Bookman Old Style" w:eastAsiaTheme="minorEastAsia" w:hAnsi="Bookman Old Style"/>
              </w:rPr>
              <w:t>To find the crossover rate, consider moving out of Investment A and into Investment B. If you make the move, you’ll have to invest an extra $100 = ($500 - $400). For this $100 investment, you’ll get an extra $70 = ($320 – 250) in the 1</w:t>
            </w:r>
            <w:r w:rsidRPr="00160779">
              <w:rPr>
                <w:rFonts w:ascii="Bookman Old Style" w:eastAsiaTheme="minorEastAsia" w:hAnsi="Bookman Old Style"/>
                <w:vertAlign w:val="superscript"/>
              </w:rPr>
              <w:t>st</w:t>
            </w:r>
            <w:r>
              <w:rPr>
                <w:rFonts w:ascii="Bookman Old Style" w:eastAsiaTheme="minorEastAsia" w:hAnsi="Bookman Old Style"/>
              </w:rPr>
              <w:t xml:space="preserve"> year and an extra $60 = ($340 - $280) in the 2</w:t>
            </w:r>
            <w:r w:rsidRPr="00160779">
              <w:rPr>
                <w:rFonts w:ascii="Bookman Old Style" w:eastAsiaTheme="minorEastAsia" w:hAnsi="Bookman Old Style"/>
                <w:vertAlign w:val="superscript"/>
              </w:rPr>
              <w:t>nd</w:t>
            </w:r>
            <w:r>
              <w:rPr>
                <w:rFonts w:ascii="Bookman Old Style" w:eastAsiaTheme="minorEastAsia" w:hAnsi="Bookman Old Style"/>
              </w:rPr>
              <w:t xml:space="preserve"> year. </w:t>
            </w:r>
          </w:p>
          <w:p w14:paraId="6BC5A769" w14:textId="77777777" w:rsidR="006F2D3A" w:rsidRDefault="006F2D3A" w:rsidP="006F2D3A">
            <w:pPr>
              <w:jc w:val="both"/>
              <w:rPr>
                <w:rFonts w:ascii="Bookman Old Style" w:eastAsiaTheme="minorEastAsia" w:hAnsi="Bookman Old Style"/>
              </w:rPr>
            </w:pPr>
            <w:r>
              <w:rPr>
                <w:rFonts w:ascii="Bookman Old Style" w:eastAsiaTheme="minorEastAsia" w:hAnsi="Bookman Old Style"/>
              </w:rPr>
              <w:br/>
              <w:t>Is this a good move? Is it worth investing the extra $100?</w:t>
            </w:r>
          </w:p>
          <w:p w14:paraId="18B447CE" w14:textId="77777777" w:rsidR="006F2D3A" w:rsidRDefault="006F2D3A" w:rsidP="006F2D3A">
            <w:pPr>
              <w:jc w:val="both"/>
              <w:rPr>
                <w:rFonts w:ascii="Bookman Old Style" w:eastAsiaTheme="minorEastAsia" w:hAnsi="Bookman Old Style"/>
              </w:rPr>
            </w:pPr>
          </w:p>
          <w:p w14:paraId="57336999" w14:textId="77777777" w:rsidR="006F2D3A" w:rsidRDefault="006F2D3A" w:rsidP="006F2D3A">
            <w:pPr>
              <w:jc w:val="both"/>
              <w:rPr>
                <w:rFonts w:ascii="Bookman Old Style" w:eastAsiaTheme="minorEastAsia" w:hAnsi="Bookman Old Style"/>
              </w:rPr>
            </w:pPr>
            <w:r>
              <w:rPr>
                <w:rFonts w:ascii="Bookman Old Style" w:eastAsiaTheme="minorEastAsia" w:hAnsi="Bookman Old Style"/>
              </w:rPr>
              <w:t>The NPV of the switch, NPV (B – A) is:</w:t>
            </w:r>
          </w:p>
          <w:p w14:paraId="6A670286" w14:textId="77777777" w:rsidR="006F2D3A" w:rsidRDefault="006F2D3A" w:rsidP="006F2D3A">
            <w:pPr>
              <w:jc w:val="both"/>
              <w:rPr>
                <w:rFonts w:ascii="Bookman Old Style" w:eastAsiaTheme="minorEastAsia" w:hAnsi="Bookman Old Style"/>
              </w:rPr>
            </w:pPr>
          </w:p>
          <w:p w14:paraId="0CD8B6C2" w14:textId="77777777" w:rsidR="006F2D3A" w:rsidRPr="00160779" w:rsidRDefault="006F2D3A" w:rsidP="006F2D3A">
            <w:pPr>
              <w:jc w:val="both"/>
              <w:rPr>
                <w:rFonts w:ascii="Bookman Old Style" w:eastAsiaTheme="minorEastAsia" w:hAnsi="Bookman Old Style"/>
              </w:rPr>
            </w:pPr>
            <m:oMathPara>
              <m:oMath>
                <m:r>
                  <w:rPr>
                    <w:rFonts w:ascii="Cambria Math" w:eastAsiaTheme="minorEastAsia" w:hAnsi="Cambria Math"/>
                  </w:rPr>
                  <m:t>NPV</m:t>
                </m:r>
                <m:d>
                  <m:dPr>
                    <m:ctrlPr>
                      <w:rPr>
                        <w:rFonts w:ascii="Cambria Math" w:eastAsiaTheme="minorEastAsia" w:hAnsi="Cambria Math"/>
                        <w:i/>
                      </w:rPr>
                    </m:ctrlPr>
                  </m:dPr>
                  <m:e>
                    <m:r>
                      <w:rPr>
                        <w:rFonts w:ascii="Cambria Math" w:eastAsiaTheme="minorEastAsia" w:hAnsi="Cambria Math"/>
                      </w:rPr>
                      <m:t>B-A</m:t>
                    </m:r>
                  </m:e>
                </m:d>
                <m:r>
                  <w:rPr>
                    <w:rFonts w:ascii="Cambria Math" w:eastAsiaTheme="minorEastAsia" w:hAnsi="Cambria Math"/>
                  </w:rPr>
                  <m:t>=-$100+</m:t>
                </m:r>
                <m:f>
                  <m:fPr>
                    <m:ctrlPr>
                      <w:rPr>
                        <w:rFonts w:ascii="Cambria Math" w:eastAsiaTheme="minorEastAsia" w:hAnsi="Cambria Math"/>
                        <w:i/>
                      </w:rPr>
                    </m:ctrlPr>
                  </m:fPr>
                  <m:num>
                    <m:r>
                      <w:rPr>
                        <w:rFonts w:ascii="Cambria Math" w:eastAsiaTheme="minorEastAsia" w:hAnsi="Cambria Math"/>
                      </w:rPr>
                      <m:t>$70</m:t>
                    </m:r>
                  </m:num>
                  <m:den>
                    <m:r>
                      <w:rPr>
                        <w:rFonts w:ascii="Cambria Math" w:eastAsiaTheme="minorEastAsia" w:hAnsi="Cambria Math"/>
                      </w:rPr>
                      <m:t>(1+r)</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$60</m:t>
                    </m:r>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1+r</m:t>
                            </m:r>
                          </m:e>
                        </m:d>
                      </m:e>
                      <m:sup>
                        <m:r>
                          <w:rPr>
                            <w:rFonts w:ascii="Cambria Math" w:eastAsiaTheme="minorEastAsia" w:hAnsi="Cambria Math"/>
                          </w:rPr>
                          <m:t>2</m:t>
                        </m:r>
                      </m:sup>
                    </m:sSup>
                  </m:den>
                </m:f>
              </m:oMath>
            </m:oMathPara>
          </w:p>
          <w:p w14:paraId="70E7EF6A" w14:textId="77777777" w:rsidR="006F2D3A" w:rsidRDefault="006F2D3A" w:rsidP="006F2D3A">
            <w:pPr>
              <w:jc w:val="both"/>
              <w:rPr>
                <w:rFonts w:ascii="Bookman Old Style" w:eastAsiaTheme="minorEastAsia" w:hAnsi="Bookman Old Style"/>
              </w:rPr>
            </w:pPr>
          </w:p>
          <w:p w14:paraId="0CD8A587" w14:textId="77777777" w:rsidR="006F2D3A" w:rsidRDefault="006F2D3A" w:rsidP="006F2D3A">
            <w:pPr>
              <w:jc w:val="both"/>
              <w:rPr>
                <w:rFonts w:ascii="Bookman Old Style" w:eastAsiaTheme="minorEastAsia" w:hAnsi="Bookman Old Style"/>
              </w:rPr>
            </w:pPr>
            <w:r>
              <w:rPr>
                <w:rFonts w:ascii="Bookman Old Style" w:eastAsiaTheme="minorEastAsia" w:hAnsi="Bookman Old Style"/>
              </w:rPr>
              <w:t>We can calculate the return on this investment by setting the NPV equal to zero and solving for the IRR:</w:t>
            </w:r>
          </w:p>
          <w:p w14:paraId="6E52F4CC" w14:textId="77777777" w:rsidR="006F2D3A" w:rsidRDefault="006F2D3A" w:rsidP="006F2D3A">
            <w:pPr>
              <w:jc w:val="both"/>
              <w:rPr>
                <w:rFonts w:ascii="Bookman Old Style" w:eastAsiaTheme="minorEastAsia" w:hAnsi="Bookman Old Style"/>
              </w:rPr>
            </w:pPr>
          </w:p>
          <w:p w14:paraId="7F861E42" w14:textId="77777777" w:rsidR="006F2D3A" w:rsidRPr="00160779" w:rsidRDefault="006F2D3A" w:rsidP="006F2D3A">
            <w:pPr>
              <w:jc w:val="both"/>
              <w:rPr>
                <w:rFonts w:ascii="Bookman Old Style" w:eastAsiaTheme="minorEastAsia" w:hAnsi="Bookman Old Style"/>
              </w:rPr>
            </w:pPr>
            <m:oMathPara>
              <m:oMath>
                <m:r>
                  <w:rPr>
                    <w:rFonts w:ascii="Cambria Math" w:eastAsiaTheme="minorEastAsia" w:hAnsi="Cambria Math"/>
                  </w:rPr>
                  <m:t>NPV</m:t>
                </m:r>
                <m:d>
                  <m:dPr>
                    <m:ctrlPr>
                      <w:rPr>
                        <w:rFonts w:ascii="Cambria Math" w:eastAsiaTheme="minorEastAsia" w:hAnsi="Cambria Math"/>
                        <w:i/>
                      </w:rPr>
                    </m:ctrlPr>
                  </m:dPr>
                  <m:e>
                    <m:r>
                      <w:rPr>
                        <w:rFonts w:ascii="Cambria Math" w:eastAsiaTheme="minorEastAsia" w:hAnsi="Cambria Math"/>
                      </w:rPr>
                      <m:t>B-A</m:t>
                    </m:r>
                  </m:e>
                </m:d>
                <m:r>
                  <w:rPr>
                    <w:rFonts w:ascii="Cambria Math" w:eastAsiaTheme="minorEastAsia" w:hAnsi="Cambria Math"/>
                  </w:rPr>
                  <m:t>=0=-$100+</m:t>
                </m:r>
                <m:f>
                  <m:fPr>
                    <m:ctrlPr>
                      <w:rPr>
                        <w:rFonts w:ascii="Cambria Math" w:eastAsiaTheme="minorEastAsia" w:hAnsi="Cambria Math"/>
                        <w:i/>
                      </w:rPr>
                    </m:ctrlPr>
                  </m:fPr>
                  <m:num>
                    <m:r>
                      <w:rPr>
                        <w:rFonts w:ascii="Cambria Math" w:eastAsiaTheme="minorEastAsia" w:hAnsi="Cambria Math"/>
                      </w:rPr>
                      <m:t>$70</m:t>
                    </m:r>
                  </m:num>
                  <m:den>
                    <m:r>
                      <w:rPr>
                        <w:rFonts w:ascii="Cambria Math" w:eastAsiaTheme="minorEastAsia" w:hAnsi="Cambria Math"/>
                      </w:rPr>
                      <m:t>(1+r)</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$60</m:t>
                    </m:r>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1+r</m:t>
                            </m:r>
                          </m:e>
                        </m:d>
                      </m:e>
                      <m:sup>
                        <m:r>
                          <w:rPr>
                            <w:rFonts w:ascii="Cambria Math" w:eastAsiaTheme="minorEastAsia" w:hAnsi="Cambria Math"/>
                          </w:rPr>
                          <m:t>2</m:t>
                        </m:r>
                      </m:sup>
                    </m:sSup>
                  </m:den>
                </m:f>
              </m:oMath>
            </m:oMathPara>
          </w:p>
          <w:p w14:paraId="5743B666" w14:textId="77777777" w:rsidR="006F2D3A" w:rsidRDefault="006F2D3A" w:rsidP="006F2D3A">
            <w:pPr>
              <w:jc w:val="both"/>
              <w:rPr>
                <w:rFonts w:ascii="Bookman Old Style" w:eastAsiaTheme="minorEastAsia" w:hAnsi="Bookman Old Style"/>
              </w:rPr>
            </w:pPr>
          </w:p>
          <w:p w14:paraId="5BB93A99" w14:textId="77777777" w:rsidR="006F2D3A" w:rsidRDefault="006F2D3A" w:rsidP="006F2D3A">
            <w:pPr>
              <w:jc w:val="both"/>
              <w:rPr>
                <w:rFonts w:ascii="Bookman Old Style" w:eastAsiaTheme="minorEastAsia" w:hAnsi="Bookman Old Style"/>
              </w:rPr>
            </w:pPr>
            <w:r>
              <w:rPr>
                <w:rFonts w:ascii="Bookman Old Style" w:eastAsiaTheme="minorEastAsia" w:hAnsi="Bookman Old Style"/>
              </w:rPr>
              <w:t>If you go through the calculation, you’ll find that the IRR is exactly 20% - this tells us that at a 20% discount rate, we are indifferent between the 2 investments because the NPV of the difference in their cash flows is zero.</w:t>
            </w:r>
          </w:p>
          <w:p w14:paraId="6C09EDB9" w14:textId="77777777" w:rsidR="006F2D3A" w:rsidRDefault="006F2D3A" w:rsidP="006F2D3A">
            <w:pPr>
              <w:jc w:val="both"/>
              <w:rPr>
                <w:rFonts w:ascii="Bookman Old Style" w:eastAsiaTheme="minorEastAsia" w:hAnsi="Bookman Old Style"/>
              </w:rPr>
            </w:pPr>
            <w:r>
              <w:rPr>
                <w:rFonts w:ascii="Bookman Old Style" w:eastAsiaTheme="minorEastAsia" w:hAnsi="Bookman Old Style"/>
              </w:rPr>
              <w:br/>
              <w:t>As a consequence, the 2 investments have the same value, so this 20% is the crossover rate. Check that the NPV at 20% is $2.78 for both.</w:t>
            </w:r>
          </w:p>
          <w:p w14:paraId="53F1D2DC" w14:textId="77777777" w:rsidR="006F2D3A" w:rsidRDefault="006F2D3A" w:rsidP="006F2D3A">
            <w:pPr>
              <w:jc w:val="both"/>
              <w:rPr>
                <w:rFonts w:ascii="Bookman Old Style" w:eastAsiaTheme="minorEastAsia" w:hAnsi="Bookman Old Style"/>
              </w:rPr>
            </w:pPr>
          </w:p>
          <w:p w14:paraId="7F33171D" w14:textId="77777777" w:rsidR="006F2D3A" w:rsidRPr="00160779" w:rsidRDefault="006F2D3A" w:rsidP="006F2D3A">
            <w:pPr>
              <w:jc w:val="both"/>
              <w:rPr>
                <w:rFonts w:ascii="Bookman Old Style" w:eastAsiaTheme="minorEastAsia" w:hAnsi="Bookman Old Style"/>
              </w:rPr>
            </w:pPr>
            <w:r>
              <w:rPr>
                <w:rFonts w:ascii="Bookman Old Style" w:eastAsiaTheme="minorEastAsia" w:hAnsi="Bookman Old Style"/>
              </w:rPr>
              <w:t xml:space="preserve">So you can take the crossover rate by taking the difference in cash flows and calculating the IRR using the differences. It doesn’t make any difference which one you subtract from which. </w:t>
            </w:r>
          </w:p>
          <w:p w14:paraId="619F8C7D" w14:textId="77777777" w:rsidR="006F2D3A" w:rsidRDefault="006F2D3A" w:rsidP="00227792">
            <w:pPr>
              <w:jc w:val="both"/>
              <w:rPr>
                <w:rFonts w:ascii="Bookman Old Style" w:eastAsiaTheme="minorEastAsia" w:hAnsi="Bookman Old Style"/>
              </w:rPr>
            </w:pPr>
          </w:p>
        </w:tc>
      </w:tr>
    </w:tbl>
    <w:p w14:paraId="0427617F" w14:textId="77777777" w:rsidR="00160779" w:rsidRDefault="00160779" w:rsidP="00227792">
      <w:pPr>
        <w:spacing w:after="0" w:line="240" w:lineRule="auto"/>
        <w:jc w:val="both"/>
        <w:rPr>
          <w:rFonts w:ascii="Bookman Old Style" w:eastAsiaTheme="minorEastAsia" w:hAnsi="Bookman Old Style"/>
        </w:rPr>
      </w:pPr>
    </w:p>
    <w:p w14:paraId="5F5D178F" w14:textId="77777777" w:rsidR="00160779" w:rsidRDefault="00160779" w:rsidP="00227792">
      <w:pPr>
        <w:spacing w:after="0" w:line="240" w:lineRule="auto"/>
        <w:jc w:val="both"/>
        <w:rPr>
          <w:rFonts w:ascii="Bookman Old Style" w:eastAsiaTheme="minorEastAsia" w:hAnsi="Bookman Old Style"/>
        </w:rPr>
      </w:pPr>
    </w:p>
    <w:p w14:paraId="660AA187" w14:textId="77777777" w:rsidR="006F2D3A" w:rsidRDefault="006F2D3A" w:rsidP="00227792">
      <w:pPr>
        <w:spacing w:after="0" w:line="240" w:lineRule="auto"/>
        <w:jc w:val="both"/>
        <w:rPr>
          <w:rFonts w:ascii="Bookman Old Style" w:eastAsiaTheme="minorEastAsia" w:hAnsi="Bookman Old Style"/>
        </w:rPr>
      </w:pPr>
    </w:p>
    <w:p w14:paraId="40E3AAC2" w14:textId="77777777" w:rsidR="006F2D3A" w:rsidRPr="00160779" w:rsidRDefault="006F2D3A" w:rsidP="00227792">
      <w:pPr>
        <w:spacing w:after="0" w:line="240" w:lineRule="auto"/>
        <w:jc w:val="both"/>
        <w:rPr>
          <w:rFonts w:ascii="Bookman Old Style" w:eastAsiaTheme="minorEastAsia" w:hAnsi="Bookman Old Style"/>
        </w:rPr>
      </w:pPr>
    </w:p>
    <w:p w14:paraId="2AFB0473" w14:textId="77777777" w:rsidR="00160779" w:rsidRDefault="00160779" w:rsidP="00227792">
      <w:pPr>
        <w:spacing w:after="0" w:line="240" w:lineRule="auto"/>
        <w:jc w:val="both"/>
        <w:rPr>
          <w:rFonts w:ascii="Bookman Old Style" w:eastAsiaTheme="minorEastAsia" w:hAnsi="Bookman Old Style"/>
          <w:b/>
          <w:u w:val="single"/>
        </w:rPr>
      </w:pPr>
    </w:p>
    <w:p w14:paraId="5138FD96" w14:textId="12653864" w:rsidR="00DA23ED" w:rsidRDefault="00DA23ED" w:rsidP="00227792">
      <w:pPr>
        <w:spacing w:after="0" w:line="240" w:lineRule="auto"/>
        <w:jc w:val="both"/>
        <w:rPr>
          <w:rFonts w:ascii="Bookman Old Style" w:eastAsiaTheme="minorEastAsia" w:hAnsi="Bookman Old Style"/>
        </w:rPr>
      </w:pPr>
      <w:r>
        <w:rPr>
          <w:rFonts w:ascii="Bookman Old Style" w:eastAsiaTheme="minorEastAsia" w:hAnsi="Bookman Old Style"/>
          <w:b/>
          <w:u w:val="single"/>
        </w:rPr>
        <w:lastRenderedPageBreak/>
        <w:t>Redeeming Qualities of the IRR</w:t>
      </w:r>
    </w:p>
    <w:p w14:paraId="50310016" w14:textId="049DDAFB" w:rsidR="00DA23ED" w:rsidRDefault="00DA23ED" w:rsidP="00227792">
      <w:pPr>
        <w:spacing w:after="0" w:line="240" w:lineRule="auto"/>
        <w:jc w:val="both"/>
        <w:rPr>
          <w:rFonts w:ascii="Bookman Old Style" w:eastAsiaTheme="minorEastAsia" w:hAnsi="Bookman Old Style"/>
        </w:rPr>
      </w:pPr>
      <w:r>
        <w:rPr>
          <w:rFonts w:ascii="Bookman Old Style" w:eastAsiaTheme="minorEastAsia" w:hAnsi="Bookman Old Style"/>
        </w:rPr>
        <w:t>Despite its flaws, the IRR is popular in practice, more so than the NPV. It probably survives because it fills a need that the NPV doesn’t – in analyzing investments, people in general</w:t>
      </w:r>
      <w:r w:rsidR="00160779">
        <w:rPr>
          <w:rFonts w:ascii="Bookman Old Style" w:eastAsiaTheme="minorEastAsia" w:hAnsi="Bookman Old Style"/>
        </w:rPr>
        <w:t xml:space="preserve"> and financial analysis prefer talking about rates of return rather than dollar values.</w:t>
      </w:r>
    </w:p>
    <w:p w14:paraId="4D850F04" w14:textId="77777777" w:rsidR="00160779" w:rsidRDefault="00160779" w:rsidP="00227792">
      <w:pPr>
        <w:spacing w:after="0" w:line="240" w:lineRule="auto"/>
        <w:jc w:val="both"/>
        <w:rPr>
          <w:rFonts w:ascii="Bookman Old Style" w:eastAsiaTheme="minorEastAsia" w:hAnsi="Bookman Old Style"/>
        </w:rPr>
      </w:pPr>
    </w:p>
    <w:p w14:paraId="791AB1D6" w14:textId="41E951B1" w:rsidR="006F2D3A" w:rsidRDefault="006F2D3A" w:rsidP="00227792">
      <w:pPr>
        <w:spacing w:after="0" w:line="240" w:lineRule="auto"/>
        <w:jc w:val="both"/>
        <w:rPr>
          <w:rFonts w:ascii="Bookman Old Style" w:eastAsiaTheme="minorEastAsia" w:hAnsi="Bookman Old Style"/>
        </w:rPr>
      </w:pPr>
      <w:r>
        <w:rPr>
          <w:rFonts w:ascii="Bookman Old Style" w:eastAsiaTheme="minorEastAsia" w:hAnsi="Bookman Old Style"/>
        </w:rPr>
        <w:t>The IRR also seems to provide a simple way of communicating info</w:t>
      </w:r>
      <w:r w:rsidR="00E83A2B">
        <w:rPr>
          <w:rFonts w:ascii="Bookman Old Style" w:eastAsiaTheme="minorEastAsia" w:hAnsi="Bookman Old Style"/>
        </w:rPr>
        <w:t xml:space="preserve">rmation about a proposal </w:t>
      </w:r>
      <w:r w:rsidR="00E83A2B" w:rsidRPr="00E83A2B">
        <w:rPr>
          <w:rFonts w:ascii="Bookman Old Style" w:eastAsiaTheme="minorEastAsia" w:hAnsi="Bookman Old Style"/>
        </w:rPr>
        <w:sym w:font="Wingdings" w:char="F0E0"/>
      </w:r>
      <w:r w:rsidR="00E83A2B">
        <w:rPr>
          <w:rFonts w:ascii="Bookman Old Style" w:eastAsiaTheme="minorEastAsia" w:hAnsi="Bookman Old Style"/>
        </w:rPr>
        <w:t xml:space="preserve"> one manager might say to another, “</w:t>
      </w:r>
      <w:proofErr w:type="spellStart"/>
      <w:r w:rsidR="00E83A2B">
        <w:rPr>
          <w:rFonts w:ascii="Bookman Old Style" w:eastAsiaTheme="minorEastAsia" w:hAnsi="Bookman Old Style"/>
        </w:rPr>
        <w:t>Remodelling</w:t>
      </w:r>
      <w:proofErr w:type="spellEnd"/>
      <w:r w:rsidR="00E83A2B">
        <w:rPr>
          <w:rFonts w:ascii="Bookman Old Style" w:eastAsiaTheme="minorEastAsia" w:hAnsi="Bookman Old Style"/>
        </w:rPr>
        <w:t xml:space="preserve"> the clerical wing has a 20% return”, but it’s simpler to say “At a 10% discount rate, the net present value is $4000.”</w:t>
      </w:r>
    </w:p>
    <w:p w14:paraId="2EEFB876" w14:textId="77777777" w:rsidR="00E83A2B" w:rsidRDefault="00E83A2B" w:rsidP="00227792">
      <w:pPr>
        <w:spacing w:after="0" w:line="240" w:lineRule="auto"/>
        <w:jc w:val="both"/>
        <w:rPr>
          <w:rFonts w:ascii="Bookman Old Style" w:eastAsiaTheme="minorEastAsia" w:hAnsi="Bookman Old Style"/>
        </w:rPr>
      </w:pPr>
    </w:p>
    <w:p w14:paraId="3D845372" w14:textId="1D03AEA9" w:rsidR="00E83A2B" w:rsidRDefault="00E83A2B" w:rsidP="00227792">
      <w:pPr>
        <w:spacing w:after="0" w:line="240" w:lineRule="auto"/>
        <w:jc w:val="both"/>
        <w:rPr>
          <w:rFonts w:ascii="Bookman Old Style" w:eastAsiaTheme="minorEastAsia" w:hAnsi="Bookman Old Style"/>
        </w:rPr>
      </w:pPr>
      <w:r>
        <w:rPr>
          <w:rFonts w:ascii="Bookman Old Style" w:eastAsiaTheme="minorEastAsia" w:hAnsi="Bookman Old Style"/>
        </w:rPr>
        <w:t>Under certain circumstances, the IRR might have a practical advantage over NPV. We can’t estimate the NPV unless we know the appropriate discount rate, but we can still estimate the IRR.</w:t>
      </w:r>
    </w:p>
    <w:p w14:paraId="29402622" w14:textId="77777777" w:rsidR="00E83A2B" w:rsidRDefault="00E83A2B" w:rsidP="00227792">
      <w:pPr>
        <w:spacing w:after="0" w:line="240" w:lineRule="auto"/>
        <w:jc w:val="both"/>
        <w:rPr>
          <w:rFonts w:ascii="Bookman Old Style" w:eastAsiaTheme="minorEastAsia" w:hAnsi="Bookman Old Style"/>
        </w:rPr>
      </w:pPr>
    </w:p>
    <w:p w14:paraId="0607F51D" w14:textId="0DA7F2D7" w:rsidR="00E83A2B" w:rsidRDefault="00E83A2B" w:rsidP="00227792">
      <w:pPr>
        <w:spacing w:after="0" w:line="240" w:lineRule="auto"/>
        <w:jc w:val="both"/>
        <w:rPr>
          <w:rFonts w:ascii="Bookman Old Style" w:eastAsiaTheme="minorEastAsia" w:hAnsi="Bookman Old Style"/>
        </w:rPr>
      </w:pPr>
      <w:r w:rsidRPr="00E83A2B">
        <w:rPr>
          <w:rFonts w:ascii="Bookman Old Style" w:eastAsiaTheme="minorEastAsia" w:hAnsi="Bookman Old Style"/>
        </w:rPr>
        <w:t>Suppose</w:t>
      </w:r>
      <w:r>
        <w:rPr>
          <w:rFonts w:ascii="Bookman Old Style" w:eastAsiaTheme="minorEastAsia" w:hAnsi="Bookman Old Style"/>
        </w:rPr>
        <w:t xml:space="preserve"> we only have a rough estimate of the required return on an investment, but we found that, for example, it has a 40% return. We’d probably be inclined to take it since its very unlikely that the required return is that high.</w:t>
      </w:r>
    </w:p>
    <w:p w14:paraId="1A3C7103" w14:textId="77777777" w:rsidR="00E83A2B" w:rsidRDefault="00E83A2B" w:rsidP="00227792">
      <w:pPr>
        <w:spacing w:after="0" w:line="240" w:lineRule="auto"/>
        <w:jc w:val="both"/>
        <w:rPr>
          <w:rFonts w:ascii="Bookman Old Style" w:eastAsiaTheme="minorEastAsia" w:hAnsi="Bookman Old Style"/>
        </w:rPr>
      </w:pPr>
    </w:p>
    <w:p w14:paraId="7F1BC9D0" w14:textId="77777777" w:rsidR="00E83A2B" w:rsidRDefault="00E83A2B" w:rsidP="00227792">
      <w:pPr>
        <w:spacing w:after="0" w:line="240" w:lineRule="auto"/>
        <w:jc w:val="both"/>
        <w:rPr>
          <w:rFonts w:ascii="Bookman Old Style" w:eastAsiaTheme="minorEastAsia" w:hAnsi="Bookman Old Style"/>
        </w:rPr>
      </w:pPr>
    </w:p>
    <w:tbl>
      <w:tblPr>
        <w:tblStyle w:val="MediumGrid1-Accent3"/>
        <w:tblW w:w="0" w:type="auto"/>
        <w:tblLook w:val="04A0" w:firstRow="1" w:lastRow="0" w:firstColumn="1" w:lastColumn="0" w:noHBand="0" w:noVBand="1"/>
      </w:tblPr>
      <w:tblGrid>
        <w:gridCol w:w="4788"/>
        <w:gridCol w:w="4788"/>
      </w:tblGrid>
      <w:tr w:rsidR="00E83A2B" w14:paraId="128AB317" w14:textId="77777777" w:rsidTr="00E83A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gridSpan w:val="2"/>
          </w:tcPr>
          <w:p w14:paraId="42535903" w14:textId="6DF2CADE" w:rsidR="00E83A2B" w:rsidRPr="00B617A6" w:rsidRDefault="00E83A2B" w:rsidP="00E83A2B">
            <w:pPr>
              <w:jc w:val="center"/>
              <w:rPr>
                <w:rFonts w:ascii="Bookman Old Style" w:eastAsiaTheme="minorEastAsia" w:hAnsi="Bookman Old Style"/>
                <w:sz w:val="20"/>
              </w:rPr>
            </w:pPr>
            <w:r w:rsidRPr="00B617A6">
              <w:rPr>
                <w:rFonts w:ascii="Bookman Old Style" w:eastAsiaTheme="minorEastAsia" w:hAnsi="Bookman Old Style"/>
                <w:sz w:val="20"/>
              </w:rPr>
              <w:t xml:space="preserve">Advantages &amp; Disadvantages of the </w:t>
            </w:r>
            <w:r>
              <w:rPr>
                <w:rFonts w:ascii="Bookman Old Style" w:eastAsiaTheme="minorEastAsia" w:hAnsi="Bookman Old Style"/>
                <w:sz w:val="20"/>
              </w:rPr>
              <w:t>IRR (Internal Rate of Return) Rule</w:t>
            </w:r>
          </w:p>
        </w:tc>
      </w:tr>
      <w:tr w:rsidR="00E83A2B" w14:paraId="13D213D6" w14:textId="77777777" w:rsidTr="00E83A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6E053B84" w14:textId="77777777" w:rsidR="00E83A2B" w:rsidRPr="00B617A6" w:rsidRDefault="00E83A2B" w:rsidP="00E83A2B">
            <w:pPr>
              <w:jc w:val="center"/>
              <w:rPr>
                <w:rFonts w:ascii="Bookman Old Style" w:eastAsiaTheme="minorEastAsia" w:hAnsi="Bookman Old Style"/>
                <w:i/>
                <w:sz w:val="20"/>
              </w:rPr>
            </w:pPr>
            <w:r w:rsidRPr="00B617A6">
              <w:rPr>
                <w:rFonts w:ascii="Bookman Old Style" w:eastAsiaTheme="minorEastAsia" w:hAnsi="Bookman Old Style"/>
                <w:i/>
                <w:sz w:val="20"/>
              </w:rPr>
              <w:t>Advantages</w:t>
            </w:r>
          </w:p>
        </w:tc>
        <w:tc>
          <w:tcPr>
            <w:tcW w:w="4788" w:type="dxa"/>
          </w:tcPr>
          <w:p w14:paraId="59C91FB4" w14:textId="77777777" w:rsidR="00E83A2B" w:rsidRPr="00B617A6" w:rsidRDefault="00E83A2B" w:rsidP="00E83A2B">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b/>
                <w:i/>
                <w:sz w:val="20"/>
              </w:rPr>
            </w:pPr>
            <w:r w:rsidRPr="00B617A6">
              <w:rPr>
                <w:rFonts w:ascii="Bookman Old Style" w:eastAsiaTheme="minorEastAsia" w:hAnsi="Bookman Old Style"/>
                <w:b/>
                <w:i/>
                <w:sz w:val="20"/>
              </w:rPr>
              <w:t>Disadvantages</w:t>
            </w:r>
          </w:p>
        </w:tc>
      </w:tr>
      <w:tr w:rsidR="00E83A2B" w14:paraId="07BCBC58" w14:textId="77777777" w:rsidTr="00E83A2B">
        <w:tc>
          <w:tcPr>
            <w:cnfStyle w:val="001000000000" w:firstRow="0" w:lastRow="0" w:firstColumn="1" w:lastColumn="0" w:oddVBand="0" w:evenVBand="0" w:oddHBand="0" w:evenHBand="0" w:firstRowFirstColumn="0" w:firstRowLastColumn="0" w:lastRowFirstColumn="0" w:lastRowLastColumn="0"/>
            <w:tcW w:w="4788" w:type="dxa"/>
          </w:tcPr>
          <w:p w14:paraId="7D4FAB3E" w14:textId="1E30950D" w:rsidR="00E83A2B" w:rsidRPr="00B617A6" w:rsidRDefault="00E83A2B" w:rsidP="00E83A2B">
            <w:pPr>
              <w:jc w:val="both"/>
              <w:rPr>
                <w:rFonts w:ascii="Bookman Old Style" w:eastAsiaTheme="minorEastAsia" w:hAnsi="Bookman Old Style"/>
                <w:b w:val="0"/>
                <w:sz w:val="20"/>
              </w:rPr>
            </w:pPr>
            <w:r w:rsidRPr="00B617A6">
              <w:rPr>
                <w:rFonts w:ascii="Bookman Old Style" w:eastAsiaTheme="minorEastAsia" w:hAnsi="Bookman Old Style"/>
                <w:b w:val="0"/>
                <w:sz w:val="20"/>
              </w:rPr>
              <w:t xml:space="preserve">1. </w:t>
            </w:r>
            <w:r>
              <w:rPr>
                <w:rFonts w:ascii="Bookman Old Style" w:eastAsiaTheme="minorEastAsia" w:hAnsi="Bookman Old Style"/>
                <w:b w:val="0"/>
                <w:sz w:val="20"/>
              </w:rPr>
              <w:t>Closely related to NPV, generally leading to identical decisions</w:t>
            </w:r>
          </w:p>
        </w:tc>
        <w:tc>
          <w:tcPr>
            <w:tcW w:w="4788" w:type="dxa"/>
          </w:tcPr>
          <w:p w14:paraId="746953B2" w14:textId="3E3242F8" w:rsidR="00E83A2B" w:rsidRPr="00B617A6" w:rsidRDefault="00E83A2B" w:rsidP="00E83A2B">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B617A6">
              <w:rPr>
                <w:rFonts w:ascii="Bookman Old Style" w:eastAsiaTheme="minorEastAsia" w:hAnsi="Bookman Old Style"/>
                <w:sz w:val="20"/>
              </w:rPr>
              <w:t xml:space="preserve">1. </w:t>
            </w:r>
            <w:r>
              <w:rPr>
                <w:rFonts w:ascii="Bookman Old Style" w:eastAsiaTheme="minorEastAsia" w:hAnsi="Bookman Old Style"/>
                <w:sz w:val="20"/>
              </w:rPr>
              <w:t>May result in multiple answers or no answer with non-conventional cash flows</w:t>
            </w:r>
          </w:p>
        </w:tc>
      </w:tr>
      <w:tr w:rsidR="00E83A2B" w14:paraId="6D08D928" w14:textId="77777777" w:rsidTr="00E83A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6E922600" w14:textId="185F1B97" w:rsidR="00E83A2B" w:rsidRPr="00B617A6" w:rsidRDefault="00E83A2B" w:rsidP="00E83A2B">
            <w:pPr>
              <w:jc w:val="both"/>
              <w:rPr>
                <w:rFonts w:ascii="Bookman Old Style" w:eastAsiaTheme="minorEastAsia" w:hAnsi="Bookman Old Style"/>
                <w:b w:val="0"/>
                <w:sz w:val="20"/>
              </w:rPr>
            </w:pPr>
            <w:r w:rsidRPr="00B617A6">
              <w:rPr>
                <w:rFonts w:ascii="Bookman Old Style" w:eastAsiaTheme="minorEastAsia" w:hAnsi="Bookman Old Style"/>
                <w:b w:val="0"/>
                <w:sz w:val="20"/>
              </w:rPr>
              <w:t xml:space="preserve">2. </w:t>
            </w:r>
            <w:r>
              <w:rPr>
                <w:rFonts w:ascii="Bookman Old Style" w:eastAsiaTheme="minorEastAsia" w:hAnsi="Bookman Old Style"/>
                <w:b w:val="0"/>
                <w:sz w:val="20"/>
              </w:rPr>
              <w:t>Easy to understand and communicate</w:t>
            </w:r>
          </w:p>
        </w:tc>
        <w:tc>
          <w:tcPr>
            <w:tcW w:w="4788" w:type="dxa"/>
          </w:tcPr>
          <w:p w14:paraId="77C8CA61" w14:textId="1CA9B4C3" w:rsidR="00E83A2B" w:rsidRPr="00B617A6" w:rsidRDefault="00E83A2B" w:rsidP="00E83A2B">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B617A6">
              <w:rPr>
                <w:rFonts w:ascii="Bookman Old Style" w:eastAsiaTheme="minorEastAsia" w:hAnsi="Bookman Old Style"/>
                <w:sz w:val="20"/>
              </w:rPr>
              <w:t xml:space="preserve">2. </w:t>
            </w:r>
            <w:r>
              <w:rPr>
                <w:rFonts w:ascii="Bookman Old Style" w:eastAsiaTheme="minorEastAsia" w:hAnsi="Bookman Old Style"/>
                <w:sz w:val="20"/>
              </w:rPr>
              <w:t>May lead to incorrect decisions in comparisons of mutually exclusive investments</w:t>
            </w:r>
          </w:p>
        </w:tc>
      </w:tr>
    </w:tbl>
    <w:p w14:paraId="681A3B1A" w14:textId="77777777" w:rsidR="00E83A2B" w:rsidRDefault="00E83A2B" w:rsidP="00227792">
      <w:pPr>
        <w:spacing w:after="0" w:line="240" w:lineRule="auto"/>
        <w:jc w:val="both"/>
        <w:rPr>
          <w:rFonts w:ascii="Bookman Old Style" w:eastAsiaTheme="minorEastAsia" w:hAnsi="Bookman Old Style"/>
        </w:rPr>
      </w:pPr>
    </w:p>
    <w:p w14:paraId="0BBBDB57" w14:textId="77777777" w:rsidR="00E83A2B" w:rsidRDefault="00E83A2B" w:rsidP="00227792">
      <w:pPr>
        <w:spacing w:after="0" w:line="240" w:lineRule="auto"/>
        <w:jc w:val="both"/>
        <w:rPr>
          <w:rFonts w:ascii="Bookman Old Style" w:eastAsiaTheme="minorEastAsia" w:hAnsi="Bookman Old Style"/>
        </w:rPr>
      </w:pPr>
    </w:p>
    <w:p w14:paraId="103B6399" w14:textId="77777777" w:rsidR="00E83A2B" w:rsidRPr="00E83A2B" w:rsidRDefault="00E83A2B" w:rsidP="00227792">
      <w:pPr>
        <w:spacing w:after="0" w:line="240" w:lineRule="auto"/>
        <w:jc w:val="both"/>
        <w:rPr>
          <w:rFonts w:ascii="Bookman Old Style" w:eastAsiaTheme="minorEastAsia" w:hAnsi="Bookman Old Style"/>
        </w:rPr>
      </w:pPr>
    </w:p>
    <w:p w14:paraId="36E69072" w14:textId="4A94D88D" w:rsidR="00160779" w:rsidRDefault="00E83A2B" w:rsidP="00E83A2B">
      <w:pPr>
        <w:spacing w:after="0" w:line="240" w:lineRule="auto"/>
        <w:jc w:val="center"/>
        <w:rPr>
          <w:rFonts w:ascii="Bookman Old Style" w:eastAsiaTheme="minorEastAsia" w:hAnsi="Bookman Old Style"/>
          <w:b/>
          <w:u w:val="single"/>
        </w:rPr>
      </w:pPr>
      <w:r>
        <w:rPr>
          <w:rFonts w:ascii="Bookman Old Style" w:eastAsiaTheme="minorEastAsia" w:hAnsi="Bookman Old Style"/>
          <w:b/>
          <w:u w:val="single"/>
        </w:rPr>
        <w:t>THE PROFITABILITY INDEX</w:t>
      </w:r>
    </w:p>
    <w:p w14:paraId="35885796" w14:textId="77777777" w:rsidR="00E83A2B" w:rsidRDefault="00E83A2B" w:rsidP="00E83A2B">
      <w:pPr>
        <w:spacing w:after="0" w:line="240" w:lineRule="auto"/>
        <w:jc w:val="both"/>
        <w:rPr>
          <w:rFonts w:ascii="Bookman Old Style" w:eastAsiaTheme="minorEastAsia" w:hAnsi="Bookman Old Style"/>
        </w:rPr>
      </w:pPr>
    </w:p>
    <w:p w14:paraId="4B4488DE" w14:textId="012C1BA6" w:rsidR="00E83A2B" w:rsidRDefault="00E83A2B" w:rsidP="00E83A2B">
      <w:pPr>
        <w:spacing w:after="0" w:line="240" w:lineRule="auto"/>
        <w:jc w:val="both"/>
        <w:rPr>
          <w:rFonts w:ascii="Bookman Old Style" w:eastAsiaTheme="minorEastAsia" w:hAnsi="Bookman Old Style"/>
        </w:rPr>
      </w:pPr>
      <w:r>
        <w:rPr>
          <w:rFonts w:ascii="Bookman Old Style" w:eastAsiaTheme="minorEastAsia" w:hAnsi="Bookman Old Style"/>
        </w:rPr>
        <w:t xml:space="preserve">Another way to evaluate projects is called the </w:t>
      </w:r>
      <w:r>
        <w:rPr>
          <w:rFonts w:ascii="Bookman Old Style" w:eastAsiaTheme="minorEastAsia" w:hAnsi="Bookman Old Style"/>
          <w:b/>
        </w:rPr>
        <w:t>profitability index (PI)</w:t>
      </w:r>
      <w:r>
        <w:rPr>
          <w:rFonts w:ascii="Bookman Old Style" w:eastAsiaTheme="minorEastAsia" w:hAnsi="Bookman Old Style"/>
        </w:rPr>
        <w:t xml:space="preserve"> or the </w:t>
      </w:r>
      <w:r>
        <w:rPr>
          <w:rFonts w:ascii="Bookman Old Style" w:eastAsiaTheme="minorEastAsia" w:hAnsi="Bookman Old Style"/>
          <w:b/>
        </w:rPr>
        <w:t>benefit/cost ratio</w:t>
      </w:r>
      <w:r>
        <w:rPr>
          <w:rFonts w:ascii="Bookman Old Style" w:eastAsiaTheme="minorEastAsia" w:hAnsi="Bookman Old Style"/>
        </w:rPr>
        <w:t>.</w:t>
      </w:r>
    </w:p>
    <w:p w14:paraId="615B2876" w14:textId="77777777" w:rsidR="00E83A2B" w:rsidRDefault="00E83A2B" w:rsidP="00E83A2B">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E83A2B" w14:paraId="707D1066" w14:textId="77777777" w:rsidTr="00E83A2B">
        <w:tc>
          <w:tcPr>
            <w:tcW w:w="9576" w:type="dxa"/>
          </w:tcPr>
          <w:p w14:paraId="08EB088D" w14:textId="3EE6D2CC" w:rsidR="00E83A2B" w:rsidRDefault="00E83A2B" w:rsidP="00E83A2B">
            <w:pPr>
              <w:jc w:val="both"/>
              <w:rPr>
                <w:rFonts w:ascii="Bookman Old Style" w:eastAsiaTheme="minorEastAsia" w:hAnsi="Bookman Old Style"/>
              </w:rPr>
            </w:pPr>
          </w:p>
          <w:p w14:paraId="56100042" w14:textId="6415B45B" w:rsidR="00E83A2B" w:rsidRDefault="00E83A2B" w:rsidP="00E83A2B">
            <w:pPr>
              <w:jc w:val="both"/>
              <w:rPr>
                <w:rFonts w:ascii="Bookman Old Style" w:eastAsiaTheme="minorEastAsia" w:hAnsi="Bookman Old Style"/>
              </w:rPr>
            </w:pPr>
            <w:r>
              <w:rPr>
                <w:rFonts w:ascii="Bookman Old Style" w:eastAsiaTheme="minorEastAsia" w:hAnsi="Bookman Old Style"/>
                <w:b/>
              </w:rPr>
              <w:t>Profitability Index (PI) –</w:t>
            </w:r>
            <w:r>
              <w:rPr>
                <w:rFonts w:ascii="Bookman Old Style" w:eastAsiaTheme="minorEastAsia" w:hAnsi="Bookman Old Style"/>
              </w:rPr>
              <w:t xml:space="preserve"> The present value of an investment’s future cash flows divided by its initial cost. Also known as the benefit/cost ratio.</w:t>
            </w:r>
          </w:p>
          <w:p w14:paraId="4B9FECA5" w14:textId="77777777" w:rsidR="00E83A2B" w:rsidRDefault="00E83A2B" w:rsidP="00E83A2B">
            <w:pPr>
              <w:jc w:val="both"/>
              <w:rPr>
                <w:rFonts w:ascii="Bookman Old Style" w:eastAsiaTheme="minorEastAsia" w:hAnsi="Bookman Old Style"/>
              </w:rPr>
            </w:pPr>
          </w:p>
          <w:p w14:paraId="5146594C" w14:textId="2AB5E248" w:rsidR="00E83A2B" w:rsidRPr="00E83A2B" w:rsidRDefault="00E83A2B" w:rsidP="00E83A2B">
            <w:pPr>
              <w:jc w:val="both"/>
              <w:rPr>
                <w:rFonts w:ascii="Bookman Old Style" w:eastAsiaTheme="minorEastAsia" w:hAnsi="Bookman Old Style"/>
              </w:rPr>
            </w:pPr>
            <w:r>
              <w:rPr>
                <w:rFonts w:ascii="Bookman Old Style" w:eastAsiaTheme="minorEastAsia" w:hAnsi="Bookman Old Style"/>
                <w:b/>
              </w:rPr>
              <w:t>Benefit/Cost Ratio</w:t>
            </w:r>
            <w:r>
              <w:rPr>
                <w:rFonts w:ascii="Bookman Old Style" w:eastAsiaTheme="minorEastAsia" w:hAnsi="Bookman Old Style"/>
              </w:rPr>
              <w:t xml:space="preserve"> – The profitability index of an investment project.</w:t>
            </w:r>
          </w:p>
          <w:p w14:paraId="1F613D65" w14:textId="15F43E8A" w:rsidR="00E83A2B" w:rsidRPr="00E83A2B" w:rsidRDefault="00E83A2B" w:rsidP="00E83A2B">
            <w:pPr>
              <w:jc w:val="both"/>
              <w:rPr>
                <w:rFonts w:ascii="Bookman Old Style" w:eastAsiaTheme="minorEastAsia" w:hAnsi="Bookman Old Style"/>
              </w:rPr>
            </w:pPr>
          </w:p>
        </w:tc>
      </w:tr>
    </w:tbl>
    <w:p w14:paraId="142D6E8C" w14:textId="77777777" w:rsidR="00E83A2B" w:rsidRDefault="00E83A2B" w:rsidP="00E83A2B">
      <w:pPr>
        <w:spacing w:after="0" w:line="240" w:lineRule="auto"/>
        <w:jc w:val="both"/>
        <w:rPr>
          <w:rFonts w:ascii="Bookman Old Style" w:eastAsiaTheme="minorEastAsia" w:hAnsi="Bookman Old Style"/>
        </w:rPr>
      </w:pPr>
    </w:p>
    <w:p w14:paraId="2FB4F175" w14:textId="77777777" w:rsidR="00E83A2B" w:rsidRDefault="00E83A2B" w:rsidP="00E83A2B">
      <w:pPr>
        <w:spacing w:after="0" w:line="240" w:lineRule="auto"/>
        <w:jc w:val="both"/>
        <w:rPr>
          <w:rFonts w:ascii="Bookman Old Style" w:eastAsiaTheme="minorEastAsia" w:hAnsi="Bookman Old Style"/>
        </w:rPr>
      </w:pPr>
    </w:p>
    <w:p w14:paraId="6931B187" w14:textId="1E99B3CC" w:rsidR="00B66019" w:rsidRPr="00B66019" w:rsidRDefault="000E0536" w:rsidP="00E83A2B">
      <w:pPr>
        <w:spacing w:after="0" w:line="240" w:lineRule="auto"/>
        <w:jc w:val="both"/>
        <w:rPr>
          <w:rFonts w:ascii="Bookman Old Style" w:eastAsiaTheme="minorEastAsia" w:hAnsi="Bookman Old Style"/>
        </w:rPr>
      </w:pPr>
      <m:oMathPara>
        <m:oMath>
          <m:f>
            <m:fPr>
              <m:ctrlPr>
                <w:rPr>
                  <w:rFonts w:ascii="Cambria Math" w:eastAsiaTheme="minorEastAsia" w:hAnsi="Cambria Math"/>
                  <w:i/>
                </w:rPr>
              </m:ctrlPr>
            </m:fPr>
            <m:num>
              <m:r>
                <w:rPr>
                  <w:rFonts w:ascii="Cambria Math" w:eastAsiaTheme="minorEastAsia" w:hAnsi="Cambria Math"/>
                </w:rPr>
                <m:t>PV of Investmen</m:t>
              </m:r>
              <m:sSup>
                <m:sSupPr>
                  <m:ctrlPr>
                    <w:rPr>
                      <w:rFonts w:ascii="Cambria Math" w:eastAsiaTheme="minorEastAsia" w:hAnsi="Cambria Math"/>
                      <w:i/>
                    </w:rPr>
                  </m:ctrlPr>
                </m:sSupPr>
                <m:e>
                  <m:r>
                    <w:rPr>
                      <w:rFonts w:ascii="Cambria Math" w:eastAsiaTheme="minorEastAsia" w:hAnsi="Cambria Math"/>
                    </w:rPr>
                    <m:t>t</m:t>
                  </m:r>
                </m:e>
                <m:sup>
                  <m:r>
                    <w:rPr>
                      <w:rFonts w:ascii="Cambria Math" w:eastAsiaTheme="minorEastAsia" w:hAnsi="Cambria Math"/>
                    </w:rPr>
                    <m:t>'</m:t>
                  </m:r>
                </m:sup>
              </m:sSup>
              <m:r>
                <w:rPr>
                  <w:rFonts w:ascii="Cambria Math" w:eastAsiaTheme="minorEastAsia" w:hAnsi="Cambria Math"/>
                </w:rPr>
                <m:t>s Future Cash Flows</m:t>
              </m:r>
            </m:num>
            <m:den>
              <m:r>
                <w:rPr>
                  <w:rFonts w:ascii="Cambria Math" w:eastAsiaTheme="minorEastAsia" w:hAnsi="Cambria Math"/>
                </w:rPr>
                <m:t>Intial Cost</m:t>
              </m:r>
            </m:den>
          </m:f>
        </m:oMath>
      </m:oMathPara>
    </w:p>
    <w:p w14:paraId="08D55E66" w14:textId="77777777" w:rsidR="00B66019" w:rsidRDefault="00B66019" w:rsidP="00E83A2B">
      <w:pPr>
        <w:spacing w:after="0" w:line="240" w:lineRule="auto"/>
        <w:jc w:val="both"/>
        <w:rPr>
          <w:rFonts w:ascii="Bookman Old Style" w:eastAsiaTheme="minorEastAsia" w:hAnsi="Bookman Old Style"/>
        </w:rPr>
      </w:pPr>
    </w:p>
    <w:p w14:paraId="09936863" w14:textId="68B64616" w:rsidR="00B66019" w:rsidRDefault="00B66019" w:rsidP="00E83A2B">
      <w:pPr>
        <w:spacing w:after="0" w:line="240" w:lineRule="auto"/>
        <w:jc w:val="both"/>
        <w:rPr>
          <w:rFonts w:ascii="Bookman Old Style" w:eastAsiaTheme="minorEastAsia" w:hAnsi="Bookman Old Style"/>
        </w:rPr>
      </w:pPr>
      <w:r>
        <w:rPr>
          <w:rFonts w:ascii="Bookman Old Style" w:eastAsiaTheme="minorEastAsia" w:hAnsi="Bookman Old Style"/>
        </w:rPr>
        <w:t>So, if a project costs $200 and the PV of its future cash flows is $220, the profitability index value would be $220/200 = 1.10.</w:t>
      </w:r>
    </w:p>
    <w:p w14:paraId="7721DA07" w14:textId="06C0C408" w:rsidR="00B66019" w:rsidRDefault="00B66019" w:rsidP="00E83A2B">
      <w:pPr>
        <w:spacing w:after="0" w:line="240" w:lineRule="auto"/>
        <w:jc w:val="both"/>
        <w:rPr>
          <w:rFonts w:ascii="Bookman Old Style" w:eastAsiaTheme="minorEastAsia" w:hAnsi="Bookman Old Style"/>
        </w:rPr>
      </w:pPr>
      <w:r>
        <w:rPr>
          <w:rFonts w:ascii="Bookman Old Style" w:eastAsiaTheme="minorEastAsia" w:hAnsi="Bookman Old Style"/>
        </w:rPr>
        <w:t>The NPV for this project is $20, so it’s a desirable investment.</w:t>
      </w:r>
    </w:p>
    <w:p w14:paraId="2C2D2AF1" w14:textId="33611C0E" w:rsidR="00B66019" w:rsidRDefault="00B66019" w:rsidP="00E83A2B">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Generally, if a project has a positive NPV, the PV of the future cash flows must be bigger than the initial investment. The profitability index would thus be bigger than 1.00 for a positive NPV investment and less than 1.00 for a negative NPV investment.</w:t>
      </w:r>
    </w:p>
    <w:p w14:paraId="3CDE3341" w14:textId="77777777" w:rsidR="00B66019" w:rsidRDefault="00B66019" w:rsidP="00E83A2B">
      <w:pPr>
        <w:spacing w:after="0" w:line="240" w:lineRule="auto"/>
        <w:jc w:val="both"/>
        <w:rPr>
          <w:rFonts w:ascii="Bookman Old Style" w:eastAsiaTheme="minorEastAsia" w:hAnsi="Bookman Old Style"/>
        </w:rPr>
      </w:pPr>
    </w:p>
    <w:p w14:paraId="2F7E1DF4" w14:textId="56EF6D60" w:rsidR="00B66019" w:rsidRPr="00B66019" w:rsidRDefault="00B66019" w:rsidP="00B66019">
      <w:pPr>
        <w:spacing w:after="0" w:line="240" w:lineRule="auto"/>
        <w:jc w:val="center"/>
        <w:rPr>
          <w:rFonts w:ascii="Bookman Old Style" w:eastAsiaTheme="minorEastAsia" w:hAnsi="Bookman Old Style"/>
          <w:b/>
        </w:rPr>
      </w:pPr>
      <w:r w:rsidRPr="00B66019">
        <w:rPr>
          <w:rFonts w:ascii="Bookman Old Style" w:eastAsiaTheme="minorEastAsia" w:hAnsi="Bookman Old Style"/>
          <w:b/>
        </w:rPr>
        <w:t>Positive NPV investment = PI &gt; 1.00</w:t>
      </w:r>
    </w:p>
    <w:p w14:paraId="144FDD74" w14:textId="5AB1F963" w:rsidR="00B66019" w:rsidRPr="00B66019" w:rsidRDefault="00B66019" w:rsidP="00B66019">
      <w:pPr>
        <w:spacing w:after="0" w:line="240" w:lineRule="auto"/>
        <w:jc w:val="center"/>
        <w:rPr>
          <w:rFonts w:ascii="Bookman Old Style" w:eastAsiaTheme="minorEastAsia" w:hAnsi="Bookman Old Style"/>
          <w:b/>
        </w:rPr>
      </w:pPr>
      <w:r w:rsidRPr="00B66019">
        <w:rPr>
          <w:rFonts w:ascii="Bookman Old Style" w:eastAsiaTheme="minorEastAsia" w:hAnsi="Bookman Old Style"/>
          <w:b/>
        </w:rPr>
        <w:t>Negative NPV investment = PI &lt; 1.00</w:t>
      </w:r>
    </w:p>
    <w:p w14:paraId="3A43EB98" w14:textId="77777777" w:rsidR="00B66019" w:rsidRDefault="00B66019" w:rsidP="00E83A2B">
      <w:pPr>
        <w:spacing w:after="0" w:line="240" w:lineRule="auto"/>
        <w:jc w:val="both"/>
        <w:rPr>
          <w:rFonts w:ascii="Bookman Old Style" w:eastAsiaTheme="minorEastAsia" w:hAnsi="Bookman Old Style"/>
        </w:rPr>
      </w:pPr>
    </w:p>
    <w:p w14:paraId="7557DB61" w14:textId="32A87820" w:rsidR="00B66019" w:rsidRDefault="008A2F17" w:rsidP="00E83A2B">
      <w:pPr>
        <w:spacing w:after="0" w:line="240" w:lineRule="auto"/>
        <w:jc w:val="both"/>
        <w:rPr>
          <w:rFonts w:ascii="Bookman Old Style" w:eastAsiaTheme="minorEastAsia" w:hAnsi="Bookman Old Style"/>
        </w:rPr>
      </w:pPr>
      <w:r>
        <w:rPr>
          <w:rFonts w:ascii="Bookman Old Style" w:eastAsiaTheme="minorEastAsia" w:hAnsi="Bookman Old Style"/>
        </w:rPr>
        <w:t>How do we interpret a profitability index?</w:t>
      </w:r>
    </w:p>
    <w:p w14:paraId="4877B004" w14:textId="77777777" w:rsidR="008A2F17" w:rsidRDefault="008A2F17" w:rsidP="00E83A2B">
      <w:pPr>
        <w:spacing w:after="0" w:line="240" w:lineRule="auto"/>
        <w:jc w:val="both"/>
        <w:rPr>
          <w:rFonts w:ascii="Bookman Old Style" w:eastAsiaTheme="minorEastAsia" w:hAnsi="Bookman Old Style"/>
        </w:rPr>
      </w:pPr>
    </w:p>
    <w:p w14:paraId="041521F8" w14:textId="39C4DF5E" w:rsidR="008A2F17" w:rsidRDefault="008A2F17" w:rsidP="00E83A2B">
      <w:pPr>
        <w:spacing w:after="0" w:line="240" w:lineRule="auto"/>
        <w:jc w:val="both"/>
        <w:rPr>
          <w:rFonts w:ascii="Bookman Old Style" w:eastAsiaTheme="minorEastAsia" w:hAnsi="Bookman Old Style"/>
        </w:rPr>
      </w:pPr>
      <w:r>
        <w:rPr>
          <w:rFonts w:ascii="Bookman Old Style" w:eastAsiaTheme="minorEastAsia" w:hAnsi="Bookman Old Style"/>
          <w:i/>
          <w:u w:val="single"/>
        </w:rPr>
        <w:t>Ex.:</w:t>
      </w:r>
    </w:p>
    <w:p w14:paraId="50B9DC6F" w14:textId="4FD30A4A" w:rsidR="008A2F17" w:rsidRDefault="008A2F17" w:rsidP="00E83A2B">
      <w:pPr>
        <w:spacing w:after="0" w:line="240" w:lineRule="auto"/>
        <w:jc w:val="both"/>
        <w:rPr>
          <w:rFonts w:ascii="Bookman Old Style" w:eastAsiaTheme="minorEastAsia" w:hAnsi="Bookman Old Style"/>
        </w:rPr>
      </w:pPr>
      <w:r>
        <w:rPr>
          <w:rFonts w:ascii="Bookman Old Style" w:eastAsiaTheme="minorEastAsia" w:hAnsi="Bookman Old Style"/>
        </w:rPr>
        <w:t xml:space="preserve">If our PI is 1.0, it tells us that per dollar invested, $1.10 in </w:t>
      </w:r>
      <w:r>
        <w:rPr>
          <w:rFonts w:ascii="Bookman Old Style" w:eastAsiaTheme="minorEastAsia" w:hAnsi="Bookman Old Style"/>
          <w:u w:val="single"/>
        </w:rPr>
        <w:t>value</w:t>
      </w:r>
      <w:r>
        <w:rPr>
          <w:rFonts w:ascii="Bookman Old Style" w:eastAsiaTheme="minorEastAsia" w:hAnsi="Bookman Old Style"/>
        </w:rPr>
        <w:t xml:space="preserve"> or $0.10 in </w:t>
      </w:r>
      <w:r>
        <w:rPr>
          <w:rFonts w:ascii="Bookman Old Style" w:eastAsiaTheme="minorEastAsia" w:hAnsi="Bookman Old Style"/>
          <w:u w:val="single"/>
        </w:rPr>
        <w:t>NPV</w:t>
      </w:r>
      <w:r>
        <w:rPr>
          <w:rFonts w:ascii="Bookman Old Style" w:eastAsiaTheme="minorEastAsia" w:hAnsi="Bookman Old Style"/>
        </w:rPr>
        <w:t xml:space="preserve"> results. The profitability index therefore measures “bang for the buck” – the value created per dollar invested.</w:t>
      </w:r>
    </w:p>
    <w:p w14:paraId="3AEA768E" w14:textId="77777777" w:rsidR="008A2F17" w:rsidRDefault="008A2F17" w:rsidP="00E83A2B">
      <w:pPr>
        <w:spacing w:after="0" w:line="240" w:lineRule="auto"/>
        <w:jc w:val="both"/>
        <w:rPr>
          <w:rFonts w:ascii="Bookman Old Style" w:eastAsiaTheme="minorEastAsia" w:hAnsi="Bookman Old Style"/>
        </w:rPr>
      </w:pPr>
    </w:p>
    <w:p w14:paraId="6E3E9784" w14:textId="3DE9CE48" w:rsidR="008A2F17" w:rsidRDefault="008A2F17" w:rsidP="00E83A2B">
      <w:pPr>
        <w:spacing w:after="0" w:line="240" w:lineRule="auto"/>
        <w:jc w:val="both"/>
        <w:rPr>
          <w:rFonts w:ascii="Bookman Old Style" w:eastAsiaTheme="minorEastAsia" w:hAnsi="Bookman Old Style"/>
        </w:rPr>
      </w:pPr>
      <w:r>
        <w:rPr>
          <w:rFonts w:ascii="Bookman Old Style" w:eastAsiaTheme="minorEastAsia" w:hAnsi="Bookman Old Style"/>
        </w:rPr>
        <w:t>Because of this, the index can be used by attempting to quantify both tangible and intangible costs and benefits of a particular program or project.</w:t>
      </w:r>
    </w:p>
    <w:p w14:paraId="72478C99" w14:textId="77777777" w:rsidR="008A2F17" w:rsidRDefault="008A2F17" w:rsidP="00E83A2B">
      <w:pPr>
        <w:spacing w:after="0" w:line="240" w:lineRule="auto"/>
        <w:jc w:val="both"/>
        <w:rPr>
          <w:rFonts w:ascii="Bookman Old Style" w:eastAsiaTheme="minorEastAsia" w:hAnsi="Bookman Old Style"/>
        </w:rPr>
      </w:pPr>
    </w:p>
    <w:p w14:paraId="4D9B6E02" w14:textId="5ED81200" w:rsidR="008A2F17" w:rsidRDefault="008A2F17" w:rsidP="00E83A2B">
      <w:pPr>
        <w:spacing w:after="0" w:line="240" w:lineRule="auto"/>
        <w:jc w:val="both"/>
        <w:rPr>
          <w:rFonts w:ascii="Bookman Old Style" w:eastAsiaTheme="minorEastAsia" w:hAnsi="Bookman Old Style"/>
        </w:rPr>
      </w:pPr>
      <w:r>
        <w:rPr>
          <w:rFonts w:ascii="Bookman Old Style" w:eastAsiaTheme="minorEastAsia" w:hAnsi="Bookman Old Style"/>
        </w:rPr>
        <w:t xml:space="preserve">The PI is similar to the NPV. </w:t>
      </w:r>
    </w:p>
    <w:p w14:paraId="22376A96" w14:textId="6C3A5F42" w:rsidR="008A2F17" w:rsidRDefault="008A2F17" w:rsidP="00E83A2B">
      <w:pPr>
        <w:spacing w:after="0" w:line="240" w:lineRule="auto"/>
        <w:jc w:val="both"/>
        <w:rPr>
          <w:rFonts w:ascii="Bookman Old Style" w:eastAsiaTheme="minorEastAsia" w:hAnsi="Bookman Old Style"/>
        </w:rPr>
      </w:pPr>
      <w:r>
        <w:rPr>
          <w:rFonts w:ascii="Bookman Old Style" w:eastAsiaTheme="minorEastAsia" w:hAnsi="Bookman Old Style"/>
        </w:rPr>
        <w:t>Consider an investment that costs $5 and has a $10 PV and an investment that costs $100 with a $150 PV. The first investment has an NPV of $5 and a PI of 2. The second has an NPV of $50 and a PI of 1.50.</w:t>
      </w:r>
    </w:p>
    <w:p w14:paraId="7E85C097" w14:textId="77777777" w:rsidR="008A2F17" w:rsidRDefault="008A2F17" w:rsidP="00E83A2B">
      <w:pPr>
        <w:spacing w:after="0" w:line="240" w:lineRule="auto"/>
        <w:jc w:val="both"/>
        <w:rPr>
          <w:rFonts w:ascii="Bookman Old Style" w:eastAsiaTheme="minorEastAsia" w:hAnsi="Bookman Old Style"/>
        </w:rPr>
      </w:pPr>
    </w:p>
    <w:p w14:paraId="1665514D" w14:textId="17530152" w:rsidR="008A2F17" w:rsidRDefault="008A2F17" w:rsidP="00E83A2B">
      <w:pPr>
        <w:spacing w:after="0" w:line="240" w:lineRule="auto"/>
        <w:jc w:val="both"/>
        <w:rPr>
          <w:rFonts w:ascii="Bookman Old Style" w:eastAsiaTheme="minorEastAsia" w:hAnsi="Bookman Old Style"/>
        </w:rPr>
      </w:pPr>
      <w:r>
        <w:rPr>
          <w:rFonts w:ascii="Bookman Old Style" w:eastAsiaTheme="minorEastAsia" w:hAnsi="Bookman Old Style"/>
        </w:rPr>
        <w:t>If these were mutually exclusive investments, the second one is preferred even though it has a lower PI. This ranking problem is similar to the IRR ranking problem – there seems to be little reason to rely on the PI instead of the NPV.</w:t>
      </w:r>
    </w:p>
    <w:p w14:paraId="666664C1" w14:textId="77777777" w:rsidR="008A2F17" w:rsidRDefault="008A2F17" w:rsidP="00E83A2B">
      <w:pPr>
        <w:spacing w:after="0" w:line="240" w:lineRule="auto"/>
        <w:jc w:val="both"/>
        <w:rPr>
          <w:rFonts w:ascii="Bookman Old Style" w:eastAsiaTheme="minorEastAsia" w:hAnsi="Bookman Old Style"/>
        </w:rPr>
      </w:pPr>
    </w:p>
    <w:p w14:paraId="01342246" w14:textId="77777777" w:rsidR="008A2F17" w:rsidRDefault="008A2F17" w:rsidP="00E83A2B">
      <w:pPr>
        <w:spacing w:after="0" w:line="240" w:lineRule="auto"/>
        <w:jc w:val="both"/>
        <w:rPr>
          <w:rFonts w:ascii="Bookman Old Style" w:eastAsiaTheme="minorEastAsia" w:hAnsi="Bookman Old Style"/>
        </w:rPr>
      </w:pPr>
    </w:p>
    <w:tbl>
      <w:tblPr>
        <w:tblStyle w:val="MediumGrid1-Accent3"/>
        <w:tblW w:w="0" w:type="auto"/>
        <w:tblLook w:val="04A0" w:firstRow="1" w:lastRow="0" w:firstColumn="1" w:lastColumn="0" w:noHBand="0" w:noVBand="1"/>
      </w:tblPr>
      <w:tblGrid>
        <w:gridCol w:w="4788"/>
        <w:gridCol w:w="4788"/>
      </w:tblGrid>
      <w:tr w:rsidR="00EB615E" w14:paraId="38286138" w14:textId="77777777" w:rsidTr="000E05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gridSpan w:val="2"/>
          </w:tcPr>
          <w:p w14:paraId="0CEE9720" w14:textId="68C29D5B" w:rsidR="00EB615E" w:rsidRPr="00B617A6" w:rsidRDefault="00EB615E" w:rsidP="00EB615E">
            <w:pPr>
              <w:jc w:val="center"/>
              <w:rPr>
                <w:rFonts w:ascii="Bookman Old Style" w:eastAsiaTheme="minorEastAsia" w:hAnsi="Bookman Old Style"/>
                <w:sz w:val="20"/>
              </w:rPr>
            </w:pPr>
            <w:r w:rsidRPr="00B617A6">
              <w:rPr>
                <w:rFonts w:ascii="Bookman Old Style" w:eastAsiaTheme="minorEastAsia" w:hAnsi="Bookman Old Style"/>
                <w:sz w:val="20"/>
              </w:rPr>
              <w:t xml:space="preserve">Advantages &amp; Disadvantages of the </w:t>
            </w:r>
            <w:r>
              <w:rPr>
                <w:rFonts w:ascii="Bookman Old Style" w:eastAsiaTheme="minorEastAsia" w:hAnsi="Bookman Old Style"/>
                <w:sz w:val="20"/>
              </w:rPr>
              <w:t>Profitability Index (PI) Rule</w:t>
            </w:r>
          </w:p>
        </w:tc>
      </w:tr>
      <w:tr w:rsidR="00EB615E" w14:paraId="2A1B1160" w14:textId="77777777" w:rsidTr="000E05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00267CD6" w14:textId="77777777" w:rsidR="00EB615E" w:rsidRPr="00B617A6" w:rsidRDefault="00EB615E" w:rsidP="000E0536">
            <w:pPr>
              <w:jc w:val="center"/>
              <w:rPr>
                <w:rFonts w:ascii="Bookman Old Style" w:eastAsiaTheme="minorEastAsia" w:hAnsi="Bookman Old Style"/>
                <w:i/>
                <w:sz w:val="20"/>
              </w:rPr>
            </w:pPr>
            <w:r w:rsidRPr="00B617A6">
              <w:rPr>
                <w:rFonts w:ascii="Bookman Old Style" w:eastAsiaTheme="minorEastAsia" w:hAnsi="Bookman Old Style"/>
                <w:i/>
                <w:sz w:val="20"/>
              </w:rPr>
              <w:t>Advantages</w:t>
            </w:r>
          </w:p>
        </w:tc>
        <w:tc>
          <w:tcPr>
            <w:tcW w:w="4788" w:type="dxa"/>
          </w:tcPr>
          <w:p w14:paraId="5F8FC8E6" w14:textId="77777777" w:rsidR="00EB615E" w:rsidRPr="00B617A6" w:rsidRDefault="00EB615E" w:rsidP="000E0536">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b/>
                <w:i/>
                <w:sz w:val="20"/>
              </w:rPr>
            </w:pPr>
            <w:r w:rsidRPr="00B617A6">
              <w:rPr>
                <w:rFonts w:ascii="Bookman Old Style" w:eastAsiaTheme="minorEastAsia" w:hAnsi="Bookman Old Style"/>
                <w:b/>
                <w:i/>
                <w:sz w:val="20"/>
              </w:rPr>
              <w:t>Disadvantages</w:t>
            </w:r>
          </w:p>
        </w:tc>
      </w:tr>
      <w:tr w:rsidR="00EB615E" w14:paraId="59FDAE8A" w14:textId="77777777" w:rsidTr="000E0536">
        <w:tc>
          <w:tcPr>
            <w:cnfStyle w:val="001000000000" w:firstRow="0" w:lastRow="0" w:firstColumn="1" w:lastColumn="0" w:oddVBand="0" w:evenVBand="0" w:oddHBand="0" w:evenHBand="0" w:firstRowFirstColumn="0" w:firstRowLastColumn="0" w:lastRowFirstColumn="0" w:lastRowLastColumn="0"/>
            <w:tcW w:w="4788" w:type="dxa"/>
          </w:tcPr>
          <w:p w14:paraId="6B764E5D" w14:textId="772E34B8" w:rsidR="00EB615E" w:rsidRPr="00B617A6" w:rsidRDefault="00EB615E" w:rsidP="00EB615E">
            <w:pPr>
              <w:jc w:val="both"/>
              <w:rPr>
                <w:rFonts w:ascii="Bookman Old Style" w:eastAsiaTheme="minorEastAsia" w:hAnsi="Bookman Old Style"/>
                <w:b w:val="0"/>
                <w:sz w:val="20"/>
              </w:rPr>
            </w:pPr>
            <w:r w:rsidRPr="00B617A6">
              <w:rPr>
                <w:rFonts w:ascii="Bookman Old Style" w:eastAsiaTheme="minorEastAsia" w:hAnsi="Bookman Old Style"/>
                <w:b w:val="0"/>
                <w:sz w:val="20"/>
              </w:rPr>
              <w:t xml:space="preserve">1. </w:t>
            </w:r>
            <w:r>
              <w:rPr>
                <w:rFonts w:ascii="Bookman Old Style" w:eastAsiaTheme="minorEastAsia" w:hAnsi="Bookman Old Style"/>
                <w:b w:val="0"/>
                <w:sz w:val="20"/>
              </w:rPr>
              <w:t>Closely related to NPV, generally leading to identical decisions</w:t>
            </w:r>
          </w:p>
        </w:tc>
        <w:tc>
          <w:tcPr>
            <w:tcW w:w="4788" w:type="dxa"/>
          </w:tcPr>
          <w:p w14:paraId="34A9325B" w14:textId="795763F7" w:rsidR="00EB615E" w:rsidRPr="00B617A6" w:rsidRDefault="00EB615E" w:rsidP="00EB615E">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B617A6">
              <w:rPr>
                <w:rFonts w:ascii="Bookman Old Style" w:eastAsiaTheme="minorEastAsia" w:hAnsi="Bookman Old Style"/>
                <w:sz w:val="20"/>
              </w:rPr>
              <w:t xml:space="preserve">1. </w:t>
            </w:r>
            <w:r>
              <w:rPr>
                <w:rFonts w:ascii="Bookman Old Style" w:eastAsiaTheme="minorEastAsia" w:hAnsi="Bookman Old Style"/>
                <w:sz w:val="20"/>
              </w:rPr>
              <w:t>May lead to incorrect decisions in comparisons of mutually exclusive investments</w:t>
            </w:r>
          </w:p>
        </w:tc>
      </w:tr>
      <w:tr w:rsidR="00EB615E" w14:paraId="6A7F22D9" w14:textId="77777777" w:rsidTr="000E05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741DCA08" w14:textId="109E07D9" w:rsidR="00EB615E" w:rsidRPr="00B617A6" w:rsidRDefault="00EB615E" w:rsidP="00EB615E">
            <w:pPr>
              <w:jc w:val="both"/>
              <w:rPr>
                <w:rFonts w:ascii="Bookman Old Style" w:eastAsiaTheme="minorEastAsia" w:hAnsi="Bookman Old Style"/>
                <w:b w:val="0"/>
                <w:sz w:val="20"/>
              </w:rPr>
            </w:pPr>
            <w:r w:rsidRPr="00B617A6">
              <w:rPr>
                <w:rFonts w:ascii="Bookman Old Style" w:eastAsiaTheme="minorEastAsia" w:hAnsi="Bookman Old Style"/>
                <w:b w:val="0"/>
                <w:sz w:val="20"/>
              </w:rPr>
              <w:t xml:space="preserve">2. </w:t>
            </w:r>
            <w:r>
              <w:rPr>
                <w:rFonts w:ascii="Bookman Old Style" w:eastAsiaTheme="minorEastAsia" w:hAnsi="Bookman Old Style"/>
                <w:b w:val="0"/>
                <w:sz w:val="20"/>
              </w:rPr>
              <w:t>Easy to understand and communicate</w:t>
            </w:r>
          </w:p>
        </w:tc>
        <w:tc>
          <w:tcPr>
            <w:tcW w:w="4788" w:type="dxa"/>
          </w:tcPr>
          <w:p w14:paraId="35DC964F" w14:textId="199FB872" w:rsidR="00EB615E" w:rsidRPr="00B617A6" w:rsidRDefault="00EB615E" w:rsidP="000E0536">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p>
        </w:tc>
      </w:tr>
      <w:tr w:rsidR="00EB615E" w14:paraId="184214AB" w14:textId="77777777" w:rsidTr="000E0536">
        <w:trPr>
          <w:trHeight w:val="68"/>
        </w:trPr>
        <w:tc>
          <w:tcPr>
            <w:cnfStyle w:val="001000000000" w:firstRow="0" w:lastRow="0" w:firstColumn="1" w:lastColumn="0" w:oddVBand="0" w:evenVBand="0" w:oddHBand="0" w:evenHBand="0" w:firstRowFirstColumn="0" w:firstRowLastColumn="0" w:lastRowFirstColumn="0" w:lastRowLastColumn="0"/>
            <w:tcW w:w="4788" w:type="dxa"/>
          </w:tcPr>
          <w:p w14:paraId="2A68C9FB" w14:textId="76C556BD" w:rsidR="00EB615E" w:rsidRPr="00B617A6" w:rsidRDefault="00EB615E" w:rsidP="00EB615E">
            <w:pPr>
              <w:jc w:val="both"/>
              <w:rPr>
                <w:rFonts w:ascii="Bookman Old Style" w:eastAsiaTheme="minorEastAsia" w:hAnsi="Bookman Old Style"/>
                <w:b w:val="0"/>
                <w:sz w:val="20"/>
              </w:rPr>
            </w:pPr>
            <w:r>
              <w:rPr>
                <w:rFonts w:ascii="Bookman Old Style" w:eastAsiaTheme="minorEastAsia" w:hAnsi="Bookman Old Style"/>
                <w:b w:val="0"/>
                <w:sz w:val="20"/>
              </w:rPr>
              <w:t>3. May be useful when available investment funds are limited</w:t>
            </w:r>
          </w:p>
        </w:tc>
        <w:tc>
          <w:tcPr>
            <w:tcW w:w="4788" w:type="dxa"/>
          </w:tcPr>
          <w:p w14:paraId="11197249" w14:textId="0B9D8EB1" w:rsidR="00EB615E" w:rsidRPr="00B617A6" w:rsidRDefault="00EB615E" w:rsidP="000E0536">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p>
        </w:tc>
      </w:tr>
    </w:tbl>
    <w:p w14:paraId="17254C58" w14:textId="77777777" w:rsidR="00EB615E" w:rsidRPr="008A2F17" w:rsidRDefault="00EB615E" w:rsidP="00E83A2B">
      <w:pPr>
        <w:spacing w:after="0" w:line="240" w:lineRule="auto"/>
        <w:jc w:val="both"/>
        <w:rPr>
          <w:rFonts w:ascii="Bookman Old Style" w:eastAsiaTheme="minorEastAsia" w:hAnsi="Bookman Old Style"/>
        </w:rPr>
      </w:pPr>
    </w:p>
    <w:p w14:paraId="78B93CA1" w14:textId="77777777" w:rsidR="00B66019" w:rsidRPr="00B66019" w:rsidRDefault="00B66019" w:rsidP="00E83A2B">
      <w:pPr>
        <w:spacing w:after="0" w:line="240" w:lineRule="auto"/>
        <w:jc w:val="both"/>
        <w:rPr>
          <w:rFonts w:ascii="Bookman Old Style" w:eastAsiaTheme="minorEastAsia" w:hAnsi="Bookman Old Style"/>
        </w:rPr>
      </w:pPr>
    </w:p>
    <w:p w14:paraId="57284374" w14:textId="3677E3DC" w:rsidR="00DA23ED" w:rsidRDefault="00EB615E" w:rsidP="00EB615E">
      <w:pPr>
        <w:spacing w:after="0" w:line="240" w:lineRule="auto"/>
        <w:jc w:val="center"/>
        <w:rPr>
          <w:rFonts w:ascii="Bookman Old Style" w:eastAsiaTheme="minorEastAsia" w:hAnsi="Bookman Old Style"/>
          <w:b/>
          <w:u w:val="single"/>
        </w:rPr>
      </w:pPr>
      <w:r>
        <w:rPr>
          <w:rFonts w:ascii="Bookman Old Style" w:eastAsiaTheme="minorEastAsia" w:hAnsi="Bookman Old Style"/>
          <w:b/>
          <w:u w:val="single"/>
        </w:rPr>
        <w:t>THE PRACTICE OF CAPITAL BUDGETING</w:t>
      </w:r>
    </w:p>
    <w:p w14:paraId="306D344F" w14:textId="77777777" w:rsidR="00EB615E" w:rsidRDefault="00EB615E" w:rsidP="00EB615E">
      <w:pPr>
        <w:spacing w:after="0" w:line="240" w:lineRule="auto"/>
        <w:jc w:val="center"/>
        <w:rPr>
          <w:rFonts w:ascii="Bookman Old Style" w:eastAsiaTheme="minorEastAsia" w:hAnsi="Bookman Old Style"/>
          <w:b/>
          <w:u w:val="single"/>
        </w:rPr>
      </w:pPr>
    </w:p>
    <w:p w14:paraId="687C75D1" w14:textId="59952A2C" w:rsidR="00EB615E" w:rsidRDefault="00EB615E" w:rsidP="00EB615E">
      <w:pPr>
        <w:spacing w:after="0" w:line="240" w:lineRule="auto"/>
        <w:jc w:val="both"/>
        <w:rPr>
          <w:rFonts w:ascii="Bookman Old Style" w:eastAsiaTheme="minorEastAsia" w:hAnsi="Bookman Old Style"/>
        </w:rPr>
      </w:pPr>
      <w:r>
        <w:rPr>
          <w:rFonts w:ascii="Bookman Old Style" w:eastAsiaTheme="minorEastAsia" w:hAnsi="Bookman Old Style"/>
        </w:rPr>
        <w:t xml:space="preserve">We’ve asked the question </w:t>
      </w:r>
      <w:r w:rsidRPr="00EB615E">
        <w:rPr>
          <w:rFonts w:ascii="Bookman Old Style" w:eastAsiaTheme="minorEastAsia" w:hAnsi="Bookman Old Style"/>
        </w:rPr>
        <w:sym w:font="Wingdings" w:char="F0E0"/>
      </w:r>
      <w:r>
        <w:rPr>
          <w:rFonts w:ascii="Bookman Old Style" w:eastAsiaTheme="minorEastAsia" w:hAnsi="Bookman Old Style"/>
        </w:rPr>
        <w:t xml:space="preserve"> </w:t>
      </w:r>
      <w:proofErr w:type="gramStart"/>
      <w:r>
        <w:rPr>
          <w:rFonts w:ascii="Bookman Old Style" w:eastAsiaTheme="minorEastAsia" w:hAnsi="Bookman Old Style"/>
        </w:rPr>
        <w:t>Which</w:t>
      </w:r>
      <w:proofErr w:type="gramEnd"/>
      <w:r>
        <w:rPr>
          <w:rFonts w:ascii="Bookman Old Style" w:eastAsiaTheme="minorEastAsia" w:hAnsi="Bookman Old Style"/>
        </w:rPr>
        <w:t xml:space="preserve"> capital budgeting methods should companies be using? An equally important question is: Which methods are companies using?</w:t>
      </w:r>
    </w:p>
    <w:p w14:paraId="3D113E70" w14:textId="77777777" w:rsidR="00EB615E" w:rsidRDefault="00EB615E" w:rsidP="00EB615E">
      <w:pPr>
        <w:spacing w:after="0" w:line="240" w:lineRule="auto"/>
        <w:jc w:val="both"/>
        <w:rPr>
          <w:rFonts w:ascii="Bookman Old Style" w:eastAsiaTheme="minorEastAsia" w:hAnsi="Bookman Old Style"/>
        </w:rPr>
      </w:pPr>
    </w:p>
    <w:p w14:paraId="4A7FD1DF" w14:textId="523D30D4" w:rsidR="00EB615E" w:rsidRDefault="00EB615E" w:rsidP="00EB615E">
      <w:pPr>
        <w:spacing w:after="0" w:line="240" w:lineRule="auto"/>
        <w:jc w:val="both"/>
        <w:rPr>
          <w:rFonts w:ascii="Bookman Old Style" w:eastAsiaTheme="minorEastAsia" w:hAnsi="Bookman Old Style"/>
        </w:rPr>
      </w:pPr>
      <w:r>
        <w:rPr>
          <w:rFonts w:ascii="Bookman Old Style" w:eastAsiaTheme="minorEastAsia" w:hAnsi="Bookman Old Style"/>
        </w:rPr>
        <w:t>Three-quarters of Canadian companies use the NPV method and two-thirds use IRR – this is understandable given the theoretical advantages of these approaches.</w:t>
      </w:r>
    </w:p>
    <w:p w14:paraId="61C15DED" w14:textId="77777777" w:rsidR="00EB615E" w:rsidRDefault="00EB615E" w:rsidP="00EB615E">
      <w:pPr>
        <w:spacing w:after="0" w:line="240" w:lineRule="auto"/>
        <w:jc w:val="both"/>
        <w:rPr>
          <w:rFonts w:ascii="Bookman Old Style" w:eastAsiaTheme="minorEastAsia" w:hAnsi="Bookman Old Style"/>
        </w:rPr>
      </w:pPr>
    </w:p>
    <w:p w14:paraId="108705CB" w14:textId="42F3D90E" w:rsidR="00EB615E" w:rsidRDefault="00EB615E" w:rsidP="00EB615E">
      <w:pPr>
        <w:spacing w:after="0" w:line="240" w:lineRule="auto"/>
        <w:jc w:val="both"/>
        <w:rPr>
          <w:rFonts w:ascii="Bookman Old Style" w:eastAsiaTheme="minorEastAsia" w:hAnsi="Bookman Old Style"/>
        </w:rPr>
      </w:pPr>
      <w:r>
        <w:rPr>
          <w:rFonts w:ascii="Bookman Old Style" w:eastAsiaTheme="minorEastAsia" w:hAnsi="Bookman Old Style"/>
        </w:rPr>
        <w:t>Over half of companies use the payback method, which is surprising given the conceptual problems with this approach.</w:t>
      </w:r>
    </w:p>
    <w:p w14:paraId="26F5E8E1" w14:textId="77777777" w:rsidR="00EB615E" w:rsidRDefault="00EB615E" w:rsidP="00EB615E">
      <w:pPr>
        <w:spacing w:after="0" w:line="240" w:lineRule="auto"/>
        <w:jc w:val="both"/>
        <w:rPr>
          <w:rFonts w:ascii="Bookman Old Style" w:eastAsiaTheme="minorEastAsia" w:hAnsi="Bookman Old Style"/>
        </w:rPr>
      </w:pPr>
    </w:p>
    <w:p w14:paraId="1FDAB558" w14:textId="77777777" w:rsidR="00EB615E" w:rsidRDefault="00EB615E" w:rsidP="00EB615E">
      <w:pPr>
        <w:spacing w:after="0" w:line="240" w:lineRule="auto"/>
        <w:jc w:val="both"/>
        <w:rPr>
          <w:rFonts w:ascii="Bookman Old Style" w:eastAsiaTheme="minorEastAsia" w:hAnsi="Bookman Old Style"/>
        </w:rPr>
      </w:pPr>
    </w:p>
    <w:p w14:paraId="246BC0D8" w14:textId="77777777" w:rsidR="00EB615E" w:rsidRDefault="00EB615E" w:rsidP="00EB615E">
      <w:pPr>
        <w:spacing w:after="0" w:line="240" w:lineRule="auto"/>
        <w:jc w:val="both"/>
        <w:rPr>
          <w:rFonts w:ascii="Bookman Old Style" w:eastAsiaTheme="minorEastAsia" w:hAnsi="Bookman Old Style"/>
        </w:rPr>
      </w:pPr>
    </w:p>
    <w:tbl>
      <w:tblPr>
        <w:tblStyle w:val="LightList-Accent1"/>
        <w:tblW w:w="0" w:type="auto"/>
        <w:tblLook w:val="04A0" w:firstRow="1" w:lastRow="0" w:firstColumn="1" w:lastColumn="0" w:noHBand="0" w:noVBand="1"/>
      </w:tblPr>
      <w:tblGrid>
        <w:gridCol w:w="1998"/>
        <w:gridCol w:w="7578"/>
      </w:tblGrid>
      <w:tr w:rsidR="00082014" w14:paraId="19763090" w14:textId="77777777" w:rsidTr="0008201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gridSpan w:val="2"/>
          </w:tcPr>
          <w:p w14:paraId="4A1EC4F1" w14:textId="4A5DB279" w:rsidR="00082014" w:rsidRDefault="00082014" w:rsidP="00082014">
            <w:pPr>
              <w:jc w:val="center"/>
              <w:rPr>
                <w:rFonts w:ascii="Bookman Old Style" w:eastAsiaTheme="minorEastAsia" w:hAnsi="Bookman Old Style"/>
              </w:rPr>
            </w:pPr>
            <w:r>
              <w:rPr>
                <w:rFonts w:ascii="Bookman Old Style" w:eastAsiaTheme="minorEastAsia" w:hAnsi="Bookman Old Style"/>
              </w:rPr>
              <w:lastRenderedPageBreak/>
              <w:t>Summary of Investment Criteria</w:t>
            </w:r>
          </w:p>
        </w:tc>
      </w:tr>
      <w:tr w:rsidR="00082014" w14:paraId="7E5FD28A" w14:textId="77777777" w:rsidTr="000820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gridSpan w:val="2"/>
            <w:tcBorders>
              <w:bottom w:val="nil"/>
            </w:tcBorders>
          </w:tcPr>
          <w:p w14:paraId="1E3BFCD9" w14:textId="54299EA3" w:rsidR="00082014" w:rsidRPr="00082014" w:rsidRDefault="00082014" w:rsidP="00EB615E">
            <w:pPr>
              <w:jc w:val="both"/>
              <w:rPr>
                <w:rFonts w:ascii="Bookman Old Style" w:eastAsiaTheme="minorEastAsia" w:hAnsi="Bookman Old Style"/>
                <w:sz w:val="20"/>
              </w:rPr>
            </w:pPr>
            <w:proofErr w:type="spellStart"/>
            <w:r w:rsidRPr="00082014">
              <w:rPr>
                <w:rFonts w:ascii="Bookman Old Style" w:eastAsiaTheme="minorEastAsia" w:hAnsi="Bookman Old Style"/>
                <w:sz w:val="20"/>
              </w:rPr>
              <w:t>i</w:t>
            </w:r>
            <w:proofErr w:type="spellEnd"/>
            <w:r w:rsidRPr="00082014">
              <w:rPr>
                <w:rFonts w:ascii="Bookman Old Style" w:eastAsiaTheme="minorEastAsia" w:hAnsi="Bookman Old Style"/>
                <w:sz w:val="20"/>
              </w:rPr>
              <w:t>. DISCOUNTED CASH FLOW CRITERIA Net Present Value (NPV)</w:t>
            </w:r>
          </w:p>
        </w:tc>
      </w:tr>
      <w:tr w:rsidR="00EB615E" w14:paraId="132A4FAC" w14:textId="77777777" w:rsidTr="00082014">
        <w:tc>
          <w:tcPr>
            <w:cnfStyle w:val="001000000000" w:firstRow="0" w:lastRow="0" w:firstColumn="1" w:lastColumn="0" w:oddVBand="0" w:evenVBand="0" w:oddHBand="0" w:evenHBand="0" w:firstRowFirstColumn="0" w:firstRowLastColumn="0" w:lastRowFirstColumn="0" w:lastRowLastColumn="0"/>
            <w:tcW w:w="1998" w:type="dxa"/>
            <w:tcBorders>
              <w:top w:val="nil"/>
              <w:bottom w:val="nil"/>
            </w:tcBorders>
          </w:tcPr>
          <w:p w14:paraId="3D1D03CD" w14:textId="0A8201C6" w:rsidR="00EB615E" w:rsidRPr="00082014" w:rsidRDefault="00EB615E" w:rsidP="00EB615E">
            <w:pPr>
              <w:jc w:val="both"/>
              <w:rPr>
                <w:rFonts w:ascii="Bookman Old Style" w:eastAsiaTheme="minorEastAsia" w:hAnsi="Bookman Old Style"/>
                <w:b w:val="0"/>
                <w:sz w:val="20"/>
              </w:rPr>
            </w:pPr>
            <w:r w:rsidRPr="00082014">
              <w:rPr>
                <w:rFonts w:ascii="Bookman Old Style" w:eastAsiaTheme="minorEastAsia" w:hAnsi="Bookman Old Style"/>
                <w:b w:val="0"/>
                <w:sz w:val="20"/>
              </w:rPr>
              <w:t>Definition:</w:t>
            </w:r>
          </w:p>
        </w:tc>
        <w:tc>
          <w:tcPr>
            <w:tcW w:w="7578" w:type="dxa"/>
            <w:tcBorders>
              <w:top w:val="nil"/>
              <w:bottom w:val="nil"/>
            </w:tcBorders>
          </w:tcPr>
          <w:p w14:paraId="1D279921" w14:textId="748770EE" w:rsidR="00EB615E" w:rsidRPr="00082014" w:rsidRDefault="00EB615E" w:rsidP="00EB615E">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082014">
              <w:rPr>
                <w:rFonts w:ascii="Bookman Old Style" w:eastAsiaTheme="minorEastAsia" w:hAnsi="Bookman Old Style"/>
                <w:sz w:val="20"/>
              </w:rPr>
              <w:t>The difference between a project’s market value and cost</w:t>
            </w:r>
          </w:p>
        </w:tc>
      </w:tr>
      <w:tr w:rsidR="00EB615E" w14:paraId="1D1F014F" w14:textId="77777777" w:rsidTr="000820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Borders>
              <w:top w:val="nil"/>
              <w:bottom w:val="nil"/>
            </w:tcBorders>
          </w:tcPr>
          <w:p w14:paraId="593F344D" w14:textId="0B0440E4" w:rsidR="00EB615E" w:rsidRPr="00082014" w:rsidRDefault="00EB615E" w:rsidP="00EB615E">
            <w:pPr>
              <w:jc w:val="both"/>
              <w:rPr>
                <w:rFonts w:ascii="Bookman Old Style" w:eastAsiaTheme="minorEastAsia" w:hAnsi="Bookman Old Style"/>
                <w:b w:val="0"/>
                <w:sz w:val="20"/>
              </w:rPr>
            </w:pPr>
            <w:r w:rsidRPr="00082014">
              <w:rPr>
                <w:rFonts w:ascii="Bookman Old Style" w:eastAsiaTheme="minorEastAsia" w:hAnsi="Bookman Old Style"/>
                <w:b w:val="0"/>
                <w:sz w:val="20"/>
              </w:rPr>
              <w:t>Rule:</w:t>
            </w:r>
          </w:p>
        </w:tc>
        <w:tc>
          <w:tcPr>
            <w:tcW w:w="7578" w:type="dxa"/>
            <w:tcBorders>
              <w:top w:val="nil"/>
              <w:bottom w:val="nil"/>
            </w:tcBorders>
          </w:tcPr>
          <w:p w14:paraId="68C65E5D" w14:textId="3D3A29FE" w:rsidR="00EB615E" w:rsidRPr="00082014" w:rsidRDefault="00EB615E" w:rsidP="00EB615E">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082014">
              <w:rPr>
                <w:rFonts w:ascii="Bookman Old Style" w:eastAsiaTheme="minorEastAsia" w:hAnsi="Bookman Old Style"/>
                <w:sz w:val="20"/>
              </w:rPr>
              <w:t>Invest in projects with positive NPVs</w:t>
            </w:r>
          </w:p>
        </w:tc>
      </w:tr>
      <w:tr w:rsidR="00EB615E" w14:paraId="1E36D995" w14:textId="77777777" w:rsidTr="00082014">
        <w:tc>
          <w:tcPr>
            <w:cnfStyle w:val="001000000000" w:firstRow="0" w:lastRow="0" w:firstColumn="1" w:lastColumn="0" w:oddVBand="0" w:evenVBand="0" w:oddHBand="0" w:evenHBand="0" w:firstRowFirstColumn="0" w:firstRowLastColumn="0" w:lastRowFirstColumn="0" w:lastRowLastColumn="0"/>
            <w:tcW w:w="1998" w:type="dxa"/>
            <w:tcBorders>
              <w:top w:val="nil"/>
              <w:bottom w:val="nil"/>
            </w:tcBorders>
          </w:tcPr>
          <w:p w14:paraId="49820047" w14:textId="7B69D3D4" w:rsidR="00EB615E" w:rsidRPr="00082014" w:rsidRDefault="00EB615E" w:rsidP="00EB615E">
            <w:pPr>
              <w:jc w:val="both"/>
              <w:rPr>
                <w:rFonts w:ascii="Bookman Old Style" w:eastAsiaTheme="minorEastAsia" w:hAnsi="Bookman Old Style"/>
                <w:b w:val="0"/>
                <w:sz w:val="20"/>
              </w:rPr>
            </w:pPr>
            <w:r w:rsidRPr="00082014">
              <w:rPr>
                <w:rFonts w:ascii="Bookman Old Style" w:eastAsiaTheme="minorEastAsia" w:hAnsi="Bookman Old Style"/>
                <w:b w:val="0"/>
                <w:sz w:val="20"/>
              </w:rPr>
              <w:t>Advantages:</w:t>
            </w:r>
          </w:p>
        </w:tc>
        <w:tc>
          <w:tcPr>
            <w:tcW w:w="7578" w:type="dxa"/>
            <w:tcBorders>
              <w:top w:val="nil"/>
              <w:bottom w:val="nil"/>
            </w:tcBorders>
          </w:tcPr>
          <w:p w14:paraId="6E1DEE5C" w14:textId="77777777" w:rsidR="00EB615E" w:rsidRPr="00082014" w:rsidRDefault="00EB615E" w:rsidP="00EB615E">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082014">
              <w:rPr>
                <w:rFonts w:ascii="Bookman Old Style" w:eastAsiaTheme="minorEastAsia" w:hAnsi="Bookman Old Style"/>
                <w:sz w:val="20"/>
              </w:rPr>
              <w:t>No serious flaws, preferred decision criteria</w:t>
            </w:r>
          </w:p>
          <w:p w14:paraId="1B516FB3" w14:textId="5CD991EA" w:rsidR="00082014" w:rsidRPr="00082014" w:rsidRDefault="00082014" w:rsidP="00EB615E">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p>
        </w:tc>
      </w:tr>
      <w:tr w:rsidR="00082014" w14:paraId="1BCB9353" w14:textId="77777777" w:rsidTr="000820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gridSpan w:val="2"/>
            <w:tcBorders>
              <w:top w:val="nil"/>
              <w:bottom w:val="nil"/>
            </w:tcBorders>
          </w:tcPr>
          <w:p w14:paraId="47FEFA0D" w14:textId="2DD67730" w:rsidR="00082014" w:rsidRPr="00082014" w:rsidRDefault="00082014" w:rsidP="00EB615E">
            <w:pPr>
              <w:jc w:val="both"/>
              <w:rPr>
                <w:rFonts w:ascii="Bookman Old Style" w:eastAsiaTheme="minorEastAsia" w:hAnsi="Bookman Old Style"/>
                <w:sz w:val="20"/>
              </w:rPr>
            </w:pPr>
            <w:r w:rsidRPr="00082014">
              <w:rPr>
                <w:rFonts w:ascii="Bookman Old Style" w:eastAsiaTheme="minorEastAsia" w:hAnsi="Bookman Old Style"/>
                <w:i/>
                <w:sz w:val="20"/>
              </w:rPr>
              <w:t>Internal Rate of Return (IRR)</w:t>
            </w:r>
          </w:p>
        </w:tc>
      </w:tr>
      <w:tr w:rsidR="00EB615E" w14:paraId="7700D612" w14:textId="77777777" w:rsidTr="00082014">
        <w:tc>
          <w:tcPr>
            <w:cnfStyle w:val="001000000000" w:firstRow="0" w:lastRow="0" w:firstColumn="1" w:lastColumn="0" w:oddVBand="0" w:evenVBand="0" w:oddHBand="0" w:evenHBand="0" w:firstRowFirstColumn="0" w:firstRowLastColumn="0" w:lastRowFirstColumn="0" w:lastRowLastColumn="0"/>
            <w:tcW w:w="1998" w:type="dxa"/>
            <w:tcBorders>
              <w:top w:val="nil"/>
              <w:bottom w:val="nil"/>
            </w:tcBorders>
          </w:tcPr>
          <w:p w14:paraId="6BDF9F62" w14:textId="50C373E3" w:rsidR="00EB615E" w:rsidRPr="00082014" w:rsidRDefault="00EB615E" w:rsidP="00EB615E">
            <w:pPr>
              <w:jc w:val="both"/>
              <w:rPr>
                <w:rFonts w:ascii="Bookman Old Style" w:eastAsiaTheme="minorEastAsia" w:hAnsi="Bookman Old Style"/>
                <w:b w:val="0"/>
                <w:sz w:val="20"/>
              </w:rPr>
            </w:pPr>
            <w:r w:rsidRPr="00082014">
              <w:rPr>
                <w:rFonts w:ascii="Bookman Old Style" w:eastAsiaTheme="minorEastAsia" w:hAnsi="Bookman Old Style"/>
                <w:b w:val="0"/>
                <w:sz w:val="20"/>
              </w:rPr>
              <w:t>Definition:</w:t>
            </w:r>
          </w:p>
        </w:tc>
        <w:tc>
          <w:tcPr>
            <w:tcW w:w="7578" w:type="dxa"/>
            <w:tcBorders>
              <w:top w:val="nil"/>
              <w:bottom w:val="nil"/>
            </w:tcBorders>
          </w:tcPr>
          <w:p w14:paraId="7CF25055" w14:textId="7541B436" w:rsidR="00EB615E" w:rsidRPr="00082014" w:rsidRDefault="00EB615E" w:rsidP="00EB615E">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082014">
              <w:rPr>
                <w:rFonts w:ascii="Bookman Old Style" w:eastAsiaTheme="minorEastAsia" w:hAnsi="Bookman Old Style"/>
                <w:sz w:val="20"/>
              </w:rPr>
              <w:t>The discount rate that makes the estimated NPV equal to zero</w:t>
            </w:r>
          </w:p>
        </w:tc>
      </w:tr>
      <w:tr w:rsidR="00EB615E" w14:paraId="029EE291" w14:textId="77777777" w:rsidTr="000820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Borders>
              <w:top w:val="nil"/>
              <w:bottom w:val="nil"/>
            </w:tcBorders>
          </w:tcPr>
          <w:p w14:paraId="61399E6B" w14:textId="24667D10" w:rsidR="00EB615E" w:rsidRPr="00082014" w:rsidRDefault="00EB615E" w:rsidP="00EB615E">
            <w:pPr>
              <w:jc w:val="both"/>
              <w:rPr>
                <w:rFonts w:ascii="Bookman Old Style" w:eastAsiaTheme="minorEastAsia" w:hAnsi="Bookman Old Style"/>
                <w:b w:val="0"/>
                <w:sz w:val="20"/>
              </w:rPr>
            </w:pPr>
            <w:r w:rsidRPr="00082014">
              <w:rPr>
                <w:rFonts w:ascii="Bookman Old Style" w:eastAsiaTheme="minorEastAsia" w:hAnsi="Bookman Old Style"/>
                <w:b w:val="0"/>
                <w:sz w:val="20"/>
              </w:rPr>
              <w:t>Rule:</w:t>
            </w:r>
          </w:p>
        </w:tc>
        <w:tc>
          <w:tcPr>
            <w:tcW w:w="7578" w:type="dxa"/>
            <w:tcBorders>
              <w:top w:val="nil"/>
              <w:bottom w:val="nil"/>
            </w:tcBorders>
          </w:tcPr>
          <w:p w14:paraId="7A7F59A4" w14:textId="0AD8A4FC" w:rsidR="00EB615E" w:rsidRPr="00082014" w:rsidRDefault="00EB615E" w:rsidP="00EB615E">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082014">
              <w:rPr>
                <w:rFonts w:ascii="Bookman Old Style" w:eastAsiaTheme="minorEastAsia" w:hAnsi="Bookman Old Style"/>
                <w:sz w:val="20"/>
              </w:rPr>
              <w:t>Invest in projects when their IRR exceeds the required return</w:t>
            </w:r>
          </w:p>
        </w:tc>
      </w:tr>
      <w:tr w:rsidR="00EB615E" w14:paraId="239C337A" w14:textId="77777777" w:rsidTr="00082014">
        <w:tc>
          <w:tcPr>
            <w:cnfStyle w:val="001000000000" w:firstRow="0" w:lastRow="0" w:firstColumn="1" w:lastColumn="0" w:oddVBand="0" w:evenVBand="0" w:oddHBand="0" w:evenHBand="0" w:firstRowFirstColumn="0" w:firstRowLastColumn="0" w:lastRowFirstColumn="0" w:lastRowLastColumn="0"/>
            <w:tcW w:w="1998" w:type="dxa"/>
            <w:tcBorders>
              <w:top w:val="nil"/>
              <w:bottom w:val="nil"/>
            </w:tcBorders>
          </w:tcPr>
          <w:p w14:paraId="42A5A15C" w14:textId="3A6FA544" w:rsidR="00EB615E" w:rsidRPr="00082014" w:rsidRDefault="00EB615E" w:rsidP="00EB615E">
            <w:pPr>
              <w:jc w:val="both"/>
              <w:rPr>
                <w:rFonts w:ascii="Bookman Old Style" w:eastAsiaTheme="minorEastAsia" w:hAnsi="Bookman Old Style"/>
                <w:b w:val="0"/>
                <w:sz w:val="20"/>
              </w:rPr>
            </w:pPr>
            <w:r w:rsidRPr="00082014">
              <w:rPr>
                <w:rFonts w:ascii="Bookman Old Style" w:eastAsiaTheme="minorEastAsia" w:hAnsi="Bookman Old Style"/>
                <w:b w:val="0"/>
                <w:sz w:val="20"/>
              </w:rPr>
              <w:t>Advantages:</w:t>
            </w:r>
          </w:p>
        </w:tc>
        <w:tc>
          <w:tcPr>
            <w:tcW w:w="7578" w:type="dxa"/>
            <w:tcBorders>
              <w:top w:val="nil"/>
              <w:bottom w:val="nil"/>
            </w:tcBorders>
          </w:tcPr>
          <w:p w14:paraId="672C2534" w14:textId="6823E24A" w:rsidR="00EB615E" w:rsidRPr="00082014" w:rsidRDefault="00EB615E" w:rsidP="00EB615E">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082014">
              <w:rPr>
                <w:rFonts w:ascii="Bookman Old Style" w:eastAsiaTheme="minorEastAsia" w:hAnsi="Bookman Old Style"/>
                <w:sz w:val="20"/>
              </w:rPr>
              <w:t>Closely related to NPV; leads to the exact same decision as NPV for conventional, independent projects</w:t>
            </w:r>
          </w:p>
        </w:tc>
      </w:tr>
      <w:tr w:rsidR="00EB615E" w14:paraId="2841D55F" w14:textId="77777777" w:rsidTr="000820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Borders>
              <w:top w:val="nil"/>
              <w:bottom w:val="nil"/>
            </w:tcBorders>
          </w:tcPr>
          <w:p w14:paraId="7B8128FB" w14:textId="00A35483" w:rsidR="00EB615E" w:rsidRPr="00082014" w:rsidRDefault="00EB615E" w:rsidP="00EB615E">
            <w:pPr>
              <w:jc w:val="both"/>
              <w:rPr>
                <w:rFonts w:ascii="Bookman Old Style" w:eastAsiaTheme="minorEastAsia" w:hAnsi="Bookman Old Style"/>
                <w:b w:val="0"/>
                <w:sz w:val="20"/>
              </w:rPr>
            </w:pPr>
            <w:r w:rsidRPr="00082014">
              <w:rPr>
                <w:rFonts w:ascii="Bookman Old Style" w:eastAsiaTheme="minorEastAsia" w:hAnsi="Bookman Old Style"/>
                <w:b w:val="0"/>
                <w:sz w:val="20"/>
              </w:rPr>
              <w:t>Disadvantages:</w:t>
            </w:r>
          </w:p>
        </w:tc>
        <w:tc>
          <w:tcPr>
            <w:tcW w:w="7578" w:type="dxa"/>
            <w:tcBorders>
              <w:top w:val="nil"/>
              <w:bottom w:val="nil"/>
            </w:tcBorders>
          </w:tcPr>
          <w:p w14:paraId="0D4E3F07" w14:textId="77777777" w:rsidR="00EB615E" w:rsidRPr="00082014" w:rsidRDefault="00EB615E" w:rsidP="00EB615E">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082014">
              <w:rPr>
                <w:rFonts w:ascii="Bookman Old Style" w:eastAsiaTheme="minorEastAsia" w:hAnsi="Bookman Old Style"/>
                <w:sz w:val="20"/>
              </w:rPr>
              <w:t>Cannot use to rank mutually exclusive projects or when cash flows are unconventional</w:t>
            </w:r>
          </w:p>
          <w:p w14:paraId="250E14D4" w14:textId="282D3D93" w:rsidR="00082014" w:rsidRPr="00082014" w:rsidRDefault="00082014" w:rsidP="00EB615E">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p>
        </w:tc>
      </w:tr>
      <w:tr w:rsidR="00082014" w14:paraId="058DAF33" w14:textId="77777777" w:rsidTr="00082014">
        <w:tc>
          <w:tcPr>
            <w:cnfStyle w:val="001000000000" w:firstRow="0" w:lastRow="0" w:firstColumn="1" w:lastColumn="0" w:oddVBand="0" w:evenVBand="0" w:oddHBand="0" w:evenHBand="0" w:firstRowFirstColumn="0" w:firstRowLastColumn="0" w:lastRowFirstColumn="0" w:lastRowLastColumn="0"/>
            <w:tcW w:w="9576" w:type="dxa"/>
            <w:gridSpan w:val="2"/>
            <w:tcBorders>
              <w:top w:val="nil"/>
              <w:bottom w:val="nil"/>
            </w:tcBorders>
          </w:tcPr>
          <w:p w14:paraId="122737A0" w14:textId="5DC77993" w:rsidR="00082014" w:rsidRPr="00082014" w:rsidRDefault="00082014" w:rsidP="00EB615E">
            <w:pPr>
              <w:jc w:val="both"/>
              <w:rPr>
                <w:rFonts w:ascii="Bookman Old Style" w:eastAsiaTheme="minorEastAsia" w:hAnsi="Bookman Old Style"/>
                <w:sz w:val="20"/>
              </w:rPr>
            </w:pPr>
            <w:r w:rsidRPr="00082014">
              <w:rPr>
                <w:rFonts w:ascii="Bookman Old Style" w:eastAsiaTheme="minorEastAsia" w:hAnsi="Bookman Old Style"/>
                <w:i/>
                <w:sz w:val="20"/>
              </w:rPr>
              <w:t>Profitability Index (PI)</w:t>
            </w:r>
          </w:p>
        </w:tc>
      </w:tr>
      <w:tr w:rsidR="00EB615E" w14:paraId="6ECC8CBF" w14:textId="77777777" w:rsidTr="000820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Borders>
              <w:top w:val="nil"/>
              <w:bottom w:val="nil"/>
            </w:tcBorders>
          </w:tcPr>
          <w:p w14:paraId="3F5AF2E5" w14:textId="56B518F2" w:rsidR="00EB615E" w:rsidRPr="00082014" w:rsidRDefault="00EB615E" w:rsidP="00EB615E">
            <w:pPr>
              <w:jc w:val="both"/>
              <w:rPr>
                <w:rFonts w:ascii="Bookman Old Style" w:eastAsiaTheme="minorEastAsia" w:hAnsi="Bookman Old Style"/>
                <w:b w:val="0"/>
                <w:sz w:val="20"/>
              </w:rPr>
            </w:pPr>
            <w:r w:rsidRPr="00082014">
              <w:rPr>
                <w:rFonts w:ascii="Bookman Old Style" w:eastAsiaTheme="minorEastAsia" w:hAnsi="Bookman Old Style"/>
                <w:b w:val="0"/>
                <w:sz w:val="20"/>
              </w:rPr>
              <w:t>Definition:</w:t>
            </w:r>
          </w:p>
        </w:tc>
        <w:tc>
          <w:tcPr>
            <w:tcW w:w="7578" w:type="dxa"/>
            <w:tcBorders>
              <w:top w:val="nil"/>
              <w:bottom w:val="nil"/>
            </w:tcBorders>
          </w:tcPr>
          <w:p w14:paraId="1F25236B" w14:textId="456938E9" w:rsidR="00EB615E" w:rsidRPr="00082014" w:rsidRDefault="00EB615E" w:rsidP="00EB615E">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082014">
              <w:rPr>
                <w:rFonts w:ascii="Bookman Old Style" w:eastAsiaTheme="minorEastAsia" w:hAnsi="Bookman Old Style"/>
                <w:sz w:val="20"/>
              </w:rPr>
              <w:t>Ratio of present value to cost. Also known as the benefit/cost ratio</w:t>
            </w:r>
          </w:p>
        </w:tc>
      </w:tr>
      <w:tr w:rsidR="00EB615E" w14:paraId="7C04410C" w14:textId="77777777" w:rsidTr="00082014">
        <w:tc>
          <w:tcPr>
            <w:cnfStyle w:val="001000000000" w:firstRow="0" w:lastRow="0" w:firstColumn="1" w:lastColumn="0" w:oddVBand="0" w:evenVBand="0" w:oddHBand="0" w:evenHBand="0" w:firstRowFirstColumn="0" w:firstRowLastColumn="0" w:lastRowFirstColumn="0" w:lastRowLastColumn="0"/>
            <w:tcW w:w="1998" w:type="dxa"/>
            <w:tcBorders>
              <w:top w:val="nil"/>
              <w:bottom w:val="nil"/>
            </w:tcBorders>
          </w:tcPr>
          <w:p w14:paraId="198C28BF" w14:textId="4A4072A1" w:rsidR="00EB615E" w:rsidRPr="00082014" w:rsidRDefault="00EB615E" w:rsidP="00EB615E">
            <w:pPr>
              <w:jc w:val="both"/>
              <w:rPr>
                <w:rFonts w:ascii="Bookman Old Style" w:eastAsiaTheme="minorEastAsia" w:hAnsi="Bookman Old Style"/>
                <w:b w:val="0"/>
                <w:sz w:val="20"/>
              </w:rPr>
            </w:pPr>
            <w:r w:rsidRPr="00082014">
              <w:rPr>
                <w:rFonts w:ascii="Bookman Old Style" w:eastAsiaTheme="minorEastAsia" w:hAnsi="Bookman Old Style"/>
                <w:b w:val="0"/>
                <w:sz w:val="20"/>
              </w:rPr>
              <w:t>Rule:</w:t>
            </w:r>
          </w:p>
        </w:tc>
        <w:tc>
          <w:tcPr>
            <w:tcW w:w="7578" w:type="dxa"/>
            <w:tcBorders>
              <w:top w:val="nil"/>
              <w:bottom w:val="nil"/>
            </w:tcBorders>
          </w:tcPr>
          <w:p w14:paraId="3103DB63" w14:textId="70B90EFE" w:rsidR="00EB615E" w:rsidRPr="00082014" w:rsidRDefault="00EB615E" w:rsidP="00EB615E">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082014">
              <w:rPr>
                <w:rFonts w:ascii="Bookman Old Style" w:eastAsiaTheme="minorEastAsia" w:hAnsi="Bookman Old Style"/>
                <w:sz w:val="20"/>
              </w:rPr>
              <w:t>Invest in projects when the index exceeds 1</w:t>
            </w:r>
          </w:p>
        </w:tc>
      </w:tr>
      <w:tr w:rsidR="00EB615E" w14:paraId="209FF90D" w14:textId="77777777" w:rsidTr="000820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Borders>
              <w:top w:val="nil"/>
              <w:bottom w:val="nil"/>
            </w:tcBorders>
          </w:tcPr>
          <w:p w14:paraId="209D0545" w14:textId="3422234B" w:rsidR="00EB615E" w:rsidRPr="00082014" w:rsidRDefault="00EB615E" w:rsidP="00EB615E">
            <w:pPr>
              <w:jc w:val="both"/>
              <w:rPr>
                <w:rFonts w:ascii="Bookman Old Style" w:eastAsiaTheme="minorEastAsia" w:hAnsi="Bookman Old Style"/>
                <w:b w:val="0"/>
                <w:sz w:val="20"/>
              </w:rPr>
            </w:pPr>
            <w:r w:rsidRPr="00082014">
              <w:rPr>
                <w:rFonts w:ascii="Bookman Old Style" w:eastAsiaTheme="minorEastAsia" w:hAnsi="Bookman Old Style"/>
                <w:b w:val="0"/>
                <w:sz w:val="20"/>
              </w:rPr>
              <w:t>Advantages:</w:t>
            </w:r>
          </w:p>
        </w:tc>
        <w:tc>
          <w:tcPr>
            <w:tcW w:w="7578" w:type="dxa"/>
            <w:tcBorders>
              <w:top w:val="nil"/>
              <w:bottom w:val="nil"/>
            </w:tcBorders>
          </w:tcPr>
          <w:p w14:paraId="42DFD94B" w14:textId="1CB0B73C" w:rsidR="00EB615E" w:rsidRPr="00082014" w:rsidRDefault="00EB615E" w:rsidP="00EB615E">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082014">
              <w:rPr>
                <w:rFonts w:ascii="Bookman Old Style" w:eastAsiaTheme="minorEastAsia" w:hAnsi="Bookman Old Style"/>
                <w:sz w:val="20"/>
              </w:rPr>
              <w:t>Similar to NPV</w:t>
            </w:r>
          </w:p>
        </w:tc>
      </w:tr>
      <w:tr w:rsidR="00EB615E" w14:paraId="2B81310F" w14:textId="77777777" w:rsidTr="00082014">
        <w:tc>
          <w:tcPr>
            <w:cnfStyle w:val="001000000000" w:firstRow="0" w:lastRow="0" w:firstColumn="1" w:lastColumn="0" w:oddVBand="0" w:evenVBand="0" w:oddHBand="0" w:evenHBand="0" w:firstRowFirstColumn="0" w:firstRowLastColumn="0" w:lastRowFirstColumn="0" w:lastRowLastColumn="0"/>
            <w:tcW w:w="1998" w:type="dxa"/>
            <w:tcBorders>
              <w:top w:val="nil"/>
              <w:bottom w:val="nil"/>
            </w:tcBorders>
          </w:tcPr>
          <w:p w14:paraId="7CD8E42F" w14:textId="1643D907" w:rsidR="00EB615E" w:rsidRPr="00082014" w:rsidRDefault="00EB615E" w:rsidP="00EB615E">
            <w:pPr>
              <w:jc w:val="both"/>
              <w:rPr>
                <w:rFonts w:ascii="Bookman Old Style" w:eastAsiaTheme="minorEastAsia" w:hAnsi="Bookman Old Style"/>
                <w:b w:val="0"/>
                <w:sz w:val="20"/>
              </w:rPr>
            </w:pPr>
            <w:r w:rsidRPr="00082014">
              <w:rPr>
                <w:rFonts w:ascii="Bookman Old Style" w:eastAsiaTheme="minorEastAsia" w:hAnsi="Bookman Old Style"/>
                <w:b w:val="0"/>
                <w:sz w:val="20"/>
              </w:rPr>
              <w:t>Disadvantages:</w:t>
            </w:r>
          </w:p>
        </w:tc>
        <w:tc>
          <w:tcPr>
            <w:tcW w:w="7578" w:type="dxa"/>
            <w:tcBorders>
              <w:top w:val="nil"/>
              <w:bottom w:val="nil"/>
            </w:tcBorders>
          </w:tcPr>
          <w:p w14:paraId="0DD4AFE9" w14:textId="77777777" w:rsidR="00EB615E" w:rsidRPr="00082014" w:rsidRDefault="00EB615E" w:rsidP="00EB615E">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082014">
              <w:rPr>
                <w:rFonts w:ascii="Bookman Old Style" w:eastAsiaTheme="minorEastAsia" w:hAnsi="Bookman Old Style"/>
                <w:sz w:val="20"/>
              </w:rPr>
              <w:t>Cannot use to rank mutually exclusive projects</w:t>
            </w:r>
          </w:p>
          <w:p w14:paraId="27B6D11E" w14:textId="6D2CFE1D" w:rsidR="00082014" w:rsidRPr="00082014" w:rsidRDefault="00082014" w:rsidP="00EB615E">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p>
        </w:tc>
      </w:tr>
      <w:tr w:rsidR="00082014" w14:paraId="3DFBFB9B" w14:textId="77777777" w:rsidTr="000820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gridSpan w:val="2"/>
            <w:tcBorders>
              <w:top w:val="nil"/>
              <w:bottom w:val="nil"/>
            </w:tcBorders>
          </w:tcPr>
          <w:p w14:paraId="3E542AD5" w14:textId="31351C99" w:rsidR="00082014" w:rsidRPr="00082014" w:rsidRDefault="00082014" w:rsidP="00082014">
            <w:pPr>
              <w:jc w:val="both"/>
              <w:rPr>
                <w:rFonts w:ascii="Bookman Old Style" w:eastAsiaTheme="minorEastAsia" w:hAnsi="Bookman Old Style"/>
                <w:sz w:val="20"/>
              </w:rPr>
            </w:pPr>
            <w:r w:rsidRPr="00082014">
              <w:rPr>
                <w:rFonts w:ascii="Bookman Old Style" w:eastAsiaTheme="minorEastAsia" w:hAnsi="Bookman Old Style"/>
                <w:sz w:val="20"/>
              </w:rPr>
              <w:t>ii. PAYBACK CRITERIA PAYBACK PERIOD</w:t>
            </w:r>
          </w:p>
        </w:tc>
      </w:tr>
      <w:tr w:rsidR="00082014" w14:paraId="575959EB" w14:textId="77777777" w:rsidTr="00082014">
        <w:tc>
          <w:tcPr>
            <w:cnfStyle w:val="001000000000" w:firstRow="0" w:lastRow="0" w:firstColumn="1" w:lastColumn="0" w:oddVBand="0" w:evenVBand="0" w:oddHBand="0" w:evenHBand="0" w:firstRowFirstColumn="0" w:firstRowLastColumn="0" w:lastRowFirstColumn="0" w:lastRowLastColumn="0"/>
            <w:tcW w:w="1998" w:type="dxa"/>
            <w:tcBorders>
              <w:top w:val="nil"/>
              <w:bottom w:val="nil"/>
            </w:tcBorders>
          </w:tcPr>
          <w:p w14:paraId="1F21415A" w14:textId="190584DB" w:rsidR="00082014" w:rsidRPr="00082014" w:rsidRDefault="00082014" w:rsidP="00EB615E">
            <w:pPr>
              <w:jc w:val="both"/>
              <w:rPr>
                <w:rFonts w:ascii="Bookman Old Style" w:eastAsiaTheme="minorEastAsia" w:hAnsi="Bookman Old Style"/>
                <w:b w:val="0"/>
                <w:sz w:val="20"/>
              </w:rPr>
            </w:pPr>
            <w:r w:rsidRPr="00082014">
              <w:rPr>
                <w:rFonts w:ascii="Bookman Old Style" w:eastAsiaTheme="minorEastAsia" w:hAnsi="Bookman Old Style"/>
                <w:b w:val="0"/>
                <w:sz w:val="20"/>
              </w:rPr>
              <w:t>Definition:</w:t>
            </w:r>
          </w:p>
        </w:tc>
        <w:tc>
          <w:tcPr>
            <w:tcW w:w="7578" w:type="dxa"/>
            <w:tcBorders>
              <w:top w:val="nil"/>
              <w:bottom w:val="nil"/>
            </w:tcBorders>
          </w:tcPr>
          <w:p w14:paraId="59D4E4C6" w14:textId="4A0CF7BE" w:rsidR="00082014" w:rsidRPr="00082014" w:rsidRDefault="00082014" w:rsidP="00082014">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082014">
              <w:rPr>
                <w:rFonts w:ascii="Bookman Old Style" w:eastAsiaTheme="minorEastAsia" w:hAnsi="Bookman Old Style"/>
                <w:sz w:val="20"/>
              </w:rPr>
              <w:t>The length of time until the sum of an investment’s cash flow equals its cost</w:t>
            </w:r>
          </w:p>
        </w:tc>
      </w:tr>
      <w:tr w:rsidR="00082014" w14:paraId="78823AD8" w14:textId="77777777" w:rsidTr="000820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Borders>
              <w:top w:val="nil"/>
              <w:bottom w:val="nil"/>
            </w:tcBorders>
          </w:tcPr>
          <w:p w14:paraId="616CA89F" w14:textId="371878D7" w:rsidR="00082014" w:rsidRPr="00082014" w:rsidRDefault="00082014" w:rsidP="00EB615E">
            <w:pPr>
              <w:jc w:val="both"/>
              <w:rPr>
                <w:rFonts w:ascii="Bookman Old Style" w:eastAsiaTheme="minorEastAsia" w:hAnsi="Bookman Old Style"/>
                <w:b w:val="0"/>
                <w:sz w:val="20"/>
              </w:rPr>
            </w:pPr>
            <w:r w:rsidRPr="00082014">
              <w:rPr>
                <w:rFonts w:ascii="Bookman Old Style" w:eastAsiaTheme="minorEastAsia" w:hAnsi="Bookman Old Style"/>
                <w:b w:val="0"/>
                <w:sz w:val="20"/>
              </w:rPr>
              <w:t>Rule:</w:t>
            </w:r>
          </w:p>
        </w:tc>
        <w:tc>
          <w:tcPr>
            <w:tcW w:w="7578" w:type="dxa"/>
            <w:tcBorders>
              <w:top w:val="nil"/>
              <w:bottom w:val="nil"/>
            </w:tcBorders>
          </w:tcPr>
          <w:p w14:paraId="208DBC6C" w14:textId="40E09A0F" w:rsidR="00082014" w:rsidRPr="00082014" w:rsidRDefault="00082014" w:rsidP="00082014">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082014">
              <w:rPr>
                <w:rFonts w:ascii="Bookman Old Style" w:eastAsiaTheme="minorEastAsia" w:hAnsi="Bookman Old Style"/>
                <w:sz w:val="20"/>
              </w:rPr>
              <w:t>Invest in projects with payback periods less than the cutoff point</w:t>
            </w:r>
          </w:p>
        </w:tc>
      </w:tr>
      <w:tr w:rsidR="00082014" w14:paraId="69F399E0" w14:textId="77777777" w:rsidTr="00082014">
        <w:tc>
          <w:tcPr>
            <w:cnfStyle w:val="001000000000" w:firstRow="0" w:lastRow="0" w:firstColumn="1" w:lastColumn="0" w:oddVBand="0" w:evenVBand="0" w:oddHBand="0" w:evenHBand="0" w:firstRowFirstColumn="0" w:firstRowLastColumn="0" w:lastRowFirstColumn="0" w:lastRowLastColumn="0"/>
            <w:tcW w:w="1998" w:type="dxa"/>
            <w:tcBorders>
              <w:top w:val="nil"/>
              <w:bottom w:val="nil"/>
            </w:tcBorders>
          </w:tcPr>
          <w:p w14:paraId="4E993257" w14:textId="41632022" w:rsidR="00082014" w:rsidRPr="00082014" w:rsidRDefault="00082014" w:rsidP="00EB615E">
            <w:pPr>
              <w:jc w:val="both"/>
              <w:rPr>
                <w:rFonts w:ascii="Bookman Old Style" w:eastAsiaTheme="minorEastAsia" w:hAnsi="Bookman Old Style"/>
                <w:b w:val="0"/>
                <w:sz w:val="20"/>
              </w:rPr>
            </w:pPr>
            <w:r w:rsidRPr="00082014">
              <w:rPr>
                <w:rFonts w:ascii="Bookman Old Style" w:eastAsiaTheme="minorEastAsia" w:hAnsi="Bookman Old Style"/>
                <w:b w:val="0"/>
                <w:sz w:val="20"/>
              </w:rPr>
              <w:t>Advantages:</w:t>
            </w:r>
          </w:p>
        </w:tc>
        <w:tc>
          <w:tcPr>
            <w:tcW w:w="7578" w:type="dxa"/>
            <w:tcBorders>
              <w:top w:val="nil"/>
              <w:bottom w:val="nil"/>
            </w:tcBorders>
          </w:tcPr>
          <w:p w14:paraId="662D110A" w14:textId="12D49890" w:rsidR="00082014" w:rsidRPr="00082014" w:rsidRDefault="00082014" w:rsidP="00082014">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082014">
              <w:rPr>
                <w:rFonts w:ascii="Bookman Old Style" w:eastAsiaTheme="minorEastAsia" w:hAnsi="Bookman Old Style"/>
                <w:sz w:val="20"/>
              </w:rPr>
              <w:t>Easy to use and understand</w:t>
            </w:r>
          </w:p>
        </w:tc>
      </w:tr>
      <w:tr w:rsidR="00082014" w14:paraId="417EBB90" w14:textId="77777777" w:rsidTr="000820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Borders>
              <w:top w:val="nil"/>
              <w:bottom w:val="nil"/>
            </w:tcBorders>
          </w:tcPr>
          <w:p w14:paraId="2943FFCC" w14:textId="35EE6A61" w:rsidR="00082014" w:rsidRPr="00082014" w:rsidRDefault="00082014" w:rsidP="00EB615E">
            <w:pPr>
              <w:jc w:val="both"/>
              <w:rPr>
                <w:rFonts w:ascii="Bookman Old Style" w:eastAsiaTheme="minorEastAsia" w:hAnsi="Bookman Old Style"/>
                <w:b w:val="0"/>
                <w:sz w:val="20"/>
              </w:rPr>
            </w:pPr>
            <w:r w:rsidRPr="00082014">
              <w:rPr>
                <w:rFonts w:ascii="Bookman Old Style" w:eastAsiaTheme="minorEastAsia" w:hAnsi="Bookman Old Style"/>
                <w:b w:val="0"/>
                <w:sz w:val="20"/>
              </w:rPr>
              <w:t>Disadvantages:</w:t>
            </w:r>
          </w:p>
        </w:tc>
        <w:tc>
          <w:tcPr>
            <w:tcW w:w="7578" w:type="dxa"/>
            <w:tcBorders>
              <w:top w:val="nil"/>
              <w:bottom w:val="nil"/>
            </w:tcBorders>
          </w:tcPr>
          <w:p w14:paraId="336D323F" w14:textId="77777777" w:rsidR="00082014" w:rsidRPr="00082014" w:rsidRDefault="00082014" w:rsidP="00082014">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082014">
              <w:rPr>
                <w:rFonts w:ascii="Bookman Old Style" w:eastAsiaTheme="minorEastAsia" w:hAnsi="Bookman Old Style"/>
                <w:sz w:val="20"/>
              </w:rPr>
              <w:t>Ignores risk, the time value of money and cash flows beyond the cutoff point</w:t>
            </w:r>
          </w:p>
          <w:p w14:paraId="30B8ED92" w14:textId="1673CBFB" w:rsidR="00082014" w:rsidRPr="00082014" w:rsidRDefault="00082014" w:rsidP="00082014">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p>
        </w:tc>
      </w:tr>
      <w:tr w:rsidR="00082014" w14:paraId="2934FEA5" w14:textId="77777777" w:rsidTr="00082014">
        <w:tc>
          <w:tcPr>
            <w:cnfStyle w:val="001000000000" w:firstRow="0" w:lastRow="0" w:firstColumn="1" w:lastColumn="0" w:oddVBand="0" w:evenVBand="0" w:oddHBand="0" w:evenHBand="0" w:firstRowFirstColumn="0" w:firstRowLastColumn="0" w:lastRowFirstColumn="0" w:lastRowLastColumn="0"/>
            <w:tcW w:w="9576" w:type="dxa"/>
            <w:gridSpan w:val="2"/>
            <w:tcBorders>
              <w:top w:val="nil"/>
              <w:bottom w:val="nil"/>
            </w:tcBorders>
          </w:tcPr>
          <w:p w14:paraId="76294B27" w14:textId="42819FF6" w:rsidR="00082014" w:rsidRPr="00082014" w:rsidRDefault="00082014" w:rsidP="00082014">
            <w:pPr>
              <w:jc w:val="both"/>
              <w:rPr>
                <w:rFonts w:ascii="Bookman Old Style" w:eastAsiaTheme="minorEastAsia" w:hAnsi="Bookman Old Style"/>
                <w:sz w:val="20"/>
              </w:rPr>
            </w:pPr>
            <w:r w:rsidRPr="00082014">
              <w:rPr>
                <w:rFonts w:ascii="Bookman Old Style" w:eastAsiaTheme="minorEastAsia" w:hAnsi="Bookman Old Style"/>
                <w:i/>
                <w:sz w:val="20"/>
              </w:rPr>
              <w:t>Discounted Payback Period</w:t>
            </w:r>
          </w:p>
        </w:tc>
      </w:tr>
      <w:tr w:rsidR="00082014" w14:paraId="287D12D0" w14:textId="77777777" w:rsidTr="000820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Borders>
              <w:top w:val="nil"/>
              <w:bottom w:val="nil"/>
            </w:tcBorders>
          </w:tcPr>
          <w:p w14:paraId="4D011075" w14:textId="614776F9" w:rsidR="00082014" w:rsidRPr="00082014" w:rsidRDefault="00082014" w:rsidP="00082014">
            <w:pPr>
              <w:jc w:val="both"/>
              <w:rPr>
                <w:rFonts w:ascii="Bookman Old Style" w:eastAsiaTheme="minorEastAsia" w:hAnsi="Bookman Old Style"/>
                <w:b w:val="0"/>
                <w:sz w:val="20"/>
              </w:rPr>
            </w:pPr>
            <w:r w:rsidRPr="00082014">
              <w:rPr>
                <w:rFonts w:ascii="Bookman Old Style" w:eastAsiaTheme="minorEastAsia" w:hAnsi="Bookman Old Style"/>
                <w:b w:val="0"/>
                <w:sz w:val="20"/>
              </w:rPr>
              <w:t>Definition:</w:t>
            </w:r>
          </w:p>
        </w:tc>
        <w:tc>
          <w:tcPr>
            <w:tcW w:w="7578" w:type="dxa"/>
            <w:tcBorders>
              <w:top w:val="nil"/>
              <w:bottom w:val="nil"/>
            </w:tcBorders>
          </w:tcPr>
          <w:p w14:paraId="3CE140BB" w14:textId="2E00907F" w:rsidR="00082014" w:rsidRPr="00082014" w:rsidRDefault="00082014" w:rsidP="00082014">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082014">
              <w:rPr>
                <w:rFonts w:ascii="Bookman Old Style" w:eastAsiaTheme="minorEastAsia" w:hAnsi="Bookman Old Style"/>
                <w:sz w:val="20"/>
              </w:rPr>
              <w:t>The length of time until the sum of an investment’s discounted cash flows equal its cost</w:t>
            </w:r>
          </w:p>
        </w:tc>
      </w:tr>
      <w:tr w:rsidR="00082014" w14:paraId="2D9BF681" w14:textId="77777777" w:rsidTr="00082014">
        <w:tc>
          <w:tcPr>
            <w:cnfStyle w:val="001000000000" w:firstRow="0" w:lastRow="0" w:firstColumn="1" w:lastColumn="0" w:oddVBand="0" w:evenVBand="0" w:oddHBand="0" w:evenHBand="0" w:firstRowFirstColumn="0" w:firstRowLastColumn="0" w:lastRowFirstColumn="0" w:lastRowLastColumn="0"/>
            <w:tcW w:w="1998" w:type="dxa"/>
            <w:tcBorders>
              <w:top w:val="nil"/>
              <w:bottom w:val="nil"/>
            </w:tcBorders>
          </w:tcPr>
          <w:p w14:paraId="74DFEED0" w14:textId="534C8BBA" w:rsidR="00082014" w:rsidRPr="00082014" w:rsidRDefault="00082014" w:rsidP="00082014">
            <w:pPr>
              <w:jc w:val="both"/>
              <w:rPr>
                <w:rFonts w:ascii="Bookman Old Style" w:eastAsiaTheme="minorEastAsia" w:hAnsi="Bookman Old Style"/>
                <w:b w:val="0"/>
                <w:sz w:val="20"/>
              </w:rPr>
            </w:pPr>
            <w:r w:rsidRPr="00082014">
              <w:rPr>
                <w:rFonts w:ascii="Bookman Old Style" w:eastAsiaTheme="minorEastAsia" w:hAnsi="Bookman Old Style"/>
                <w:b w:val="0"/>
                <w:sz w:val="20"/>
              </w:rPr>
              <w:t>Rule:</w:t>
            </w:r>
          </w:p>
        </w:tc>
        <w:tc>
          <w:tcPr>
            <w:tcW w:w="7578" w:type="dxa"/>
            <w:tcBorders>
              <w:top w:val="nil"/>
              <w:bottom w:val="nil"/>
            </w:tcBorders>
          </w:tcPr>
          <w:p w14:paraId="4DD98A50" w14:textId="3A9948BF" w:rsidR="00082014" w:rsidRPr="00082014" w:rsidRDefault="00082014" w:rsidP="00082014">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082014">
              <w:rPr>
                <w:rFonts w:ascii="Bookman Old Style" w:eastAsiaTheme="minorEastAsia" w:hAnsi="Bookman Old Style"/>
                <w:sz w:val="20"/>
              </w:rPr>
              <w:t>Invest in projects if the discounted payback period is less than the cutoff point</w:t>
            </w:r>
          </w:p>
        </w:tc>
      </w:tr>
      <w:tr w:rsidR="00082014" w14:paraId="4A155AD2" w14:textId="77777777" w:rsidTr="000820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Borders>
              <w:top w:val="nil"/>
              <w:bottom w:val="nil"/>
            </w:tcBorders>
          </w:tcPr>
          <w:p w14:paraId="68C4A9DA" w14:textId="3049F478" w:rsidR="00082014" w:rsidRPr="00082014" w:rsidRDefault="00082014" w:rsidP="00082014">
            <w:pPr>
              <w:jc w:val="both"/>
              <w:rPr>
                <w:rFonts w:ascii="Bookman Old Style" w:eastAsiaTheme="minorEastAsia" w:hAnsi="Bookman Old Style"/>
                <w:b w:val="0"/>
                <w:sz w:val="20"/>
              </w:rPr>
            </w:pPr>
            <w:r w:rsidRPr="00082014">
              <w:rPr>
                <w:rFonts w:ascii="Bookman Old Style" w:eastAsiaTheme="minorEastAsia" w:hAnsi="Bookman Old Style"/>
                <w:b w:val="0"/>
                <w:sz w:val="20"/>
              </w:rPr>
              <w:t>Advantages:</w:t>
            </w:r>
          </w:p>
        </w:tc>
        <w:tc>
          <w:tcPr>
            <w:tcW w:w="7578" w:type="dxa"/>
            <w:tcBorders>
              <w:top w:val="nil"/>
              <w:bottom w:val="nil"/>
            </w:tcBorders>
          </w:tcPr>
          <w:p w14:paraId="5BB501DD" w14:textId="1720B4A3" w:rsidR="00082014" w:rsidRPr="00082014" w:rsidRDefault="00082014" w:rsidP="00082014">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082014">
              <w:rPr>
                <w:rFonts w:ascii="Bookman Old Style" w:eastAsiaTheme="minorEastAsia" w:hAnsi="Bookman Old Style"/>
                <w:sz w:val="20"/>
              </w:rPr>
              <w:t>Includes time value of money, easy to understand. Ignores cash flows after the cutoff point</w:t>
            </w:r>
          </w:p>
        </w:tc>
      </w:tr>
      <w:tr w:rsidR="00082014" w14:paraId="38FC8630" w14:textId="77777777" w:rsidTr="00082014">
        <w:tc>
          <w:tcPr>
            <w:cnfStyle w:val="001000000000" w:firstRow="0" w:lastRow="0" w:firstColumn="1" w:lastColumn="0" w:oddVBand="0" w:evenVBand="0" w:oddHBand="0" w:evenHBand="0" w:firstRowFirstColumn="0" w:firstRowLastColumn="0" w:lastRowFirstColumn="0" w:lastRowLastColumn="0"/>
            <w:tcW w:w="1998" w:type="dxa"/>
            <w:tcBorders>
              <w:top w:val="nil"/>
              <w:bottom w:val="nil"/>
            </w:tcBorders>
          </w:tcPr>
          <w:p w14:paraId="00DB641D" w14:textId="4AB4A50C" w:rsidR="00082014" w:rsidRPr="00082014" w:rsidRDefault="00082014" w:rsidP="00082014">
            <w:pPr>
              <w:jc w:val="both"/>
              <w:rPr>
                <w:rFonts w:ascii="Bookman Old Style" w:eastAsiaTheme="minorEastAsia" w:hAnsi="Bookman Old Style"/>
                <w:sz w:val="20"/>
              </w:rPr>
            </w:pPr>
            <w:r w:rsidRPr="00082014">
              <w:rPr>
                <w:rFonts w:ascii="Bookman Old Style" w:eastAsiaTheme="minorEastAsia" w:hAnsi="Bookman Old Style"/>
                <w:b w:val="0"/>
                <w:sz w:val="20"/>
              </w:rPr>
              <w:t>Disadvantages:</w:t>
            </w:r>
          </w:p>
        </w:tc>
        <w:tc>
          <w:tcPr>
            <w:tcW w:w="7578" w:type="dxa"/>
            <w:tcBorders>
              <w:top w:val="nil"/>
              <w:bottom w:val="nil"/>
            </w:tcBorders>
          </w:tcPr>
          <w:p w14:paraId="7F2D61FD" w14:textId="77777777" w:rsidR="00082014" w:rsidRPr="00082014" w:rsidRDefault="00082014" w:rsidP="00082014">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082014">
              <w:rPr>
                <w:rFonts w:ascii="Bookman Old Style" w:eastAsiaTheme="minorEastAsia" w:hAnsi="Bookman Old Style"/>
                <w:sz w:val="20"/>
              </w:rPr>
              <w:t>Ignores cash flows after the cutoff point</w:t>
            </w:r>
          </w:p>
          <w:p w14:paraId="7B9C5F2F" w14:textId="58230EFF" w:rsidR="00082014" w:rsidRPr="00082014" w:rsidRDefault="00082014" w:rsidP="00082014">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p>
        </w:tc>
      </w:tr>
      <w:tr w:rsidR="00082014" w14:paraId="77A1CE4C" w14:textId="77777777" w:rsidTr="000820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gridSpan w:val="2"/>
            <w:tcBorders>
              <w:top w:val="nil"/>
              <w:bottom w:val="nil"/>
            </w:tcBorders>
          </w:tcPr>
          <w:p w14:paraId="5EDA4BFB" w14:textId="0C6D2EDB" w:rsidR="00082014" w:rsidRPr="00082014" w:rsidRDefault="00082014" w:rsidP="00082014">
            <w:pPr>
              <w:jc w:val="both"/>
              <w:rPr>
                <w:rFonts w:ascii="Bookman Old Style" w:eastAsiaTheme="minorEastAsia" w:hAnsi="Bookman Old Style"/>
                <w:b w:val="0"/>
                <w:sz w:val="20"/>
              </w:rPr>
            </w:pPr>
            <w:r w:rsidRPr="00082014">
              <w:rPr>
                <w:rFonts w:ascii="Bookman Old Style" w:eastAsiaTheme="minorEastAsia" w:hAnsi="Bookman Old Style"/>
                <w:b w:val="0"/>
                <w:sz w:val="20"/>
              </w:rPr>
              <w:t xml:space="preserve">iii. </w:t>
            </w:r>
            <w:r w:rsidRPr="00082014">
              <w:rPr>
                <w:rFonts w:ascii="Bookman Old Style" w:eastAsiaTheme="minorEastAsia" w:hAnsi="Bookman Old Style"/>
                <w:sz w:val="20"/>
              </w:rPr>
              <w:t>ACCOUNTING CRITERIA AVERAGE ACCOUNTING RETURNS (AAR)</w:t>
            </w:r>
          </w:p>
        </w:tc>
      </w:tr>
      <w:tr w:rsidR="00082014" w14:paraId="6B286F8F" w14:textId="77777777" w:rsidTr="00082014">
        <w:tc>
          <w:tcPr>
            <w:cnfStyle w:val="001000000000" w:firstRow="0" w:lastRow="0" w:firstColumn="1" w:lastColumn="0" w:oddVBand="0" w:evenVBand="0" w:oddHBand="0" w:evenHBand="0" w:firstRowFirstColumn="0" w:firstRowLastColumn="0" w:lastRowFirstColumn="0" w:lastRowLastColumn="0"/>
            <w:tcW w:w="1998" w:type="dxa"/>
            <w:tcBorders>
              <w:top w:val="nil"/>
              <w:bottom w:val="nil"/>
            </w:tcBorders>
          </w:tcPr>
          <w:p w14:paraId="6F73BAEE" w14:textId="094CA090" w:rsidR="00082014" w:rsidRPr="00082014" w:rsidRDefault="00082014" w:rsidP="00082014">
            <w:pPr>
              <w:jc w:val="both"/>
              <w:rPr>
                <w:rFonts w:ascii="Bookman Old Style" w:eastAsiaTheme="minorEastAsia" w:hAnsi="Bookman Old Style"/>
                <w:b w:val="0"/>
                <w:sz w:val="20"/>
              </w:rPr>
            </w:pPr>
            <w:r w:rsidRPr="00082014">
              <w:rPr>
                <w:rFonts w:ascii="Bookman Old Style" w:eastAsiaTheme="minorEastAsia" w:hAnsi="Bookman Old Style"/>
                <w:b w:val="0"/>
                <w:sz w:val="20"/>
              </w:rPr>
              <w:t>Definition:</w:t>
            </w:r>
          </w:p>
        </w:tc>
        <w:tc>
          <w:tcPr>
            <w:tcW w:w="7578" w:type="dxa"/>
            <w:tcBorders>
              <w:top w:val="nil"/>
              <w:bottom w:val="nil"/>
            </w:tcBorders>
          </w:tcPr>
          <w:p w14:paraId="45D72EBA" w14:textId="03FDB75D" w:rsidR="00082014" w:rsidRPr="00082014" w:rsidRDefault="00082014" w:rsidP="00082014">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082014">
              <w:rPr>
                <w:rFonts w:ascii="Bookman Old Style" w:eastAsiaTheme="minorEastAsia" w:hAnsi="Bookman Old Style"/>
                <w:sz w:val="20"/>
              </w:rPr>
              <w:t>A measure of accounting profit relative to book value</w:t>
            </w:r>
          </w:p>
        </w:tc>
      </w:tr>
      <w:tr w:rsidR="00082014" w14:paraId="68E24E24" w14:textId="77777777" w:rsidTr="000820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Borders>
              <w:top w:val="nil"/>
              <w:bottom w:val="nil"/>
            </w:tcBorders>
          </w:tcPr>
          <w:p w14:paraId="41123500" w14:textId="4CDC9E35" w:rsidR="00082014" w:rsidRPr="00082014" w:rsidRDefault="00082014" w:rsidP="00082014">
            <w:pPr>
              <w:jc w:val="both"/>
              <w:rPr>
                <w:rFonts w:ascii="Bookman Old Style" w:eastAsiaTheme="minorEastAsia" w:hAnsi="Bookman Old Style"/>
                <w:b w:val="0"/>
                <w:sz w:val="20"/>
              </w:rPr>
            </w:pPr>
            <w:r w:rsidRPr="00082014">
              <w:rPr>
                <w:rFonts w:ascii="Bookman Old Style" w:eastAsiaTheme="minorEastAsia" w:hAnsi="Bookman Old Style"/>
                <w:b w:val="0"/>
                <w:sz w:val="20"/>
              </w:rPr>
              <w:t>Rule:</w:t>
            </w:r>
          </w:p>
        </w:tc>
        <w:tc>
          <w:tcPr>
            <w:tcW w:w="7578" w:type="dxa"/>
            <w:tcBorders>
              <w:top w:val="nil"/>
              <w:bottom w:val="nil"/>
            </w:tcBorders>
          </w:tcPr>
          <w:p w14:paraId="72881032" w14:textId="46AE3D02" w:rsidR="00082014" w:rsidRPr="00082014" w:rsidRDefault="00082014" w:rsidP="00082014">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082014">
              <w:rPr>
                <w:rFonts w:ascii="Bookman Old Style" w:eastAsiaTheme="minorEastAsia" w:hAnsi="Bookman Old Style"/>
                <w:sz w:val="20"/>
              </w:rPr>
              <w:t>Invest in projects if their AAR exceeds a benchmark AAR</w:t>
            </w:r>
          </w:p>
        </w:tc>
      </w:tr>
      <w:tr w:rsidR="00082014" w14:paraId="26809680" w14:textId="77777777" w:rsidTr="00082014">
        <w:tc>
          <w:tcPr>
            <w:cnfStyle w:val="001000000000" w:firstRow="0" w:lastRow="0" w:firstColumn="1" w:lastColumn="0" w:oddVBand="0" w:evenVBand="0" w:oddHBand="0" w:evenHBand="0" w:firstRowFirstColumn="0" w:firstRowLastColumn="0" w:lastRowFirstColumn="0" w:lastRowLastColumn="0"/>
            <w:tcW w:w="1998" w:type="dxa"/>
            <w:tcBorders>
              <w:top w:val="nil"/>
              <w:bottom w:val="nil"/>
            </w:tcBorders>
          </w:tcPr>
          <w:p w14:paraId="711CC14E" w14:textId="2E1A6BF7" w:rsidR="00082014" w:rsidRPr="00082014" w:rsidRDefault="00082014" w:rsidP="00082014">
            <w:pPr>
              <w:jc w:val="both"/>
              <w:rPr>
                <w:rFonts w:ascii="Bookman Old Style" w:eastAsiaTheme="minorEastAsia" w:hAnsi="Bookman Old Style"/>
                <w:b w:val="0"/>
                <w:sz w:val="20"/>
              </w:rPr>
            </w:pPr>
            <w:r w:rsidRPr="00082014">
              <w:rPr>
                <w:rFonts w:ascii="Bookman Old Style" w:eastAsiaTheme="minorEastAsia" w:hAnsi="Bookman Old Style"/>
                <w:b w:val="0"/>
                <w:sz w:val="20"/>
              </w:rPr>
              <w:t>Advantages:</w:t>
            </w:r>
          </w:p>
        </w:tc>
        <w:tc>
          <w:tcPr>
            <w:tcW w:w="7578" w:type="dxa"/>
            <w:tcBorders>
              <w:top w:val="nil"/>
              <w:bottom w:val="nil"/>
            </w:tcBorders>
          </w:tcPr>
          <w:p w14:paraId="7730CEF5" w14:textId="46ACB6CD" w:rsidR="00082014" w:rsidRPr="00082014" w:rsidRDefault="00082014" w:rsidP="00082014">
            <w:pPr>
              <w:jc w:val="both"/>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082014">
              <w:rPr>
                <w:rFonts w:ascii="Bookman Old Style" w:eastAsiaTheme="minorEastAsia" w:hAnsi="Bookman Old Style"/>
                <w:sz w:val="20"/>
              </w:rPr>
              <w:t>Easy to calculate, information is readily available</w:t>
            </w:r>
          </w:p>
        </w:tc>
      </w:tr>
      <w:tr w:rsidR="00082014" w14:paraId="1C3BA086" w14:textId="77777777" w:rsidTr="000820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Borders>
              <w:top w:val="nil"/>
            </w:tcBorders>
          </w:tcPr>
          <w:p w14:paraId="7140DAD6" w14:textId="368A065A" w:rsidR="00082014" w:rsidRPr="00082014" w:rsidRDefault="00082014" w:rsidP="00082014">
            <w:pPr>
              <w:jc w:val="both"/>
              <w:rPr>
                <w:rFonts w:ascii="Bookman Old Style" w:eastAsiaTheme="minorEastAsia" w:hAnsi="Bookman Old Style"/>
                <w:b w:val="0"/>
                <w:sz w:val="20"/>
              </w:rPr>
            </w:pPr>
            <w:r w:rsidRPr="00082014">
              <w:rPr>
                <w:rFonts w:ascii="Bookman Old Style" w:eastAsiaTheme="minorEastAsia" w:hAnsi="Bookman Old Style"/>
                <w:b w:val="0"/>
                <w:sz w:val="20"/>
              </w:rPr>
              <w:t>Disadvantages:</w:t>
            </w:r>
          </w:p>
        </w:tc>
        <w:tc>
          <w:tcPr>
            <w:tcW w:w="7578" w:type="dxa"/>
            <w:tcBorders>
              <w:top w:val="nil"/>
            </w:tcBorders>
          </w:tcPr>
          <w:p w14:paraId="6018387B" w14:textId="68228415" w:rsidR="00082014" w:rsidRPr="00082014" w:rsidRDefault="00082014" w:rsidP="00082014">
            <w:pPr>
              <w:jc w:val="both"/>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082014">
              <w:rPr>
                <w:rFonts w:ascii="Bookman Old Style" w:eastAsiaTheme="minorEastAsia" w:hAnsi="Bookman Old Style"/>
                <w:sz w:val="20"/>
              </w:rPr>
              <w:t>Not a true rate of return, ignores time value of money, cash flows and market values</w:t>
            </w:r>
          </w:p>
        </w:tc>
      </w:tr>
    </w:tbl>
    <w:p w14:paraId="54D1EA12" w14:textId="77777777" w:rsidR="00EB615E" w:rsidRPr="00EB615E" w:rsidRDefault="00EB615E" w:rsidP="00082014">
      <w:pPr>
        <w:spacing w:after="0" w:line="240" w:lineRule="auto"/>
        <w:jc w:val="both"/>
        <w:rPr>
          <w:rFonts w:ascii="Bookman Old Style" w:eastAsiaTheme="minorEastAsia" w:hAnsi="Bookman Old Style"/>
        </w:rPr>
      </w:pPr>
    </w:p>
    <w:sectPr w:rsidR="00EB615E" w:rsidRPr="00EB61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81613"/>
    <w:multiLevelType w:val="hybridMultilevel"/>
    <w:tmpl w:val="2848C7BE"/>
    <w:lvl w:ilvl="0" w:tplc="89224BD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1169A7"/>
    <w:multiLevelType w:val="hybridMultilevel"/>
    <w:tmpl w:val="8A684B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C95FB9"/>
    <w:multiLevelType w:val="hybridMultilevel"/>
    <w:tmpl w:val="E006FF12"/>
    <w:lvl w:ilvl="0" w:tplc="9C387F0E">
      <w:numFmt w:val="bullet"/>
      <w:lvlText w:val="-"/>
      <w:lvlJc w:val="left"/>
      <w:pPr>
        <w:ind w:left="720" w:hanging="360"/>
      </w:pPr>
      <w:rPr>
        <w:rFonts w:ascii="Bookman Old Style" w:eastAsiaTheme="minorEastAsia"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B66D46"/>
    <w:multiLevelType w:val="hybridMultilevel"/>
    <w:tmpl w:val="081ED5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653D9E"/>
    <w:multiLevelType w:val="hybridMultilevel"/>
    <w:tmpl w:val="21F4DF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34752A"/>
    <w:multiLevelType w:val="hybridMultilevel"/>
    <w:tmpl w:val="A55C4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833511"/>
    <w:multiLevelType w:val="hybridMultilevel"/>
    <w:tmpl w:val="98325450"/>
    <w:lvl w:ilvl="0" w:tplc="6A861E1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B2503F"/>
    <w:multiLevelType w:val="hybridMultilevel"/>
    <w:tmpl w:val="8F58A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B4289D"/>
    <w:multiLevelType w:val="hybridMultilevel"/>
    <w:tmpl w:val="631823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EC3586C"/>
    <w:multiLevelType w:val="hybridMultilevel"/>
    <w:tmpl w:val="BA4C68A6"/>
    <w:lvl w:ilvl="0" w:tplc="3BE8A9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EA22FF"/>
    <w:multiLevelType w:val="hybridMultilevel"/>
    <w:tmpl w:val="B2E0EE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B330E91"/>
    <w:multiLevelType w:val="hybridMultilevel"/>
    <w:tmpl w:val="4DDA3C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C8471EF"/>
    <w:multiLevelType w:val="hybridMultilevel"/>
    <w:tmpl w:val="64823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4C518D8"/>
    <w:multiLevelType w:val="hybridMultilevel"/>
    <w:tmpl w:val="AFFE2A2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6F47EE6"/>
    <w:multiLevelType w:val="hybridMultilevel"/>
    <w:tmpl w:val="777673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C3C7E28"/>
    <w:multiLevelType w:val="hybridMultilevel"/>
    <w:tmpl w:val="37AE5F1A"/>
    <w:lvl w:ilvl="0" w:tplc="FE56DFD2">
      <w:numFmt w:val="bullet"/>
      <w:lvlText w:val="-"/>
      <w:lvlJc w:val="left"/>
      <w:pPr>
        <w:ind w:left="720" w:hanging="360"/>
      </w:pPr>
      <w:rPr>
        <w:rFonts w:ascii="Bookman Old Style" w:eastAsiaTheme="minorHAnsi"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FC0696B"/>
    <w:multiLevelType w:val="hybridMultilevel"/>
    <w:tmpl w:val="DCAA1F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FF657C2"/>
    <w:multiLevelType w:val="hybridMultilevel"/>
    <w:tmpl w:val="575014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075575B"/>
    <w:multiLevelType w:val="hybridMultilevel"/>
    <w:tmpl w:val="9C8C1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1E21E57"/>
    <w:multiLevelType w:val="hybridMultilevel"/>
    <w:tmpl w:val="C406B31A"/>
    <w:lvl w:ilvl="0" w:tplc="2EB8BBD0">
      <w:start w:val="1"/>
      <w:numFmt w:val="decimal"/>
      <w:lvlText w:val="%1."/>
      <w:lvlJc w:val="left"/>
      <w:pPr>
        <w:ind w:left="720" w:hanging="360"/>
      </w:pPr>
      <w:rPr>
        <w:rFonts w:eastAsiaTheme="minorEastAsia" w:hint="default"/>
        <w:b w:val="0"/>
        <w:sz w:val="22"/>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4D0083D"/>
    <w:multiLevelType w:val="hybridMultilevel"/>
    <w:tmpl w:val="5A12E7E4"/>
    <w:lvl w:ilvl="0" w:tplc="995042C8">
      <w:start w:val="1"/>
      <w:numFmt w:val="bullet"/>
      <w:lvlText w:val="-"/>
      <w:lvlJc w:val="left"/>
      <w:pPr>
        <w:ind w:left="720" w:hanging="360"/>
      </w:pPr>
      <w:rPr>
        <w:rFonts w:ascii="Bookman Old Style" w:eastAsiaTheme="minorEastAsia"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75F2F6C"/>
    <w:multiLevelType w:val="hybridMultilevel"/>
    <w:tmpl w:val="4ACCE3E6"/>
    <w:lvl w:ilvl="0" w:tplc="AB847BAE">
      <w:start w:val="1"/>
      <w:numFmt w:val="bullet"/>
      <w:lvlText w:val="-"/>
      <w:lvlJc w:val="left"/>
      <w:pPr>
        <w:ind w:left="720" w:hanging="360"/>
      </w:pPr>
      <w:rPr>
        <w:rFonts w:ascii="Bookman Old Style" w:eastAsiaTheme="minorEastAsia"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83071A2"/>
    <w:multiLevelType w:val="hybridMultilevel"/>
    <w:tmpl w:val="2B3E4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95311B3"/>
    <w:multiLevelType w:val="hybridMultilevel"/>
    <w:tmpl w:val="579EADB4"/>
    <w:lvl w:ilvl="0" w:tplc="249602A8">
      <w:start w:val="318"/>
      <w:numFmt w:val="bullet"/>
      <w:lvlText w:val="-"/>
      <w:lvlJc w:val="left"/>
      <w:pPr>
        <w:ind w:left="720" w:hanging="360"/>
      </w:pPr>
      <w:rPr>
        <w:rFonts w:ascii="Bookman Old Style" w:eastAsiaTheme="minorEastAsia"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AC50006"/>
    <w:multiLevelType w:val="hybridMultilevel"/>
    <w:tmpl w:val="67BAA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EFC44AF"/>
    <w:multiLevelType w:val="hybridMultilevel"/>
    <w:tmpl w:val="63504DA8"/>
    <w:lvl w:ilvl="0" w:tplc="A6DA698A">
      <w:start w:val="3"/>
      <w:numFmt w:val="bullet"/>
      <w:lvlText w:val="►"/>
      <w:lvlJc w:val="left"/>
      <w:pPr>
        <w:ind w:left="720" w:hanging="360"/>
      </w:pPr>
      <w:rPr>
        <w:rFonts w:ascii="Bookman Old Style" w:eastAsiaTheme="minorHAnsi" w:hAnsi="Bookman Old Style"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F4C2D2C"/>
    <w:multiLevelType w:val="hybridMultilevel"/>
    <w:tmpl w:val="85B05ABE"/>
    <w:lvl w:ilvl="0" w:tplc="4A422896">
      <w:start w:val="2"/>
      <w:numFmt w:val="bullet"/>
      <w:lvlText w:val="-"/>
      <w:lvlJc w:val="left"/>
      <w:pPr>
        <w:ind w:left="720" w:hanging="360"/>
      </w:pPr>
      <w:rPr>
        <w:rFonts w:ascii="Bookman Old Style" w:eastAsiaTheme="minorEastAsia"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6CF58BA"/>
    <w:multiLevelType w:val="hybridMultilevel"/>
    <w:tmpl w:val="FA705ECE"/>
    <w:lvl w:ilvl="0" w:tplc="45D68D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EEA5E08"/>
    <w:multiLevelType w:val="hybridMultilevel"/>
    <w:tmpl w:val="1B866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1B02A6D"/>
    <w:multiLevelType w:val="hybridMultilevel"/>
    <w:tmpl w:val="B43A8B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36C3A92"/>
    <w:multiLevelType w:val="hybridMultilevel"/>
    <w:tmpl w:val="6D803798"/>
    <w:lvl w:ilvl="0" w:tplc="7832BBA6">
      <w:start w:val="1"/>
      <w:numFmt w:val="bullet"/>
      <w:lvlText w:val="-"/>
      <w:lvlJc w:val="left"/>
      <w:pPr>
        <w:ind w:left="720" w:hanging="360"/>
      </w:pPr>
      <w:rPr>
        <w:rFonts w:ascii="Bookman Old Style" w:eastAsiaTheme="minorHAnsi" w:hAnsi="Bookman Old Style"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5050B05"/>
    <w:multiLevelType w:val="hybridMultilevel"/>
    <w:tmpl w:val="DA9898C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9BB583D"/>
    <w:multiLevelType w:val="hybridMultilevel"/>
    <w:tmpl w:val="B8BA4A7A"/>
    <w:lvl w:ilvl="0" w:tplc="A6DA698A">
      <w:start w:val="3"/>
      <w:numFmt w:val="bullet"/>
      <w:lvlText w:val="►"/>
      <w:lvlJc w:val="left"/>
      <w:pPr>
        <w:ind w:left="720" w:hanging="360"/>
      </w:pPr>
      <w:rPr>
        <w:rFonts w:ascii="Bookman Old Style" w:eastAsiaTheme="minorHAnsi"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A6379F2"/>
    <w:multiLevelType w:val="hybridMultilevel"/>
    <w:tmpl w:val="E56847A2"/>
    <w:lvl w:ilvl="0" w:tplc="E10411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B0F4764"/>
    <w:multiLevelType w:val="hybridMultilevel"/>
    <w:tmpl w:val="37BEF8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B7A4029"/>
    <w:multiLevelType w:val="hybridMultilevel"/>
    <w:tmpl w:val="ABCEA464"/>
    <w:lvl w:ilvl="0" w:tplc="6ABE61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D4F1BE3"/>
    <w:multiLevelType w:val="hybridMultilevel"/>
    <w:tmpl w:val="426C9DF4"/>
    <w:lvl w:ilvl="0" w:tplc="BFAE31F0">
      <w:start w:val="1"/>
      <w:numFmt w:val="bullet"/>
      <w:lvlText w:val="-"/>
      <w:lvlJc w:val="left"/>
      <w:pPr>
        <w:ind w:left="720" w:hanging="360"/>
      </w:pPr>
      <w:rPr>
        <w:rFonts w:ascii="Bookman Old Style" w:eastAsiaTheme="minorEastAsia"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25"/>
  </w:num>
  <w:num w:numId="3">
    <w:abstractNumId w:val="2"/>
  </w:num>
  <w:num w:numId="4">
    <w:abstractNumId w:val="7"/>
  </w:num>
  <w:num w:numId="5">
    <w:abstractNumId w:val="16"/>
  </w:num>
  <w:num w:numId="6">
    <w:abstractNumId w:val="0"/>
  </w:num>
  <w:num w:numId="7">
    <w:abstractNumId w:val="9"/>
  </w:num>
  <w:num w:numId="8">
    <w:abstractNumId w:val="6"/>
  </w:num>
  <w:num w:numId="9">
    <w:abstractNumId w:val="11"/>
  </w:num>
  <w:num w:numId="10">
    <w:abstractNumId w:val="33"/>
  </w:num>
  <w:num w:numId="11">
    <w:abstractNumId w:val="23"/>
  </w:num>
  <w:num w:numId="12">
    <w:abstractNumId w:val="22"/>
  </w:num>
  <w:num w:numId="13">
    <w:abstractNumId w:val="1"/>
  </w:num>
  <w:num w:numId="14">
    <w:abstractNumId w:val="27"/>
  </w:num>
  <w:num w:numId="15">
    <w:abstractNumId w:val="28"/>
  </w:num>
  <w:num w:numId="16">
    <w:abstractNumId w:val="26"/>
  </w:num>
  <w:num w:numId="17">
    <w:abstractNumId w:val="31"/>
  </w:num>
  <w:num w:numId="18">
    <w:abstractNumId w:val="35"/>
  </w:num>
  <w:num w:numId="19">
    <w:abstractNumId w:val="36"/>
  </w:num>
  <w:num w:numId="20">
    <w:abstractNumId w:val="14"/>
  </w:num>
  <w:num w:numId="21">
    <w:abstractNumId w:val="21"/>
  </w:num>
  <w:num w:numId="22">
    <w:abstractNumId w:val="32"/>
  </w:num>
  <w:num w:numId="23">
    <w:abstractNumId w:val="20"/>
  </w:num>
  <w:num w:numId="24">
    <w:abstractNumId w:val="34"/>
  </w:num>
  <w:num w:numId="25">
    <w:abstractNumId w:val="17"/>
  </w:num>
  <w:num w:numId="26">
    <w:abstractNumId w:val="10"/>
  </w:num>
  <w:num w:numId="27">
    <w:abstractNumId w:val="4"/>
  </w:num>
  <w:num w:numId="28">
    <w:abstractNumId w:val="8"/>
  </w:num>
  <w:num w:numId="29">
    <w:abstractNumId w:val="30"/>
  </w:num>
  <w:num w:numId="30">
    <w:abstractNumId w:val="13"/>
  </w:num>
  <w:num w:numId="31">
    <w:abstractNumId w:val="15"/>
  </w:num>
  <w:num w:numId="32">
    <w:abstractNumId w:val="29"/>
  </w:num>
  <w:num w:numId="33">
    <w:abstractNumId w:val="19"/>
  </w:num>
  <w:num w:numId="34">
    <w:abstractNumId w:val="24"/>
  </w:num>
  <w:num w:numId="35">
    <w:abstractNumId w:val="3"/>
  </w:num>
  <w:num w:numId="36">
    <w:abstractNumId w:val="18"/>
  </w:num>
  <w:num w:numId="3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3B35"/>
    <w:rsid w:val="00003328"/>
    <w:rsid w:val="00043B35"/>
    <w:rsid w:val="000450B2"/>
    <w:rsid w:val="0004552A"/>
    <w:rsid w:val="00053932"/>
    <w:rsid w:val="000743C1"/>
    <w:rsid w:val="00082014"/>
    <w:rsid w:val="00085AF7"/>
    <w:rsid w:val="000865CA"/>
    <w:rsid w:val="00095171"/>
    <w:rsid w:val="000A0BDB"/>
    <w:rsid w:val="000B5BD5"/>
    <w:rsid w:val="000D3D37"/>
    <w:rsid w:val="000D64B9"/>
    <w:rsid w:val="000E0536"/>
    <w:rsid w:val="000F2146"/>
    <w:rsid w:val="00112CB0"/>
    <w:rsid w:val="00127CD6"/>
    <w:rsid w:val="00130014"/>
    <w:rsid w:val="00160779"/>
    <w:rsid w:val="00162A97"/>
    <w:rsid w:val="00166C75"/>
    <w:rsid w:val="0017434D"/>
    <w:rsid w:val="001801B4"/>
    <w:rsid w:val="001A2702"/>
    <w:rsid w:val="001A39CF"/>
    <w:rsid w:val="001B27A2"/>
    <w:rsid w:val="001D0501"/>
    <w:rsid w:val="001D31E8"/>
    <w:rsid w:val="001E31A6"/>
    <w:rsid w:val="001E34FB"/>
    <w:rsid w:val="001E3ECC"/>
    <w:rsid w:val="002146E2"/>
    <w:rsid w:val="00227792"/>
    <w:rsid w:val="00274AF5"/>
    <w:rsid w:val="002A38C3"/>
    <w:rsid w:val="002A6A13"/>
    <w:rsid w:val="002B2D30"/>
    <w:rsid w:val="002B4C00"/>
    <w:rsid w:val="002B5431"/>
    <w:rsid w:val="002C317F"/>
    <w:rsid w:val="002D6249"/>
    <w:rsid w:val="002E6628"/>
    <w:rsid w:val="002F5B54"/>
    <w:rsid w:val="00345D0F"/>
    <w:rsid w:val="003555E1"/>
    <w:rsid w:val="003869E2"/>
    <w:rsid w:val="003E04C0"/>
    <w:rsid w:val="003F7150"/>
    <w:rsid w:val="003F7226"/>
    <w:rsid w:val="00407E05"/>
    <w:rsid w:val="00407F62"/>
    <w:rsid w:val="00456C34"/>
    <w:rsid w:val="00457F0C"/>
    <w:rsid w:val="004942A8"/>
    <w:rsid w:val="0049782B"/>
    <w:rsid w:val="004A0E2C"/>
    <w:rsid w:val="004D0503"/>
    <w:rsid w:val="004D39A1"/>
    <w:rsid w:val="004D5709"/>
    <w:rsid w:val="004E3BC3"/>
    <w:rsid w:val="004E6F43"/>
    <w:rsid w:val="0051134C"/>
    <w:rsid w:val="00522542"/>
    <w:rsid w:val="00531FE5"/>
    <w:rsid w:val="005451CD"/>
    <w:rsid w:val="00552AF2"/>
    <w:rsid w:val="00562B40"/>
    <w:rsid w:val="00572648"/>
    <w:rsid w:val="005A4019"/>
    <w:rsid w:val="005A71F2"/>
    <w:rsid w:val="005B6F9F"/>
    <w:rsid w:val="005C42E6"/>
    <w:rsid w:val="005C4C23"/>
    <w:rsid w:val="005D2064"/>
    <w:rsid w:val="005E2395"/>
    <w:rsid w:val="00603F3D"/>
    <w:rsid w:val="00673661"/>
    <w:rsid w:val="00673DA7"/>
    <w:rsid w:val="00675943"/>
    <w:rsid w:val="006A47F6"/>
    <w:rsid w:val="006B1FD6"/>
    <w:rsid w:val="006C2882"/>
    <w:rsid w:val="006E2B76"/>
    <w:rsid w:val="006F2D3A"/>
    <w:rsid w:val="007214D7"/>
    <w:rsid w:val="00722018"/>
    <w:rsid w:val="00731A20"/>
    <w:rsid w:val="0074421F"/>
    <w:rsid w:val="00751599"/>
    <w:rsid w:val="00756F18"/>
    <w:rsid w:val="0078016B"/>
    <w:rsid w:val="00786345"/>
    <w:rsid w:val="007978EB"/>
    <w:rsid w:val="007A3069"/>
    <w:rsid w:val="007A6FF0"/>
    <w:rsid w:val="007C309D"/>
    <w:rsid w:val="007C4295"/>
    <w:rsid w:val="007C7CDA"/>
    <w:rsid w:val="007D2311"/>
    <w:rsid w:val="007E2AB7"/>
    <w:rsid w:val="007F08FF"/>
    <w:rsid w:val="00804768"/>
    <w:rsid w:val="00805586"/>
    <w:rsid w:val="00805926"/>
    <w:rsid w:val="008120BC"/>
    <w:rsid w:val="00822249"/>
    <w:rsid w:val="008250CD"/>
    <w:rsid w:val="0083090D"/>
    <w:rsid w:val="00837A05"/>
    <w:rsid w:val="008419A3"/>
    <w:rsid w:val="00884F6B"/>
    <w:rsid w:val="0089276B"/>
    <w:rsid w:val="008A171A"/>
    <w:rsid w:val="008A2F17"/>
    <w:rsid w:val="008A7F56"/>
    <w:rsid w:val="008B6189"/>
    <w:rsid w:val="008B725D"/>
    <w:rsid w:val="008C2B41"/>
    <w:rsid w:val="008C3D84"/>
    <w:rsid w:val="008D6A64"/>
    <w:rsid w:val="00904467"/>
    <w:rsid w:val="00922519"/>
    <w:rsid w:val="00922B24"/>
    <w:rsid w:val="00923D8E"/>
    <w:rsid w:val="00930F34"/>
    <w:rsid w:val="00934F38"/>
    <w:rsid w:val="00936ACD"/>
    <w:rsid w:val="00950CCD"/>
    <w:rsid w:val="009550BA"/>
    <w:rsid w:val="00960D1F"/>
    <w:rsid w:val="00964B18"/>
    <w:rsid w:val="009A78B3"/>
    <w:rsid w:val="009B4EAC"/>
    <w:rsid w:val="009C2F80"/>
    <w:rsid w:val="009C4033"/>
    <w:rsid w:val="009D3DFC"/>
    <w:rsid w:val="009D467B"/>
    <w:rsid w:val="009D577E"/>
    <w:rsid w:val="009E28C1"/>
    <w:rsid w:val="009E36DC"/>
    <w:rsid w:val="009F51FE"/>
    <w:rsid w:val="00A00559"/>
    <w:rsid w:val="00A2567D"/>
    <w:rsid w:val="00A762F1"/>
    <w:rsid w:val="00A83AA1"/>
    <w:rsid w:val="00A84BCD"/>
    <w:rsid w:val="00A86709"/>
    <w:rsid w:val="00A92B06"/>
    <w:rsid w:val="00AA5EC6"/>
    <w:rsid w:val="00AB63EC"/>
    <w:rsid w:val="00AF0166"/>
    <w:rsid w:val="00B20CFD"/>
    <w:rsid w:val="00B265B1"/>
    <w:rsid w:val="00B2707B"/>
    <w:rsid w:val="00B279DF"/>
    <w:rsid w:val="00B27B9D"/>
    <w:rsid w:val="00B42ADB"/>
    <w:rsid w:val="00B54FDE"/>
    <w:rsid w:val="00B617A6"/>
    <w:rsid w:val="00B66019"/>
    <w:rsid w:val="00B72C33"/>
    <w:rsid w:val="00B75386"/>
    <w:rsid w:val="00BA5DD9"/>
    <w:rsid w:val="00BD25CE"/>
    <w:rsid w:val="00BD431F"/>
    <w:rsid w:val="00BD659F"/>
    <w:rsid w:val="00BE311A"/>
    <w:rsid w:val="00C17ADF"/>
    <w:rsid w:val="00C403EB"/>
    <w:rsid w:val="00C43310"/>
    <w:rsid w:val="00C44ED8"/>
    <w:rsid w:val="00C57D93"/>
    <w:rsid w:val="00C60BAC"/>
    <w:rsid w:val="00C628DD"/>
    <w:rsid w:val="00C70A72"/>
    <w:rsid w:val="00C70AF4"/>
    <w:rsid w:val="00C84978"/>
    <w:rsid w:val="00CC3FB6"/>
    <w:rsid w:val="00CD595C"/>
    <w:rsid w:val="00CE29FC"/>
    <w:rsid w:val="00CE7F30"/>
    <w:rsid w:val="00CF32D5"/>
    <w:rsid w:val="00CF48DB"/>
    <w:rsid w:val="00CF64CB"/>
    <w:rsid w:val="00D35666"/>
    <w:rsid w:val="00D54E35"/>
    <w:rsid w:val="00D778FD"/>
    <w:rsid w:val="00D97605"/>
    <w:rsid w:val="00DA129F"/>
    <w:rsid w:val="00DA23ED"/>
    <w:rsid w:val="00DB6316"/>
    <w:rsid w:val="00DC229A"/>
    <w:rsid w:val="00DE3153"/>
    <w:rsid w:val="00DF1ED5"/>
    <w:rsid w:val="00DF3A11"/>
    <w:rsid w:val="00E322B3"/>
    <w:rsid w:val="00E373BB"/>
    <w:rsid w:val="00E47DCF"/>
    <w:rsid w:val="00E516AC"/>
    <w:rsid w:val="00E63F39"/>
    <w:rsid w:val="00E74969"/>
    <w:rsid w:val="00E80091"/>
    <w:rsid w:val="00E83A2B"/>
    <w:rsid w:val="00EA3BAF"/>
    <w:rsid w:val="00EB3231"/>
    <w:rsid w:val="00EB615E"/>
    <w:rsid w:val="00EC5838"/>
    <w:rsid w:val="00ED085F"/>
    <w:rsid w:val="00ED2503"/>
    <w:rsid w:val="00EE09D2"/>
    <w:rsid w:val="00EF6336"/>
    <w:rsid w:val="00EF7FCA"/>
    <w:rsid w:val="00F06AED"/>
    <w:rsid w:val="00F25DB5"/>
    <w:rsid w:val="00F65B22"/>
    <w:rsid w:val="00F66B97"/>
    <w:rsid w:val="00F70134"/>
    <w:rsid w:val="00FA6EA6"/>
    <w:rsid w:val="00FB3790"/>
    <w:rsid w:val="00FC67C8"/>
    <w:rsid w:val="00FE4594"/>
    <w:rsid w:val="00FE5350"/>
    <w:rsid w:val="00FF59FF"/>
    <w:rsid w:val="00FF74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088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B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B35"/>
    <w:pPr>
      <w:ind w:left="720"/>
      <w:contextualSpacing/>
    </w:pPr>
  </w:style>
  <w:style w:type="table" w:styleId="TableGrid">
    <w:name w:val="Table Grid"/>
    <w:basedOn w:val="TableNormal"/>
    <w:uiPriority w:val="59"/>
    <w:rsid w:val="00043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
    <w:name w:val="Medium Shading 1"/>
    <w:basedOn w:val="TableNormal"/>
    <w:uiPriority w:val="63"/>
    <w:rsid w:val="00043B3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Grid1-Accent5">
    <w:name w:val="Medium Grid 1 Accent 5"/>
    <w:basedOn w:val="TableNormal"/>
    <w:uiPriority w:val="67"/>
    <w:rsid w:val="00FE459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arkList-Accent3">
    <w:name w:val="Dark List Accent 3"/>
    <w:basedOn w:val="TableNormal"/>
    <w:uiPriority w:val="70"/>
    <w:rsid w:val="009550BA"/>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olorfulShading">
    <w:name w:val="Colorful Shading"/>
    <w:basedOn w:val="TableNormal"/>
    <w:uiPriority w:val="71"/>
    <w:rsid w:val="009550BA"/>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Grid-Accent5">
    <w:name w:val="Colorful Grid Accent 5"/>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3">
    <w:name w:val="Colorful Grid Accent 3"/>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6">
    <w:name w:val="Colorful Grid Accent 6"/>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Grid-Accent1">
    <w:name w:val="Colorful Grid Accent 1"/>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
    <w:name w:val="Colorful Grid"/>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2">
    <w:name w:val="Colorful Grid Accent 2"/>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4">
    <w:name w:val="Colorful Grid Accent 4"/>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F7013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character" w:styleId="Strong">
    <w:name w:val="Strong"/>
    <w:basedOn w:val="DefaultParagraphFont"/>
    <w:uiPriority w:val="22"/>
    <w:qFormat/>
    <w:rsid w:val="00E516AC"/>
    <w:rPr>
      <w:b/>
      <w:bCs/>
    </w:rPr>
  </w:style>
  <w:style w:type="table" w:styleId="LightShading-Accent5">
    <w:name w:val="Light Shading Accent 5"/>
    <w:basedOn w:val="TableNormal"/>
    <w:uiPriority w:val="60"/>
    <w:rsid w:val="00B20CFD"/>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Shading2-Accent6">
    <w:name w:val="Medium Shading 2 Accent 6"/>
    <w:basedOn w:val="TableNormal"/>
    <w:uiPriority w:val="64"/>
    <w:rsid w:val="00B20C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1-Accent4">
    <w:name w:val="Medium Grid 1 Accent 4"/>
    <w:basedOn w:val="TableNormal"/>
    <w:uiPriority w:val="67"/>
    <w:rsid w:val="00B20CFD"/>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paragraph" w:styleId="BalloonText">
    <w:name w:val="Balloon Text"/>
    <w:basedOn w:val="Normal"/>
    <w:link w:val="BalloonTextChar"/>
    <w:uiPriority w:val="99"/>
    <w:semiHidden/>
    <w:unhideWhenUsed/>
    <w:rsid w:val="00B20C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0CFD"/>
    <w:rPr>
      <w:rFonts w:ascii="Tahoma" w:hAnsi="Tahoma" w:cs="Tahoma"/>
      <w:sz w:val="16"/>
      <w:szCs w:val="16"/>
    </w:rPr>
  </w:style>
  <w:style w:type="table" w:styleId="MediumShading2-Accent5">
    <w:name w:val="Medium Shading 2 Accent 5"/>
    <w:basedOn w:val="TableNormal"/>
    <w:uiPriority w:val="64"/>
    <w:rsid w:val="007A6F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6">
    <w:name w:val="Light Grid Accent 6"/>
    <w:basedOn w:val="TableNormal"/>
    <w:uiPriority w:val="62"/>
    <w:rsid w:val="00C403EB"/>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List1-Accent6">
    <w:name w:val="Medium List 1 Accent 6"/>
    <w:basedOn w:val="TableNormal"/>
    <w:uiPriority w:val="65"/>
    <w:rsid w:val="00C403EB"/>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Accent6">
    <w:name w:val="Medium List 2 Accent 6"/>
    <w:basedOn w:val="TableNormal"/>
    <w:uiPriority w:val="66"/>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6">
    <w:name w:val="Medium Grid 1 Accent 6"/>
    <w:basedOn w:val="TableNormal"/>
    <w:uiPriority w:val="67"/>
    <w:rsid w:val="00C403E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Accent6">
    <w:name w:val="Medium Grid 2 Accent 6"/>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1">
    <w:name w:val="Medium Grid 1"/>
    <w:basedOn w:val="TableNormal"/>
    <w:uiPriority w:val="67"/>
    <w:rsid w:val="002146E2"/>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styleId="PlaceholderText">
    <w:name w:val="Placeholder Text"/>
    <w:basedOn w:val="DefaultParagraphFont"/>
    <w:uiPriority w:val="99"/>
    <w:semiHidden/>
    <w:rsid w:val="00923D8E"/>
    <w:rPr>
      <w:color w:val="808080"/>
    </w:rPr>
  </w:style>
  <w:style w:type="table" w:styleId="LightShading-Accent2">
    <w:name w:val="Light Shading Accent 2"/>
    <w:basedOn w:val="TableNormal"/>
    <w:uiPriority w:val="60"/>
    <w:rsid w:val="007978EB"/>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0B5BD5"/>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1">
    <w:name w:val="Light Shading Accent 1"/>
    <w:basedOn w:val="TableNormal"/>
    <w:uiPriority w:val="60"/>
    <w:rsid w:val="000B5BD5"/>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2">
    <w:name w:val="Light List Accent 2"/>
    <w:basedOn w:val="TableNormal"/>
    <w:uiPriority w:val="61"/>
    <w:rsid w:val="000B5BD5"/>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Shading">
    <w:name w:val="Light Shading"/>
    <w:basedOn w:val="TableNormal"/>
    <w:uiPriority w:val="60"/>
    <w:rsid w:val="001E31A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1">
    <w:name w:val="Medium List 1"/>
    <w:basedOn w:val="TableNormal"/>
    <w:uiPriority w:val="65"/>
    <w:rsid w:val="009D577E"/>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ghtShading-Accent4">
    <w:name w:val="Light Shading Accent 4"/>
    <w:basedOn w:val="TableNormal"/>
    <w:uiPriority w:val="60"/>
    <w:rsid w:val="00B617A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Grid1-Accent3">
    <w:name w:val="Medium Grid 1 Accent 3"/>
    <w:basedOn w:val="TableNormal"/>
    <w:uiPriority w:val="67"/>
    <w:rsid w:val="00B617A6"/>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LightList-Accent1">
    <w:name w:val="Light List Accent 1"/>
    <w:basedOn w:val="TableNormal"/>
    <w:uiPriority w:val="61"/>
    <w:rsid w:val="0008201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B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B35"/>
    <w:pPr>
      <w:ind w:left="720"/>
      <w:contextualSpacing/>
    </w:pPr>
  </w:style>
  <w:style w:type="table" w:styleId="TableGrid">
    <w:name w:val="Table Grid"/>
    <w:basedOn w:val="TableNormal"/>
    <w:uiPriority w:val="59"/>
    <w:rsid w:val="00043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
    <w:name w:val="Medium Shading 1"/>
    <w:basedOn w:val="TableNormal"/>
    <w:uiPriority w:val="63"/>
    <w:rsid w:val="00043B3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Grid1-Accent5">
    <w:name w:val="Medium Grid 1 Accent 5"/>
    <w:basedOn w:val="TableNormal"/>
    <w:uiPriority w:val="67"/>
    <w:rsid w:val="00FE459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arkList-Accent3">
    <w:name w:val="Dark List Accent 3"/>
    <w:basedOn w:val="TableNormal"/>
    <w:uiPriority w:val="70"/>
    <w:rsid w:val="009550BA"/>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olorfulShading">
    <w:name w:val="Colorful Shading"/>
    <w:basedOn w:val="TableNormal"/>
    <w:uiPriority w:val="71"/>
    <w:rsid w:val="009550BA"/>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Grid-Accent5">
    <w:name w:val="Colorful Grid Accent 5"/>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3">
    <w:name w:val="Colorful Grid Accent 3"/>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6">
    <w:name w:val="Colorful Grid Accent 6"/>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Grid-Accent1">
    <w:name w:val="Colorful Grid Accent 1"/>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
    <w:name w:val="Colorful Grid"/>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2">
    <w:name w:val="Colorful Grid Accent 2"/>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4">
    <w:name w:val="Colorful Grid Accent 4"/>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F7013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character" w:styleId="Strong">
    <w:name w:val="Strong"/>
    <w:basedOn w:val="DefaultParagraphFont"/>
    <w:uiPriority w:val="22"/>
    <w:qFormat/>
    <w:rsid w:val="00E516AC"/>
    <w:rPr>
      <w:b/>
      <w:bCs/>
    </w:rPr>
  </w:style>
  <w:style w:type="table" w:styleId="LightShading-Accent5">
    <w:name w:val="Light Shading Accent 5"/>
    <w:basedOn w:val="TableNormal"/>
    <w:uiPriority w:val="60"/>
    <w:rsid w:val="00B20CFD"/>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Shading2-Accent6">
    <w:name w:val="Medium Shading 2 Accent 6"/>
    <w:basedOn w:val="TableNormal"/>
    <w:uiPriority w:val="64"/>
    <w:rsid w:val="00B20C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1-Accent4">
    <w:name w:val="Medium Grid 1 Accent 4"/>
    <w:basedOn w:val="TableNormal"/>
    <w:uiPriority w:val="67"/>
    <w:rsid w:val="00B20CFD"/>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paragraph" w:styleId="BalloonText">
    <w:name w:val="Balloon Text"/>
    <w:basedOn w:val="Normal"/>
    <w:link w:val="BalloonTextChar"/>
    <w:uiPriority w:val="99"/>
    <w:semiHidden/>
    <w:unhideWhenUsed/>
    <w:rsid w:val="00B20C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0CFD"/>
    <w:rPr>
      <w:rFonts w:ascii="Tahoma" w:hAnsi="Tahoma" w:cs="Tahoma"/>
      <w:sz w:val="16"/>
      <w:szCs w:val="16"/>
    </w:rPr>
  </w:style>
  <w:style w:type="table" w:styleId="MediumShading2-Accent5">
    <w:name w:val="Medium Shading 2 Accent 5"/>
    <w:basedOn w:val="TableNormal"/>
    <w:uiPriority w:val="64"/>
    <w:rsid w:val="007A6F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6">
    <w:name w:val="Light Grid Accent 6"/>
    <w:basedOn w:val="TableNormal"/>
    <w:uiPriority w:val="62"/>
    <w:rsid w:val="00C403EB"/>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List1-Accent6">
    <w:name w:val="Medium List 1 Accent 6"/>
    <w:basedOn w:val="TableNormal"/>
    <w:uiPriority w:val="65"/>
    <w:rsid w:val="00C403EB"/>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Accent6">
    <w:name w:val="Medium List 2 Accent 6"/>
    <w:basedOn w:val="TableNormal"/>
    <w:uiPriority w:val="66"/>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6">
    <w:name w:val="Medium Grid 1 Accent 6"/>
    <w:basedOn w:val="TableNormal"/>
    <w:uiPriority w:val="67"/>
    <w:rsid w:val="00C403E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Accent6">
    <w:name w:val="Medium Grid 2 Accent 6"/>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1">
    <w:name w:val="Medium Grid 1"/>
    <w:basedOn w:val="TableNormal"/>
    <w:uiPriority w:val="67"/>
    <w:rsid w:val="002146E2"/>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styleId="PlaceholderText">
    <w:name w:val="Placeholder Text"/>
    <w:basedOn w:val="DefaultParagraphFont"/>
    <w:uiPriority w:val="99"/>
    <w:semiHidden/>
    <w:rsid w:val="00923D8E"/>
    <w:rPr>
      <w:color w:val="808080"/>
    </w:rPr>
  </w:style>
  <w:style w:type="table" w:styleId="LightShading-Accent2">
    <w:name w:val="Light Shading Accent 2"/>
    <w:basedOn w:val="TableNormal"/>
    <w:uiPriority w:val="60"/>
    <w:rsid w:val="007978EB"/>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0B5BD5"/>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1">
    <w:name w:val="Light Shading Accent 1"/>
    <w:basedOn w:val="TableNormal"/>
    <w:uiPriority w:val="60"/>
    <w:rsid w:val="000B5BD5"/>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2">
    <w:name w:val="Light List Accent 2"/>
    <w:basedOn w:val="TableNormal"/>
    <w:uiPriority w:val="61"/>
    <w:rsid w:val="000B5BD5"/>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Shading">
    <w:name w:val="Light Shading"/>
    <w:basedOn w:val="TableNormal"/>
    <w:uiPriority w:val="60"/>
    <w:rsid w:val="001E31A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1">
    <w:name w:val="Medium List 1"/>
    <w:basedOn w:val="TableNormal"/>
    <w:uiPriority w:val="65"/>
    <w:rsid w:val="009D577E"/>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ghtShading-Accent4">
    <w:name w:val="Light Shading Accent 4"/>
    <w:basedOn w:val="TableNormal"/>
    <w:uiPriority w:val="60"/>
    <w:rsid w:val="00B617A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Grid1-Accent3">
    <w:name w:val="Medium Grid 1 Accent 3"/>
    <w:basedOn w:val="TableNormal"/>
    <w:uiPriority w:val="67"/>
    <w:rsid w:val="00B617A6"/>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LightList-Accent1">
    <w:name w:val="Light List Accent 1"/>
    <w:basedOn w:val="TableNormal"/>
    <w:uiPriority w:val="61"/>
    <w:rsid w:val="0008201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diagramLayout" Target="diagrams/layout3.xml"/><Relationship Id="rId3" Type="http://schemas.openxmlformats.org/officeDocument/2006/relationships/styles" Target="styles.xml"/><Relationship Id="rId21" Type="http://schemas.microsoft.com/office/2007/relationships/diagramDrawing" Target="diagrams/drawing3.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diagramData" Target="diagrams/data3.xml"/><Relationship Id="rId25" Type="http://schemas.openxmlformats.org/officeDocument/2006/relationships/theme" Target="theme/theme1.xml"/><Relationship Id="rId2" Type="http://schemas.openxmlformats.org/officeDocument/2006/relationships/numbering" Target="numbering.xml"/><Relationship Id="rId16" Type="http://schemas.microsoft.com/office/2007/relationships/diagramDrawing" Target="diagrams/drawing2.xml"/><Relationship Id="rId20" Type="http://schemas.openxmlformats.org/officeDocument/2006/relationships/diagramColors" Target="diagrams/colors3.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diagramDrawing" Target="diagrams/drawing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diagramColors" Target="diagrams/colors2.xml"/><Relationship Id="rId23" Type="http://schemas.openxmlformats.org/officeDocument/2006/relationships/chart" Target="charts/chart2.xml"/><Relationship Id="rId10" Type="http://schemas.openxmlformats.org/officeDocument/2006/relationships/diagramColors" Target="diagrams/colors1.xml"/><Relationship Id="rId19" Type="http://schemas.openxmlformats.org/officeDocument/2006/relationships/diagramQuickStyle" Target="diagrams/quickStyle3.xml"/><Relationship Id="rId4" Type="http://schemas.microsoft.com/office/2007/relationships/stylesWithEffects" Target="stylesWithEffect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Series 1</c:v>
                </c:pt>
              </c:strCache>
            </c:strRef>
          </c:tx>
          <c:cat>
            <c:numRef>
              <c:f>Sheet1!$A$2:$A$7</c:f>
              <c:numCache>
                <c:formatCode>0%</c:formatCode>
                <c:ptCount val="6"/>
                <c:pt idx="0">
                  <c:v>0</c:v>
                </c:pt>
                <c:pt idx="1">
                  <c:v>0.1</c:v>
                </c:pt>
                <c:pt idx="2">
                  <c:v>0.2</c:v>
                </c:pt>
                <c:pt idx="3">
                  <c:v>0.3</c:v>
                </c:pt>
                <c:pt idx="4">
                  <c:v>0.4</c:v>
                </c:pt>
                <c:pt idx="5">
                  <c:v>0.5</c:v>
                </c:pt>
              </c:numCache>
            </c:numRef>
          </c:cat>
          <c:val>
            <c:numRef>
              <c:f>Sheet1!$B$2:$B$7</c:f>
              <c:numCache>
                <c:formatCode>"$"#,##0.00_);[Red]\("$"#,##0.00\)</c:formatCode>
                <c:ptCount val="6"/>
                <c:pt idx="0">
                  <c:v>-5</c:v>
                </c:pt>
                <c:pt idx="1">
                  <c:v>-1.74</c:v>
                </c:pt>
                <c:pt idx="2">
                  <c:v>-0.28000000000000003</c:v>
                </c:pt>
                <c:pt idx="3">
                  <c:v>0.06</c:v>
                </c:pt>
                <c:pt idx="4">
                  <c:v>0.31</c:v>
                </c:pt>
                <c:pt idx="5" formatCode="General">
                  <c:v>-1</c:v>
                </c:pt>
              </c:numCache>
            </c:numRef>
          </c:val>
          <c:smooth val="0"/>
        </c:ser>
        <c:dLbls>
          <c:showLegendKey val="0"/>
          <c:showVal val="0"/>
          <c:showCatName val="0"/>
          <c:showSerName val="0"/>
          <c:showPercent val="0"/>
          <c:showBubbleSize val="0"/>
        </c:dLbls>
        <c:marker val="1"/>
        <c:smooth val="0"/>
        <c:axId val="151510528"/>
        <c:axId val="62588608"/>
      </c:lineChart>
      <c:catAx>
        <c:axId val="151510528"/>
        <c:scaling>
          <c:orientation val="minMax"/>
        </c:scaling>
        <c:delete val="0"/>
        <c:axPos val="b"/>
        <c:numFmt formatCode="0%" sourceLinked="1"/>
        <c:majorTickMark val="out"/>
        <c:minorTickMark val="none"/>
        <c:tickLblPos val="nextTo"/>
        <c:crossAx val="62588608"/>
        <c:crosses val="autoZero"/>
        <c:auto val="1"/>
        <c:lblAlgn val="ctr"/>
        <c:lblOffset val="100"/>
        <c:noMultiLvlLbl val="0"/>
      </c:catAx>
      <c:valAx>
        <c:axId val="62588608"/>
        <c:scaling>
          <c:orientation val="minMax"/>
        </c:scaling>
        <c:delete val="0"/>
        <c:axPos val="l"/>
        <c:majorGridlines/>
        <c:numFmt formatCode="&quot;$&quot;#,##0.00_);[Red]\(&quot;$&quot;#,##0.00\)" sourceLinked="1"/>
        <c:majorTickMark val="out"/>
        <c:minorTickMark val="none"/>
        <c:tickLblPos val="nextTo"/>
        <c:crossAx val="151510528"/>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Sheet1!$B$1</c:f>
              <c:strCache>
                <c:ptCount val="1"/>
                <c:pt idx="0">
                  <c:v>Project A</c:v>
                </c:pt>
              </c:strCache>
            </c:strRef>
          </c:tx>
          <c:spPr>
            <a:ln w="15875"/>
          </c:spPr>
          <c:cat>
            <c:numRef>
              <c:f>Sheet1!$A$2:$A$7</c:f>
              <c:numCache>
                <c:formatCode>0%</c:formatCode>
                <c:ptCount val="6"/>
                <c:pt idx="0">
                  <c:v>0</c:v>
                </c:pt>
                <c:pt idx="1">
                  <c:v>0.05</c:v>
                </c:pt>
                <c:pt idx="2">
                  <c:v>0.1</c:v>
                </c:pt>
                <c:pt idx="3">
                  <c:v>0.15</c:v>
                </c:pt>
                <c:pt idx="4">
                  <c:v>0.2</c:v>
                </c:pt>
                <c:pt idx="5">
                  <c:v>0.25</c:v>
                </c:pt>
              </c:numCache>
            </c:numRef>
          </c:cat>
          <c:val>
            <c:numRef>
              <c:f>Sheet1!$B$2:$B$7</c:f>
              <c:numCache>
                <c:formatCode>"$"#,##0.00_);[Red]\("$"#,##0.00\)</c:formatCode>
                <c:ptCount val="6"/>
                <c:pt idx="0">
                  <c:v>60</c:v>
                </c:pt>
                <c:pt idx="1">
                  <c:v>43.13</c:v>
                </c:pt>
                <c:pt idx="2">
                  <c:v>29.06</c:v>
                </c:pt>
                <c:pt idx="3">
                  <c:v>17.18</c:v>
                </c:pt>
                <c:pt idx="4">
                  <c:v>7.06</c:v>
                </c:pt>
                <c:pt idx="5">
                  <c:v>-1.63</c:v>
                </c:pt>
              </c:numCache>
            </c:numRef>
          </c:val>
          <c:smooth val="0"/>
        </c:ser>
        <c:ser>
          <c:idx val="1"/>
          <c:order val="1"/>
          <c:tx>
            <c:strRef>
              <c:f>Sheet1!$C$1</c:f>
              <c:strCache>
                <c:ptCount val="1"/>
                <c:pt idx="0">
                  <c:v>Project B</c:v>
                </c:pt>
              </c:strCache>
            </c:strRef>
          </c:tx>
          <c:spPr>
            <a:ln w="15875">
              <a:solidFill>
                <a:schemeClr val="accent2"/>
              </a:solidFill>
            </a:ln>
          </c:spPr>
          <c:cat>
            <c:numRef>
              <c:f>Sheet1!$A$2:$A$7</c:f>
              <c:numCache>
                <c:formatCode>0%</c:formatCode>
                <c:ptCount val="6"/>
                <c:pt idx="0">
                  <c:v>0</c:v>
                </c:pt>
                <c:pt idx="1">
                  <c:v>0.05</c:v>
                </c:pt>
                <c:pt idx="2">
                  <c:v>0.1</c:v>
                </c:pt>
                <c:pt idx="3">
                  <c:v>0.15</c:v>
                </c:pt>
                <c:pt idx="4">
                  <c:v>0.2</c:v>
                </c:pt>
                <c:pt idx="5">
                  <c:v>0.25</c:v>
                </c:pt>
              </c:numCache>
            </c:numRef>
          </c:cat>
          <c:val>
            <c:numRef>
              <c:f>Sheet1!$C$2:$C$7</c:f>
              <c:numCache>
                <c:formatCode>"$"#,##0.00_);[Red]\("$"#,##0.00\)</c:formatCode>
                <c:ptCount val="6"/>
                <c:pt idx="0">
                  <c:v>70</c:v>
                </c:pt>
                <c:pt idx="1">
                  <c:v>47.88</c:v>
                </c:pt>
                <c:pt idx="2">
                  <c:v>29.79</c:v>
                </c:pt>
                <c:pt idx="3">
                  <c:v>14.82</c:v>
                </c:pt>
                <c:pt idx="4">
                  <c:v>2.31</c:v>
                </c:pt>
                <c:pt idx="5">
                  <c:v>-8.2200000000000006</c:v>
                </c:pt>
              </c:numCache>
            </c:numRef>
          </c:val>
          <c:smooth val="0"/>
        </c:ser>
        <c:dLbls>
          <c:showLegendKey val="0"/>
          <c:showVal val="0"/>
          <c:showCatName val="0"/>
          <c:showSerName val="0"/>
          <c:showPercent val="0"/>
          <c:showBubbleSize val="0"/>
        </c:dLbls>
        <c:marker val="1"/>
        <c:smooth val="0"/>
        <c:axId val="167781376"/>
        <c:axId val="40209216"/>
      </c:lineChart>
      <c:catAx>
        <c:axId val="167781376"/>
        <c:scaling>
          <c:orientation val="minMax"/>
        </c:scaling>
        <c:delete val="0"/>
        <c:axPos val="b"/>
        <c:numFmt formatCode="0%" sourceLinked="1"/>
        <c:majorTickMark val="out"/>
        <c:minorTickMark val="none"/>
        <c:tickLblPos val="nextTo"/>
        <c:crossAx val="40209216"/>
        <c:crosses val="autoZero"/>
        <c:auto val="1"/>
        <c:lblAlgn val="ctr"/>
        <c:lblOffset val="100"/>
        <c:noMultiLvlLbl val="0"/>
      </c:catAx>
      <c:valAx>
        <c:axId val="40209216"/>
        <c:scaling>
          <c:orientation val="minMax"/>
        </c:scaling>
        <c:delete val="0"/>
        <c:axPos val="l"/>
        <c:majorGridlines/>
        <c:numFmt formatCode="&quot;$&quot;#,##0.00_);[Red]\(&quot;$&quot;#,##0.00\)" sourceLinked="1"/>
        <c:majorTickMark val="out"/>
        <c:minorTickMark val="none"/>
        <c:tickLblPos val="nextTo"/>
        <c:crossAx val="167781376"/>
        <c:crosses val="autoZero"/>
        <c:crossBetween val="between"/>
      </c:valAx>
    </c:plotArea>
    <c:legend>
      <c:legendPos val="r"/>
      <c:overlay val="0"/>
      <c:spPr>
        <a:ln>
          <a:solidFill>
            <a:schemeClr val="accent1"/>
          </a:solidFill>
        </a:ln>
      </c:spPr>
    </c:legend>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7FFB70F-B234-4557-8A71-51320B78547A}" type="doc">
      <dgm:prSet loTypeId="urn:microsoft.com/office/officeart/2005/8/layout/hProcess11" loCatId="process" qsTypeId="urn:microsoft.com/office/officeart/2005/8/quickstyle/simple1" qsCatId="simple" csTypeId="urn:microsoft.com/office/officeart/2005/8/colors/accent1_2" csCatId="accent1" phldr="1"/>
      <dgm:spPr/>
    </dgm:pt>
    <dgm:pt modelId="{7BA871B3-7746-47F3-A5C5-27D2D79325A3}">
      <dgm:prSet phldrT="[Text]"/>
      <dgm:spPr/>
      <dgm:t>
        <a:bodyPr/>
        <a:lstStyle/>
        <a:p>
          <a:pPr algn="ctr"/>
          <a:r>
            <a:rPr lang="en-US"/>
            <a:t>Year 0 (-$50,000)</a:t>
          </a:r>
        </a:p>
      </dgm:t>
    </dgm:pt>
    <dgm:pt modelId="{87E4E2C6-1118-4858-833E-58D1C18CDE37}" type="parTrans" cxnId="{CE0179B5-5095-4EEE-AABD-2E2BDAF89E39}">
      <dgm:prSet/>
      <dgm:spPr/>
      <dgm:t>
        <a:bodyPr/>
        <a:lstStyle/>
        <a:p>
          <a:pPr algn="ctr"/>
          <a:endParaRPr lang="en-US"/>
        </a:p>
      </dgm:t>
    </dgm:pt>
    <dgm:pt modelId="{487D44B4-D006-4C08-A913-72122D6183F1}" type="sibTrans" cxnId="{CE0179B5-5095-4EEE-AABD-2E2BDAF89E39}">
      <dgm:prSet/>
      <dgm:spPr/>
      <dgm:t>
        <a:bodyPr/>
        <a:lstStyle/>
        <a:p>
          <a:pPr algn="ctr"/>
          <a:endParaRPr lang="en-US"/>
        </a:p>
      </dgm:t>
    </dgm:pt>
    <dgm:pt modelId="{BD39AE1E-F238-4A01-BC94-3678E528C8E2}">
      <dgm:prSet phldrT="[Text]"/>
      <dgm:spPr/>
      <dgm:t>
        <a:bodyPr/>
        <a:lstStyle/>
        <a:p>
          <a:pPr algn="ctr"/>
          <a:r>
            <a:rPr lang="en-US"/>
            <a:t>Year 3 ($10,000)</a:t>
          </a:r>
        </a:p>
      </dgm:t>
    </dgm:pt>
    <dgm:pt modelId="{DF75271B-81FB-4E5A-9AF6-0534A8407925}" type="parTrans" cxnId="{58D2C0D0-BD13-4669-A537-7BF5B3B6E92F}">
      <dgm:prSet/>
      <dgm:spPr/>
      <dgm:t>
        <a:bodyPr/>
        <a:lstStyle/>
        <a:p>
          <a:pPr algn="ctr"/>
          <a:endParaRPr lang="en-US"/>
        </a:p>
      </dgm:t>
    </dgm:pt>
    <dgm:pt modelId="{6E46C21A-D745-46E2-8C5C-7EE8203AEB72}" type="sibTrans" cxnId="{58D2C0D0-BD13-4669-A537-7BF5B3B6E92F}">
      <dgm:prSet/>
      <dgm:spPr/>
      <dgm:t>
        <a:bodyPr/>
        <a:lstStyle/>
        <a:p>
          <a:pPr algn="ctr"/>
          <a:endParaRPr lang="en-US"/>
        </a:p>
      </dgm:t>
    </dgm:pt>
    <dgm:pt modelId="{4D4A1EF6-82D4-4A64-87A7-80FBF11F7DDF}">
      <dgm:prSet phldrT="[Text]"/>
      <dgm:spPr/>
      <dgm:t>
        <a:bodyPr/>
        <a:lstStyle/>
        <a:p>
          <a:pPr algn="ctr"/>
          <a:r>
            <a:rPr lang="en-US"/>
            <a:t>Year 2 ($20,000)</a:t>
          </a:r>
        </a:p>
      </dgm:t>
    </dgm:pt>
    <dgm:pt modelId="{58C5BF4C-8999-4631-8EFE-2C25FCB0B9F8}" type="parTrans" cxnId="{0D2A2F7F-376F-471B-8FE6-1471C486BAFD}">
      <dgm:prSet/>
      <dgm:spPr/>
      <dgm:t>
        <a:bodyPr/>
        <a:lstStyle/>
        <a:p>
          <a:pPr algn="ctr"/>
          <a:endParaRPr lang="en-US"/>
        </a:p>
      </dgm:t>
    </dgm:pt>
    <dgm:pt modelId="{5CC03DB4-7938-4A7C-BAA1-8B75052F7D55}" type="sibTrans" cxnId="{0D2A2F7F-376F-471B-8FE6-1471C486BAFD}">
      <dgm:prSet/>
      <dgm:spPr/>
      <dgm:t>
        <a:bodyPr/>
        <a:lstStyle/>
        <a:p>
          <a:pPr algn="ctr"/>
          <a:endParaRPr lang="en-US"/>
        </a:p>
      </dgm:t>
    </dgm:pt>
    <dgm:pt modelId="{17848BC7-754C-4A56-A482-E48864503B48}">
      <dgm:prSet phldrT="[Text]"/>
      <dgm:spPr/>
      <dgm:t>
        <a:bodyPr/>
        <a:lstStyle/>
        <a:p>
          <a:pPr algn="ctr"/>
          <a:r>
            <a:rPr lang="en-US"/>
            <a:t>Year 1 ($30,000)</a:t>
          </a:r>
        </a:p>
      </dgm:t>
    </dgm:pt>
    <dgm:pt modelId="{506B1153-C7D3-432E-89B5-DABE676CC666}" type="parTrans" cxnId="{39878E6B-1A7C-45B6-BA72-596F729425F4}">
      <dgm:prSet/>
      <dgm:spPr/>
      <dgm:t>
        <a:bodyPr/>
        <a:lstStyle/>
        <a:p>
          <a:pPr algn="ctr"/>
          <a:endParaRPr lang="en-US"/>
        </a:p>
      </dgm:t>
    </dgm:pt>
    <dgm:pt modelId="{180E5E1A-9C50-45C9-A8CE-D796823102FB}" type="sibTrans" cxnId="{39878E6B-1A7C-45B6-BA72-596F729425F4}">
      <dgm:prSet/>
      <dgm:spPr/>
      <dgm:t>
        <a:bodyPr/>
        <a:lstStyle/>
        <a:p>
          <a:pPr algn="ctr"/>
          <a:endParaRPr lang="en-US"/>
        </a:p>
      </dgm:t>
    </dgm:pt>
    <dgm:pt modelId="{B38FF872-9471-47A7-B997-52DCF76994D7}">
      <dgm:prSet phldrT="[Text]"/>
      <dgm:spPr/>
      <dgm:t>
        <a:bodyPr/>
        <a:lstStyle/>
        <a:p>
          <a:pPr algn="ctr"/>
          <a:r>
            <a:rPr lang="en-US"/>
            <a:t>Year 4 ($5,000)</a:t>
          </a:r>
        </a:p>
      </dgm:t>
    </dgm:pt>
    <dgm:pt modelId="{8C8AAE91-9FF0-4DCF-B45A-48E38DD0A30D}" type="parTrans" cxnId="{C15E1448-26E9-42F2-A018-06434EEDEB8F}">
      <dgm:prSet/>
      <dgm:spPr/>
      <dgm:t>
        <a:bodyPr/>
        <a:lstStyle/>
        <a:p>
          <a:pPr algn="ctr"/>
          <a:endParaRPr lang="en-US"/>
        </a:p>
      </dgm:t>
    </dgm:pt>
    <dgm:pt modelId="{923B06BB-493A-420B-B251-7445631F5E3A}" type="sibTrans" cxnId="{C15E1448-26E9-42F2-A018-06434EEDEB8F}">
      <dgm:prSet/>
      <dgm:spPr/>
      <dgm:t>
        <a:bodyPr/>
        <a:lstStyle/>
        <a:p>
          <a:pPr algn="ctr"/>
          <a:endParaRPr lang="en-US"/>
        </a:p>
      </dgm:t>
    </dgm:pt>
    <dgm:pt modelId="{E1CFCEBC-1E6A-4B77-8828-473ADEA38746}" type="pres">
      <dgm:prSet presAssocID="{27FFB70F-B234-4557-8A71-51320B78547A}" presName="Name0" presStyleCnt="0">
        <dgm:presLayoutVars>
          <dgm:dir/>
          <dgm:resizeHandles val="exact"/>
        </dgm:presLayoutVars>
      </dgm:prSet>
      <dgm:spPr/>
    </dgm:pt>
    <dgm:pt modelId="{91510DAB-B888-433A-8A6B-17D9767B008E}" type="pres">
      <dgm:prSet presAssocID="{27FFB70F-B234-4557-8A71-51320B78547A}" presName="arrow" presStyleLbl="bgShp" presStyleIdx="0" presStyleCnt="1"/>
      <dgm:spPr/>
    </dgm:pt>
    <dgm:pt modelId="{87ADBACC-1AA6-4606-94A6-FEDBBBFD760A}" type="pres">
      <dgm:prSet presAssocID="{27FFB70F-B234-4557-8A71-51320B78547A}" presName="points" presStyleCnt="0"/>
      <dgm:spPr/>
    </dgm:pt>
    <dgm:pt modelId="{A8BBBF7F-BBE6-48FE-924E-680E742E3E1C}" type="pres">
      <dgm:prSet presAssocID="{7BA871B3-7746-47F3-A5C5-27D2D79325A3}" presName="compositeA" presStyleCnt="0"/>
      <dgm:spPr/>
    </dgm:pt>
    <dgm:pt modelId="{58FCF214-545A-4620-88DE-F38E2C4BE74B}" type="pres">
      <dgm:prSet presAssocID="{7BA871B3-7746-47F3-A5C5-27D2D79325A3}" presName="textA" presStyleLbl="revTx" presStyleIdx="0" presStyleCnt="5">
        <dgm:presLayoutVars>
          <dgm:bulletEnabled val="1"/>
        </dgm:presLayoutVars>
      </dgm:prSet>
      <dgm:spPr/>
      <dgm:t>
        <a:bodyPr/>
        <a:lstStyle/>
        <a:p>
          <a:endParaRPr lang="en-US"/>
        </a:p>
      </dgm:t>
    </dgm:pt>
    <dgm:pt modelId="{21FC9B58-C9A0-4FD1-950E-BD052ED16C1A}" type="pres">
      <dgm:prSet presAssocID="{7BA871B3-7746-47F3-A5C5-27D2D79325A3}" presName="circleA" presStyleLbl="node1" presStyleIdx="0" presStyleCnt="5"/>
      <dgm:spPr/>
    </dgm:pt>
    <dgm:pt modelId="{DCEBB6F0-18CE-49C3-BB58-1E1946C79A7D}" type="pres">
      <dgm:prSet presAssocID="{7BA871B3-7746-47F3-A5C5-27D2D79325A3}" presName="spaceA" presStyleCnt="0"/>
      <dgm:spPr/>
    </dgm:pt>
    <dgm:pt modelId="{07FB7DD1-7B1C-4D7E-98F9-8C0FD65D0200}" type="pres">
      <dgm:prSet presAssocID="{487D44B4-D006-4C08-A913-72122D6183F1}" presName="space" presStyleCnt="0"/>
      <dgm:spPr/>
    </dgm:pt>
    <dgm:pt modelId="{B4B9B36E-44E0-4B55-9B14-EE2FB855D3AE}" type="pres">
      <dgm:prSet presAssocID="{17848BC7-754C-4A56-A482-E48864503B48}" presName="compositeB" presStyleCnt="0"/>
      <dgm:spPr/>
    </dgm:pt>
    <dgm:pt modelId="{A26ABD85-56EF-4B36-AF5C-87E28E35BC9D}" type="pres">
      <dgm:prSet presAssocID="{17848BC7-754C-4A56-A482-E48864503B48}" presName="textB" presStyleLbl="revTx" presStyleIdx="1" presStyleCnt="5">
        <dgm:presLayoutVars>
          <dgm:bulletEnabled val="1"/>
        </dgm:presLayoutVars>
      </dgm:prSet>
      <dgm:spPr/>
      <dgm:t>
        <a:bodyPr/>
        <a:lstStyle/>
        <a:p>
          <a:endParaRPr lang="en-US"/>
        </a:p>
      </dgm:t>
    </dgm:pt>
    <dgm:pt modelId="{A78B0F33-71F0-4AFD-A6C4-F3657FF1332C}" type="pres">
      <dgm:prSet presAssocID="{17848BC7-754C-4A56-A482-E48864503B48}" presName="circleB" presStyleLbl="node1" presStyleIdx="1" presStyleCnt="5"/>
      <dgm:spPr/>
    </dgm:pt>
    <dgm:pt modelId="{4E8B4528-C8E3-4240-8607-33BB0F23F189}" type="pres">
      <dgm:prSet presAssocID="{17848BC7-754C-4A56-A482-E48864503B48}" presName="spaceB" presStyleCnt="0"/>
      <dgm:spPr/>
    </dgm:pt>
    <dgm:pt modelId="{C610657D-3AFF-4960-93EB-6C8A0F498F00}" type="pres">
      <dgm:prSet presAssocID="{180E5E1A-9C50-45C9-A8CE-D796823102FB}" presName="space" presStyleCnt="0"/>
      <dgm:spPr/>
    </dgm:pt>
    <dgm:pt modelId="{F2251F81-E881-4187-8EB7-DE0D8875EC99}" type="pres">
      <dgm:prSet presAssocID="{4D4A1EF6-82D4-4A64-87A7-80FBF11F7DDF}" presName="compositeA" presStyleCnt="0"/>
      <dgm:spPr/>
    </dgm:pt>
    <dgm:pt modelId="{DFD75653-6E15-4DDC-93A6-0A500126C741}" type="pres">
      <dgm:prSet presAssocID="{4D4A1EF6-82D4-4A64-87A7-80FBF11F7DDF}" presName="textA" presStyleLbl="revTx" presStyleIdx="2" presStyleCnt="5">
        <dgm:presLayoutVars>
          <dgm:bulletEnabled val="1"/>
        </dgm:presLayoutVars>
      </dgm:prSet>
      <dgm:spPr/>
      <dgm:t>
        <a:bodyPr/>
        <a:lstStyle/>
        <a:p>
          <a:endParaRPr lang="en-US"/>
        </a:p>
      </dgm:t>
    </dgm:pt>
    <dgm:pt modelId="{0CC988F2-B0D4-4242-8AF2-95008671B8B0}" type="pres">
      <dgm:prSet presAssocID="{4D4A1EF6-82D4-4A64-87A7-80FBF11F7DDF}" presName="circleA" presStyleLbl="node1" presStyleIdx="2" presStyleCnt="5"/>
      <dgm:spPr/>
    </dgm:pt>
    <dgm:pt modelId="{E562C51C-6B35-4CF7-949F-F5BE47626FA2}" type="pres">
      <dgm:prSet presAssocID="{4D4A1EF6-82D4-4A64-87A7-80FBF11F7DDF}" presName="spaceA" presStyleCnt="0"/>
      <dgm:spPr/>
    </dgm:pt>
    <dgm:pt modelId="{70A76C67-72B5-4A41-BDA1-09D4214A9311}" type="pres">
      <dgm:prSet presAssocID="{5CC03DB4-7938-4A7C-BAA1-8B75052F7D55}" presName="space" presStyleCnt="0"/>
      <dgm:spPr/>
    </dgm:pt>
    <dgm:pt modelId="{A64676F8-628F-4320-823C-9ACEDAFE9EE8}" type="pres">
      <dgm:prSet presAssocID="{BD39AE1E-F238-4A01-BC94-3678E528C8E2}" presName="compositeB" presStyleCnt="0"/>
      <dgm:spPr/>
    </dgm:pt>
    <dgm:pt modelId="{ED0EBA72-725E-4D7C-88E1-9E1962C63311}" type="pres">
      <dgm:prSet presAssocID="{BD39AE1E-F238-4A01-BC94-3678E528C8E2}" presName="textB" presStyleLbl="revTx" presStyleIdx="3" presStyleCnt="5">
        <dgm:presLayoutVars>
          <dgm:bulletEnabled val="1"/>
        </dgm:presLayoutVars>
      </dgm:prSet>
      <dgm:spPr/>
      <dgm:t>
        <a:bodyPr/>
        <a:lstStyle/>
        <a:p>
          <a:endParaRPr lang="en-US"/>
        </a:p>
      </dgm:t>
    </dgm:pt>
    <dgm:pt modelId="{DBA51115-0B5C-41B5-81F4-0C9B975E077F}" type="pres">
      <dgm:prSet presAssocID="{BD39AE1E-F238-4A01-BC94-3678E528C8E2}" presName="circleB" presStyleLbl="node1" presStyleIdx="3" presStyleCnt="5"/>
      <dgm:spPr/>
    </dgm:pt>
    <dgm:pt modelId="{FD7A5570-84EE-4832-84D6-DBF6DAFCB559}" type="pres">
      <dgm:prSet presAssocID="{BD39AE1E-F238-4A01-BC94-3678E528C8E2}" presName="spaceB" presStyleCnt="0"/>
      <dgm:spPr/>
    </dgm:pt>
    <dgm:pt modelId="{1F554966-28F8-40AD-A6EC-03DFBF5257DB}" type="pres">
      <dgm:prSet presAssocID="{6E46C21A-D745-46E2-8C5C-7EE8203AEB72}" presName="space" presStyleCnt="0"/>
      <dgm:spPr/>
    </dgm:pt>
    <dgm:pt modelId="{DF6478D4-54F7-41C5-902A-B4C279A4CBFA}" type="pres">
      <dgm:prSet presAssocID="{B38FF872-9471-47A7-B997-52DCF76994D7}" presName="compositeA" presStyleCnt="0"/>
      <dgm:spPr/>
    </dgm:pt>
    <dgm:pt modelId="{98BA0BC2-9693-4E28-9E4B-094F7AA61E9F}" type="pres">
      <dgm:prSet presAssocID="{B38FF872-9471-47A7-B997-52DCF76994D7}" presName="textA" presStyleLbl="revTx" presStyleIdx="4" presStyleCnt="5">
        <dgm:presLayoutVars>
          <dgm:bulletEnabled val="1"/>
        </dgm:presLayoutVars>
      </dgm:prSet>
      <dgm:spPr/>
      <dgm:t>
        <a:bodyPr/>
        <a:lstStyle/>
        <a:p>
          <a:endParaRPr lang="en-US"/>
        </a:p>
      </dgm:t>
    </dgm:pt>
    <dgm:pt modelId="{F7F2FDC6-4D8A-48BE-A95D-1875FC45B2A7}" type="pres">
      <dgm:prSet presAssocID="{B38FF872-9471-47A7-B997-52DCF76994D7}" presName="circleA" presStyleLbl="node1" presStyleIdx="4" presStyleCnt="5"/>
      <dgm:spPr/>
    </dgm:pt>
    <dgm:pt modelId="{ABF0AFD7-5F6B-498D-82BA-0EB338A3CB6C}" type="pres">
      <dgm:prSet presAssocID="{B38FF872-9471-47A7-B997-52DCF76994D7}" presName="spaceA" presStyleCnt="0"/>
      <dgm:spPr/>
    </dgm:pt>
  </dgm:ptLst>
  <dgm:cxnLst>
    <dgm:cxn modelId="{58D2C0D0-BD13-4669-A537-7BF5B3B6E92F}" srcId="{27FFB70F-B234-4557-8A71-51320B78547A}" destId="{BD39AE1E-F238-4A01-BC94-3678E528C8E2}" srcOrd="3" destOrd="0" parTransId="{DF75271B-81FB-4E5A-9AF6-0534A8407925}" sibTransId="{6E46C21A-D745-46E2-8C5C-7EE8203AEB72}"/>
    <dgm:cxn modelId="{DEEA0800-C0B5-4518-888E-D97C24EF6819}" type="presOf" srcId="{17848BC7-754C-4A56-A482-E48864503B48}" destId="{A26ABD85-56EF-4B36-AF5C-87E28E35BC9D}" srcOrd="0" destOrd="0" presId="urn:microsoft.com/office/officeart/2005/8/layout/hProcess11"/>
    <dgm:cxn modelId="{746BFF71-9CDD-49E9-A52E-CD4B6BBD887A}" type="presOf" srcId="{4D4A1EF6-82D4-4A64-87A7-80FBF11F7DDF}" destId="{DFD75653-6E15-4DDC-93A6-0A500126C741}" srcOrd="0" destOrd="0" presId="urn:microsoft.com/office/officeart/2005/8/layout/hProcess11"/>
    <dgm:cxn modelId="{0D2A2F7F-376F-471B-8FE6-1471C486BAFD}" srcId="{27FFB70F-B234-4557-8A71-51320B78547A}" destId="{4D4A1EF6-82D4-4A64-87A7-80FBF11F7DDF}" srcOrd="2" destOrd="0" parTransId="{58C5BF4C-8999-4631-8EFE-2C25FCB0B9F8}" sibTransId="{5CC03DB4-7938-4A7C-BAA1-8B75052F7D55}"/>
    <dgm:cxn modelId="{CE0179B5-5095-4EEE-AABD-2E2BDAF89E39}" srcId="{27FFB70F-B234-4557-8A71-51320B78547A}" destId="{7BA871B3-7746-47F3-A5C5-27D2D79325A3}" srcOrd="0" destOrd="0" parTransId="{87E4E2C6-1118-4858-833E-58D1C18CDE37}" sibTransId="{487D44B4-D006-4C08-A913-72122D6183F1}"/>
    <dgm:cxn modelId="{B4CA1CBB-F2B9-4A92-81DA-F3CE91CD66BB}" type="presOf" srcId="{B38FF872-9471-47A7-B997-52DCF76994D7}" destId="{98BA0BC2-9693-4E28-9E4B-094F7AA61E9F}" srcOrd="0" destOrd="0" presId="urn:microsoft.com/office/officeart/2005/8/layout/hProcess11"/>
    <dgm:cxn modelId="{C15E1448-26E9-42F2-A018-06434EEDEB8F}" srcId="{27FFB70F-B234-4557-8A71-51320B78547A}" destId="{B38FF872-9471-47A7-B997-52DCF76994D7}" srcOrd="4" destOrd="0" parTransId="{8C8AAE91-9FF0-4DCF-B45A-48E38DD0A30D}" sibTransId="{923B06BB-493A-420B-B251-7445631F5E3A}"/>
    <dgm:cxn modelId="{9B06C158-28E4-4BA9-ABFD-112C11FFCAED}" type="presOf" srcId="{7BA871B3-7746-47F3-A5C5-27D2D79325A3}" destId="{58FCF214-545A-4620-88DE-F38E2C4BE74B}" srcOrd="0" destOrd="0" presId="urn:microsoft.com/office/officeart/2005/8/layout/hProcess11"/>
    <dgm:cxn modelId="{146E5D71-2536-43CD-B48C-76BF11862CE3}" type="presOf" srcId="{BD39AE1E-F238-4A01-BC94-3678E528C8E2}" destId="{ED0EBA72-725E-4D7C-88E1-9E1962C63311}" srcOrd="0" destOrd="0" presId="urn:microsoft.com/office/officeart/2005/8/layout/hProcess11"/>
    <dgm:cxn modelId="{39878E6B-1A7C-45B6-BA72-596F729425F4}" srcId="{27FFB70F-B234-4557-8A71-51320B78547A}" destId="{17848BC7-754C-4A56-A482-E48864503B48}" srcOrd="1" destOrd="0" parTransId="{506B1153-C7D3-432E-89B5-DABE676CC666}" sibTransId="{180E5E1A-9C50-45C9-A8CE-D796823102FB}"/>
    <dgm:cxn modelId="{5AFD0995-9B85-4A57-A294-C30EFAB14C14}" type="presOf" srcId="{27FFB70F-B234-4557-8A71-51320B78547A}" destId="{E1CFCEBC-1E6A-4B77-8828-473ADEA38746}" srcOrd="0" destOrd="0" presId="urn:microsoft.com/office/officeart/2005/8/layout/hProcess11"/>
    <dgm:cxn modelId="{7C1CB28C-227D-4B95-85C8-E1C3D89BAFEB}" type="presParOf" srcId="{E1CFCEBC-1E6A-4B77-8828-473ADEA38746}" destId="{91510DAB-B888-433A-8A6B-17D9767B008E}" srcOrd="0" destOrd="0" presId="urn:microsoft.com/office/officeart/2005/8/layout/hProcess11"/>
    <dgm:cxn modelId="{9F9B0FFC-E5F2-41FD-8DB2-44030182EB07}" type="presParOf" srcId="{E1CFCEBC-1E6A-4B77-8828-473ADEA38746}" destId="{87ADBACC-1AA6-4606-94A6-FEDBBBFD760A}" srcOrd="1" destOrd="0" presId="urn:microsoft.com/office/officeart/2005/8/layout/hProcess11"/>
    <dgm:cxn modelId="{44626BB6-D82E-42E6-8202-AB90314CC8DA}" type="presParOf" srcId="{87ADBACC-1AA6-4606-94A6-FEDBBBFD760A}" destId="{A8BBBF7F-BBE6-48FE-924E-680E742E3E1C}" srcOrd="0" destOrd="0" presId="urn:microsoft.com/office/officeart/2005/8/layout/hProcess11"/>
    <dgm:cxn modelId="{26D9E847-FFF8-495E-B670-94985EA26D34}" type="presParOf" srcId="{A8BBBF7F-BBE6-48FE-924E-680E742E3E1C}" destId="{58FCF214-545A-4620-88DE-F38E2C4BE74B}" srcOrd="0" destOrd="0" presId="urn:microsoft.com/office/officeart/2005/8/layout/hProcess11"/>
    <dgm:cxn modelId="{9365B1BD-E6C4-4639-815C-B15ECBEA0C2D}" type="presParOf" srcId="{A8BBBF7F-BBE6-48FE-924E-680E742E3E1C}" destId="{21FC9B58-C9A0-4FD1-950E-BD052ED16C1A}" srcOrd="1" destOrd="0" presId="urn:microsoft.com/office/officeart/2005/8/layout/hProcess11"/>
    <dgm:cxn modelId="{3A183930-C941-44AB-B249-882D884C03D3}" type="presParOf" srcId="{A8BBBF7F-BBE6-48FE-924E-680E742E3E1C}" destId="{DCEBB6F0-18CE-49C3-BB58-1E1946C79A7D}" srcOrd="2" destOrd="0" presId="urn:microsoft.com/office/officeart/2005/8/layout/hProcess11"/>
    <dgm:cxn modelId="{452A9686-CFCD-4610-8759-C8DF23316F5E}" type="presParOf" srcId="{87ADBACC-1AA6-4606-94A6-FEDBBBFD760A}" destId="{07FB7DD1-7B1C-4D7E-98F9-8C0FD65D0200}" srcOrd="1" destOrd="0" presId="urn:microsoft.com/office/officeart/2005/8/layout/hProcess11"/>
    <dgm:cxn modelId="{030F7243-B968-4F84-93B6-C636622CDD0D}" type="presParOf" srcId="{87ADBACC-1AA6-4606-94A6-FEDBBBFD760A}" destId="{B4B9B36E-44E0-4B55-9B14-EE2FB855D3AE}" srcOrd="2" destOrd="0" presId="urn:microsoft.com/office/officeart/2005/8/layout/hProcess11"/>
    <dgm:cxn modelId="{E2E8CDFF-42A0-4249-8D9E-285A06726E6E}" type="presParOf" srcId="{B4B9B36E-44E0-4B55-9B14-EE2FB855D3AE}" destId="{A26ABD85-56EF-4B36-AF5C-87E28E35BC9D}" srcOrd="0" destOrd="0" presId="urn:microsoft.com/office/officeart/2005/8/layout/hProcess11"/>
    <dgm:cxn modelId="{98E0881E-D335-47BA-A2B9-D6BB16D9E5C8}" type="presParOf" srcId="{B4B9B36E-44E0-4B55-9B14-EE2FB855D3AE}" destId="{A78B0F33-71F0-4AFD-A6C4-F3657FF1332C}" srcOrd="1" destOrd="0" presId="urn:microsoft.com/office/officeart/2005/8/layout/hProcess11"/>
    <dgm:cxn modelId="{589AAFDC-43FB-43AB-9857-05D0ADEE5140}" type="presParOf" srcId="{B4B9B36E-44E0-4B55-9B14-EE2FB855D3AE}" destId="{4E8B4528-C8E3-4240-8607-33BB0F23F189}" srcOrd="2" destOrd="0" presId="urn:microsoft.com/office/officeart/2005/8/layout/hProcess11"/>
    <dgm:cxn modelId="{FE2C4E52-C834-45A9-A293-A23E99EB8C93}" type="presParOf" srcId="{87ADBACC-1AA6-4606-94A6-FEDBBBFD760A}" destId="{C610657D-3AFF-4960-93EB-6C8A0F498F00}" srcOrd="3" destOrd="0" presId="urn:microsoft.com/office/officeart/2005/8/layout/hProcess11"/>
    <dgm:cxn modelId="{7A498FAB-CEA5-4EDD-92B3-B8B901099444}" type="presParOf" srcId="{87ADBACC-1AA6-4606-94A6-FEDBBBFD760A}" destId="{F2251F81-E881-4187-8EB7-DE0D8875EC99}" srcOrd="4" destOrd="0" presId="urn:microsoft.com/office/officeart/2005/8/layout/hProcess11"/>
    <dgm:cxn modelId="{728B1D30-6094-4BD2-ADC3-94724DDF6FDF}" type="presParOf" srcId="{F2251F81-E881-4187-8EB7-DE0D8875EC99}" destId="{DFD75653-6E15-4DDC-93A6-0A500126C741}" srcOrd="0" destOrd="0" presId="urn:microsoft.com/office/officeart/2005/8/layout/hProcess11"/>
    <dgm:cxn modelId="{B71F53A5-141E-473E-B4C6-70D2C0FB785C}" type="presParOf" srcId="{F2251F81-E881-4187-8EB7-DE0D8875EC99}" destId="{0CC988F2-B0D4-4242-8AF2-95008671B8B0}" srcOrd="1" destOrd="0" presId="urn:microsoft.com/office/officeart/2005/8/layout/hProcess11"/>
    <dgm:cxn modelId="{404D7580-1F53-44E8-B63B-FB0AE0D63B9E}" type="presParOf" srcId="{F2251F81-E881-4187-8EB7-DE0D8875EC99}" destId="{E562C51C-6B35-4CF7-949F-F5BE47626FA2}" srcOrd="2" destOrd="0" presId="urn:microsoft.com/office/officeart/2005/8/layout/hProcess11"/>
    <dgm:cxn modelId="{E54C8C1D-895C-4F86-AFCD-E68B8CBDF1AC}" type="presParOf" srcId="{87ADBACC-1AA6-4606-94A6-FEDBBBFD760A}" destId="{70A76C67-72B5-4A41-BDA1-09D4214A9311}" srcOrd="5" destOrd="0" presId="urn:microsoft.com/office/officeart/2005/8/layout/hProcess11"/>
    <dgm:cxn modelId="{959B2A7E-738B-4750-9DE0-8DFDBFAE0B0D}" type="presParOf" srcId="{87ADBACC-1AA6-4606-94A6-FEDBBBFD760A}" destId="{A64676F8-628F-4320-823C-9ACEDAFE9EE8}" srcOrd="6" destOrd="0" presId="urn:microsoft.com/office/officeart/2005/8/layout/hProcess11"/>
    <dgm:cxn modelId="{B5B5B3D8-E8C3-4E4B-8C35-A5211E0CFA52}" type="presParOf" srcId="{A64676F8-628F-4320-823C-9ACEDAFE9EE8}" destId="{ED0EBA72-725E-4D7C-88E1-9E1962C63311}" srcOrd="0" destOrd="0" presId="urn:microsoft.com/office/officeart/2005/8/layout/hProcess11"/>
    <dgm:cxn modelId="{0D8F52BC-988F-4AC2-A9BB-318E4CD20EF1}" type="presParOf" srcId="{A64676F8-628F-4320-823C-9ACEDAFE9EE8}" destId="{DBA51115-0B5C-41B5-81F4-0C9B975E077F}" srcOrd="1" destOrd="0" presId="urn:microsoft.com/office/officeart/2005/8/layout/hProcess11"/>
    <dgm:cxn modelId="{D6A5D1F0-4340-40F7-80A2-5CBDED3AF9FB}" type="presParOf" srcId="{A64676F8-628F-4320-823C-9ACEDAFE9EE8}" destId="{FD7A5570-84EE-4832-84D6-DBF6DAFCB559}" srcOrd="2" destOrd="0" presId="urn:microsoft.com/office/officeart/2005/8/layout/hProcess11"/>
    <dgm:cxn modelId="{2460BA52-7267-48CF-81E6-3DD28F6A89D6}" type="presParOf" srcId="{87ADBACC-1AA6-4606-94A6-FEDBBBFD760A}" destId="{1F554966-28F8-40AD-A6EC-03DFBF5257DB}" srcOrd="7" destOrd="0" presId="urn:microsoft.com/office/officeart/2005/8/layout/hProcess11"/>
    <dgm:cxn modelId="{AA8B4811-AA1E-4606-809F-C5CC65E3F5D3}" type="presParOf" srcId="{87ADBACC-1AA6-4606-94A6-FEDBBBFD760A}" destId="{DF6478D4-54F7-41C5-902A-B4C279A4CBFA}" srcOrd="8" destOrd="0" presId="urn:microsoft.com/office/officeart/2005/8/layout/hProcess11"/>
    <dgm:cxn modelId="{F86CF8A9-5402-4160-814F-38414864F48F}" type="presParOf" srcId="{DF6478D4-54F7-41C5-902A-B4C279A4CBFA}" destId="{98BA0BC2-9693-4E28-9E4B-094F7AA61E9F}" srcOrd="0" destOrd="0" presId="urn:microsoft.com/office/officeart/2005/8/layout/hProcess11"/>
    <dgm:cxn modelId="{C8835D41-EC27-4E69-90C5-F4C7B51A8159}" type="presParOf" srcId="{DF6478D4-54F7-41C5-902A-B4C279A4CBFA}" destId="{F7F2FDC6-4D8A-48BE-A95D-1875FC45B2A7}" srcOrd="1" destOrd="0" presId="urn:microsoft.com/office/officeart/2005/8/layout/hProcess11"/>
    <dgm:cxn modelId="{A54D07F3-0A81-4D09-A739-35D5FAA0ED78}" type="presParOf" srcId="{DF6478D4-54F7-41C5-902A-B4C279A4CBFA}" destId="{ABF0AFD7-5F6B-498D-82BA-0EB338A3CB6C}" srcOrd="2" destOrd="0" presId="urn:microsoft.com/office/officeart/2005/8/layout/hProcess1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7FFB70F-B234-4557-8A71-51320B78547A}" type="doc">
      <dgm:prSet loTypeId="urn:microsoft.com/office/officeart/2005/8/layout/hProcess11" loCatId="process" qsTypeId="urn:microsoft.com/office/officeart/2005/8/quickstyle/simple1" qsCatId="simple" csTypeId="urn:microsoft.com/office/officeart/2005/8/colors/accent1_2" csCatId="accent1" phldr="1"/>
      <dgm:spPr/>
    </dgm:pt>
    <dgm:pt modelId="{7BA871B3-7746-47F3-A5C5-27D2D79325A3}">
      <dgm:prSet phldrT="[Text]" custT="1"/>
      <dgm:spPr/>
      <dgm:t>
        <a:bodyPr/>
        <a:lstStyle/>
        <a:p>
          <a:pPr algn="ctr"/>
          <a:r>
            <a:rPr lang="en-US" sz="1200"/>
            <a:t>Year 0 (-$100)</a:t>
          </a:r>
        </a:p>
      </dgm:t>
    </dgm:pt>
    <dgm:pt modelId="{87E4E2C6-1118-4858-833E-58D1C18CDE37}" type="parTrans" cxnId="{CE0179B5-5095-4EEE-AABD-2E2BDAF89E39}">
      <dgm:prSet/>
      <dgm:spPr/>
      <dgm:t>
        <a:bodyPr/>
        <a:lstStyle/>
        <a:p>
          <a:pPr algn="ctr"/>
          <a:endParaRPr lang="en-US"/>
        </a:p>
      </dgm:t>
    </dgm:pt>
    <dgm:pt modelId="{487D44B4-D006-4C08-A913-72122D6183F1}" type="sibTrans" cxnId="{CE0179B5-5095-4EEE-AABD-2E2BDAF89E39}">
      <dgm:prSet/>
      <dgm:spPr/>
      <dgm:t>
        <a:bodyPr/>
        <a:lstStyle/>
        <a:p>
          <a:pPr algn="ctr"/>
          <a:endParaRPr lang="en-US"/>
        </a:p>
      </dgm:t>
    </dgm:pt>
    <dgm:pt modelId="{4D4A1EF6-82D4-4A64-87A7-80FBF11F7DDF}">
      <dgm:prSet phldrT="[Text]" custT="1"/>
      <dgm:spPr/>
      <dgm:t>
        <a:bodyPr/>
        <a:lstStyle/>
        <a:p>
          <a:pPr algn="ctr"/>
          <a:r>
            <a:rPr lang="en-US" sz="1200"/>
            <a:t>Year 2 (+$60)</a:t>
          </a:r>
        </a:p>
      </dgm:t>
    </dgm:pt>
    <dgm:pt modelId="{58C5BF4C-8999-4631-8EFE-2C25FCB0B9F8}" type="parTrans" cxnId="{0D2A2F7F-376F-471B-8FE6-1471C486BAFD}">
      <dgm:prSet/>
      <dgm:spPr/>
      <dgm:t>
        <a:bodyPr/>
        <a:lstStyle/>
        <a:p>
          <a:pPr algn="ctr"/>
          <a:endParaRPr lang="en-US"/>
        </a:p>
      </dgm:t>
    </dgm:pt>
    <dgm:pt modelId="{5CC03DB4-7938-4A7C-BAA1-8B75052F7D55}" type="sibTrans" cxnId="{0D2A2F7F-376F-471B-8FE6-1471C486BAFD}">
      <dgm:prSet/>
      <dgm:spPr/>
      <dgm:t>
        <a:bodyPr/>
        <a:lstStyle/>
        <a:p>
          <a:pPr algn="ctr"/>
          <a:endParaRPr lang="en-US"/>
        </a:p>
      </dgm:t>
    </dgm:pt>
    <dgm:pt modelId="{17848BC7-754C-4A56-A482-E48864503B48}">
      <dgm:prSet phldrT="[Text]" custT="1"/>
      <dgm:spPr/>
      <dgm:t>
        <a:bodyPr/>
        <a:lstStyle/>
        <a:p>
          <a:pPr algn="ctr"/>
          <a:r>
            <a:rPr lang="en-US" sz="1200"/>
            <a:t>Year 1 (+$60)</a:t>
          </a:r>
        </a:p>
      </dgm:t>
    </dgm:pt>
    <dgm:pt modelId="{506B1153-C7D3-432E-89B5-DABE676CC666}" type="parTrans" cxnId="{39878E6B-1A7C-45B6-BA72-596F729425F4}">
      <dgm:prSet/>
      <dgm:spPr/>
      <dgm:t>
        <a:bodyPr/>
        <a:lstStyle/>
        <a:p>
          <a:pPr algn="ctr"/>
          <a:endParaRPr lang="en-US"/>
        </a:p>
      </dgm:t>
    </dgm:pt>
    <dgm:pt modelId="{180E5E1A-9C50-45C9-A8CE-D796823102FB}" type="sibTrans" cxnId="{39878E6B-1A7C-45B6-BA72-596F729425F4}">
      <dgm:prSet/>
      <dgm:spPr/>
      <dgm:t>
        <a:bodyPr/>
        <a:lstStyle/>
        <a:p>
          <a:pPr algn="ctr"/>
          <a:endParaRPr lang="en-US"/>
        </a:p>
      </dgm:t>
    </dgm:pt>
    <dgm:pt modelId="{E1CFCEBC-1E6A-4B77-8828-473ADEA38746}" type="pres">
      <dgm:prSet presAssocID="{27FFB70F-B234-4557-8A71-51320B78547A}" presName="Name0" presStyleCnt="0">
        <dgm:presLayoutVars>
          <dgm:dir/>
          <dgm:resizeHandles val="exact"/>
        </dgm:presLayoutVars>
      </dgm:prSet>
      <dgm:spPr/>
    </dgm:pt>
    <dgm:pt modelId="{91510DAB-B888-433A-8A6B-17D9767B008E}" type="pres">
      <dgm:prSet presAssocID="{27FFB70F-B234-4557-8A71-51320B78547A}" presName="arrow" presStyleLbl="bgShp" presStyleIdx="0" presStyleCnt="1"/>
      <dgm:spPr/>
    </dgm:pt>
    <dgm:pt modelId="{87ADBACC-1AA6-4606-94A6-FEDBBBFD760A}" type="pres">
      <dgm:prSet presAssocID="{27FFB70F-B234-4557-8A71-51320B78547A}" presName="points" presStyleCnt="0"/>
      <dgm:spPr/>
    </dgm:pt>
    <dgm:pt modelId="{A8BBBF7F-BBE6-48FE-924E-680E742E3E1C}" type="pres">
      <dgm:prSet presAssocID="{7BA871B3-7746-47F3-A5C5-27D2D79325A3}" presName="compositeA" presStyleCnt="0"/>
      <dgm:spPr/>
    </dgm:pt>
    <dgm:pt modelId="{58FCF214-545A-4620-88DE-F38E2C4BE74B}" type="pres">
      <dgm:prSet presAssocID="{7BA871B3-7746-47F3-A5C5-27D2D79325A3}" presName="textA" presStyleLbl="revTx" presStyleIdx="0" presStyleCnt="3">
        <dgm:presLayoutVars>
          <dgm:bulletEnabled val="1"/>
        </dgm:presLayoutVars>
      </dgm:prSet>
      <dgm:spPr/>
      <dgm:t>
        <a:bodyPr/>
        <a:lstStyle/>
        <a:p>
          <a:endParaRPr lang="en-US"/>
        </a:p>
      </dgm:t>
    </dgm:pt>
    <dgm:pt modelId="{21FC9B58-C9A0-4FD1-950E-BD052ED16C1A}" type="pres">
      <dgm:prSet presAssocID="{7BA871B3-7746-47F3-A5C5-27D2D79325A3}" presName="circleA" presStyleLbl="node1" presStyleIdx="0" presStyleCnt="3"/>
      <dgm:spPr/>
    </dgm:pt>
    <dgm:pt modelId="{DCEBB6F0-18CE-49C3-BB58-1E1946C79A7D}" type="pres">
      <dgm:prSet presAssocID="{7BA871B3-7746-47F3-A5C5-27D2D79325A3}" presName="spaceA" presStyleCnt="0"/>
      <dgm:spPr/>
    </dgm:pt>
    <dgm:pt modelId="{07FB7DD1-7B1C-4D7E-98F9-8C0FD65D0200}" type="pres">
      <dgm:prSet presAssocID="{487D44B4-D006-4C08-A913-72122D6183F1}" presName="space" presStyleCnt="0"/>
      <dgm:spPr/>
    </dgm:pt>
    <dgm:pt modelId="{B4B9B36E-44E0-4B55-9B14-EE2FB855D3AE}" type="pres">
      <dgm:prSet presAssocID="{17848BC7-754C-4A56-A482-E48864503B48}" presName="compositeB" presStyleCnt="0"/>
      <dgm:spPr/>
    </dgm:pt>
    <dgm:pt modelId="{A26ABD85-56EF-4B36-AF5C-87E28E35BC9D}" type="pres">
      <dgm:prSet presAssocID="{17848BC7-754C-4A56-A482-E48864503B48}" presName="textB" presStyleLbl="revTx" presStyleIdx="1" presStyleCnt="3">
        <dgm:presLayoutVars>
          <dgm:bulletEnabled val="1"/>
        </dgm:presLayoutVars>
      </dgm:prSet>
      <dgm:spPr/>
      <dgm:t>
        <a:bodyPr/>
        <a:lstStyle/>
        <a:p>
          <a:endParaRPr lang="en-US"/>
        </a:p>
      </dgm:t>
    </dgm:pt>
    <dgm:pt modelId="{A78B0F33-71F0-4AFD-A6C4-F3657FF1332C}" type="pres">
      <dgm:prSet presAssocID="{17848BC7-754C-4A56-A482-E48864503B48}" presName="circleB" presStyleLbl="node1" presStyleIdx="1" presStyleCnt="3"/>
      <dgm:spPr/>
    </dgm:pt>
    <dgm:pt modelId="{4E8B4528-C8E3-4240-8607-33BB0F23F189}" type="pres">
      <dgm:prSet presAssocID="{17848BC7-754C-4A56-A482-E48864503B48}" presName="spaceB" presStyleCnt="0"/>
      <dgm:spPr/>
    </dgm:pt>
    <dgm:pt modelId="{C610657D-3AFF-4960-93EB-6C8A0F498F00}" type="pres">
      <dgm:prSet presAssocID="{180E5E1A-9C50-45C9-A8CE-D796823102FB}" presName="space" presStyleCnt="0"/>
      <dgm:spPr/>
    </dgm:pt>
    <dgm:pt modelId="{F2251F81-E881-4187-8EB7-DE0D8875EC99}" type="pres">
      <dgm:prSet presAssocID="{4D4A1EF6-82D4-4A64-87A7-80FBF11F7DDF}" presName="compositeA" presStyleCnt="0"/>
      <dgm:spPr/>
    </dgm:pt>
    <dgm:pt modelId="{DFD75653-6E15-4DDC-93A6-0A500126C741}" type="pres">
      <dgm:prSet presAssocID="{4D4A1EF6-82D4-4A64-87A7-80FBF11F7DDF}" presName="textA" presStyleLbl="revTx" presStyleIdx="2" presStyleCnt="3">
        <dgm:presLayoutVars>
          <dgm:bulletEnabled val="1"/>
        </dgm:presLayoutVars>
      </dgm:prSet>
      <dgm:spPr/>
      <dgm:t>
        <a:bodyPr/>
        <a:lstStyle/>
        <a:p>
          <a:endParaRPr lang="en-US"/>
        </a:p>
      </dgm:t>
    </dgm:pt>
    <dgm:pt modelId="{0CC988F2-B0D4-4242-8AF2-95008671B8B0}" type="pres">
      <dgm:prSet presAssocID="{4D4A1EF6-82D4-4A64-87A7-80FBF11F7DDF}" presName="circleA" presStyleLbl="node1" presStyleIdx="2" presStyleCnt="3"/>
      <dgm:spPr/>
    </dgm:pt>
    <dgm:pt modelId="{E562C51C-6B35-4CF7-949F-F5BE47626FA2}" type="pres">
      <dgm:prSet presAssocID="{4D4A1EF6-82D4-4A64-87A7-80FBF11F7DDF}" presName="spaceA" presStyleCnt="0"/>
      <dgm:spPr/>
    </dgm:pt>
  </dgm:ptLst>
  <dgm:cxnLst>
    <dgm:cxn modelId="{9FC571E3-C496-469C-95D3-0F4CC806A97D}" type="presOf" srcId="{7BA871B3-7746-47F3-A5C5-27D2D79325A3}" destId="{58FCF214-545A-4620-88DE-F38E2C4BE74B}" srcOrd="0" destOrd="0" presId="urn:microsoft.com/office/officeart/2005/8/layout/hProcess11"/>
    <dgm:cxn modelId="{17255582-3A13-41C1-A712-CC7F6873783C}" type="presOf" srcId="{17848BC7-754C-4A56-A482-E48864503B48}" destId="{A26ABD85-56EF-4B36-AF5C-87E28E35BC9D}" srcOrd="0" destOrd="0" presId="urn:microsoft.com/office/officeart/2005/8/layout/hProcess11"/>
    <dgm:cxn modelId="{39878E6B-1A7C-45B6-BA72-596F729425F4}" srcId="{27FFB70F-B234-4557-8A71-51320B78547A}" destId="{17848BC7-754C-4A56-A482-E48864503B48}" srcOrd="1" destOrd="0" parTransId="{506B1153-C7D3-432E-89B5-DABE676CC666}" sibTransId="{180E5E1A-9C50-45C9-A8CE-D796823102FB}"/>
    <dgm:cxn modelId="{E8D49078-0A78-4A60-B926-B6A5AEC3476D}" type="presOf" srcId="{27FFB70F-B234-4557-8A71-51320B78547A}" destId="{E1CFCEBC-1E6A-4B77-8828-473ADEA38746}" srcOrd="0" destOrd="0" presId="urn:microsoft.com/office/officeart/2005/8/layout/hProcess11"/>
    <dgm:cxn modelId="{0D2A2F7F-376F-471B-8FE6-1471C486BAFD}" srcId="{27FFB70F-B234-4557-8A71-51320B78547A}" destId="{4D4A1EF6-82D4-4A64-87A7-80FBF11F7DDF}" srcOrd="2" destOrd="0" parTransId="{58C5BF4C-8999-4631-8EFE-2C25FCB0B9F8}" sibTransId="{5CC03DB4-7938-4A7C-BAA1-8B75052F7D55}"/>
    <dgm:cxn modelId="{9D931F33-12FE-4C77-B634-A33063A10521}" type="presOf" srcId="{4D4A1EF6-82D4-4A64-87A7-80FBF11F7DDF}" destId="{DFD75653-6E15-4DDC-93A6-0A500126C741}" srcOrd="0" destOrd="0" presId="urn:microsoft.com/office/officeart/2005/8/layout/hProcess11"/>
    <dgm:cxn modelId="{CE0179B5-5095-4EEE-AABD-2E2BDAF89E39}" srcId="{27FFB70F-B234-4557-8A71-51320B78547A}" destId="{7BA871B3-7746-47F3-A5C5-27D2D79325A3}" srcOrd="0" destOrd="0" parTransId="{87E4E2C6-1118-4858-833E-58D1C18CDE37}" sibTransId="{487D44B4-D006-4C08-A913-72122D6183F1}"/>
    <dgm:cxn modelId="{C13D8344-022C-4985-A648-3E71A0AD321C}" type="presParOf" srcId="{E1CFCEBC-1E6A-4B77-8828-473ADEA38746}" destId="{91510DAB-B888-433A-8A6B-17D9767B008E}" srcOrd="0" destOrd="0" presId="urn:microsoft.com/office/officeart/2005/8/layout/hProcess11"/>
    <dgm:cxn modelId="{D9E4E29B-C72B-40E1-9355-D3A9C5961D86}" type="presParOf" srcId="{E1CFCEBC-1E6A-4B77-8828-473ADEA38746}" destId="{87ADBACC-1AA6-4606-94A6-FEDBBBFD760A}" srcOrd="1" destOrd="0" presId="urn:microsoft.com/office/officeart/2005/8/layout/hProcess11"/>
    <dgm:cxn modelId="{2FE202EA-4E20-4AED-98DC-F05DA8F4836F}" type="presParOf" srcId="{87ADBACC-1AA6-4606-94A6-FEDBBBFD760A}" destId="{A8BBBF7F-BBE6-48FE-924E-680E742E3E1C}" srcOrd="0" destOrd="0" presId="urn:microsoft.com/office/officeart/2005/8/layout/hProcess11"/>
    <dgm:cxn modelId="{F791C614-EABA-40F8-8B1B-ED0F232CAE85}" type="presParOf" srcId="{A8BBBF7F-BBE6-48FE-924E-680E742E3E1C}" destId="{58FCF214-545A-4620-88DE-F38E2C4BE74B}" srcOrd="0" destOrd="0" presId="urn:microsoft.com/office/officeart/2005/8/layout/hProcess11"/>
    <dgm:cxn modelId="{1A38D9FA-5E80-4FA1-9805-E007557D258C}" type="presParOf" srcId="{A8BBBF7F-BBE6-48FE-924E-680E742E3E1C}" destId="{21FC9B58-C9A0-4FD1-950E-BD052ED16C1A}" srcOrd="1" destOrd="0" presId="urn:microsoft.com/office/officeart/2005/8/layout/hProcess11"/>
    <dgm:cxn modelId="{D4C0E9E5-0469-485A-8D9F-CDF4D8740446}" type="presParOf" srcId="{A8BBBF7F-BBE6-48FE-924E-680E742E3E1C}" destId="{DCEBB6F0-18CE-49C3-BB58-1E1946C79A7D}" srcOrd="2" destOrd="0" presId="urn:microsoft.com/office/officeart/2005/8/layout/hProcess11"/>
    <dgm:cxn modelId="{1A229C1A-F8A0-458D-BD97-71E2E8AD716B}" type="presParOf" srcId="{87ADBACC-1AA6-4606-94A6-FEDBBBFD760A}" destId="{07FB7DD1-7B1C-4D7E-98F9-8C0FD65D0200}" srcOrd="1" destOrd="0" presId="urn:microsoft.com/office/officeart/2005/8/layout/hProcess11"/>
    <dgm:cxn modelId="{3B7A9E0D-E94D-495B-A875-5AA1D7A4B2ED}" type="presParOf" srcId="{87ADBACC-1AA6-4606-94A6-FEDBBBFD760A}" destId="{B4B9B36E-44E0-4B55-9B14-EE2FB855D3AE}" srcOrd="2" destOrd="0" presId="urn:microsoft.com/office/officeart/2005/8/layout/hProcess11"/>
    <dgm:cxn modelId="{E5FEC1F7-F02A-450A-BF37-FC1608E0039D}" type="presParOf" srcId="{B4B9B36E-44E0-4B55-9B14-EE2FB855D3AE}" destId="{A26ABD85-56EF-4B36-AF5C-87E28E35BC9D}" srcOrd="0" destOrd="0" presId="urn:microsoft.com/office/officeart/2005/8/layout/hProcess11"/>
    <dgm:cxn modelId="{C8ACC89F-5290-4ADC-95B5-5DBD44E886AD}" type="presParOf" srcId="{B4B9B36E-44E0-4B55-9B14-EE2FB855D3AE}" destId="{A78B0F33-71F0-4AFD-A6C4-F3657FF1332C}" srcOrd="1" destOrd="0" presId="urn:microsoft.com/office/officeart/2005/8/layout/hProcess11"/>
    <dgm:cxn modelId="{9CA82178-9189-4F56-B3A6-5C31CA65092C}" type="presParOf" srcId="{B4B9B36E-44E0-4B55-9B14-EE2FB855D3AE}" destId="{4E8B4528-C8E3-4240-8607-33BB0F23F189}" srcOrd="2" destOrd="0" presId="urn:microsoft.com/office/officeart/2005/8/layout/hProcess11"/>
    <dgm:cxn modelId="{3465D584-9C17-46E7-9D13-B1DA61CF4B13}" type="presParOf" srcId="{87ADBACC-1AA6-4606-94A6-FEDBBBFD760A}" destId="{C610657D-3AFF-4960-93EB-6C8A0F498F00}" srcOrd="3" destOrd="0" presId="urn:microsoft.com/office/officeart/2005/8/layout/hProcess11"/>
    <dgm:cxn modelId="{BCA45EEF-9F58-46A6-9160-A89587BF2004}" type="presParOf" srcId="{87ADBACC-1AA6-4606-94A6-FEDBBBFD760A}" destId="{F2251F81-E881-4187-8EB7-DE0D8875EC99}" srcOrd="4" destOrd="0" presId="urn:microsoft.com/office/officeart/2005/8/layout/hProcess11"/>
    <dgm:cxn modelId="{90C362BF-B271-45A5-947B-691878E4DEA5}" type="presParOf" srcId="{F2251F81-E881-4187-8EB7-DE0D8875EC99}" destId="{DFD75653-6E15-4DDC-93A6-0A500126C741}" srcOrd="0" destOrd="0" presId="urn:microsoft.com/office/officeart/2005/8/layout/hProcess11"/>
    <dgm:cxn modelId="{96516DDF-6C6D-40E6-B597-B4D940429C42}" type="presParOf" srcId="{F2251F81-E881-4187-8EB7-DE0D8875EC99}" destId="{0CC988F2-B0D4-4242-8AF2-95008671B8B0}" srcOrd="1" destOrd="0" presId="urn:microsoft.com/office/officeart/2005/8/layout/hProcess11"/>
    <dgm:cxn modelId="{5B4202C8-E67C-46C9-86CD-7D2D44962AA6}" type="presParOf" srcId="{F2251F81-E881-4187-8EB7-DE0D8875EC99}" destId="{E562C51C-6B35-4CF7-949F-F5BE47626FA2}" srcOrd="2" destOrd="0" presId="urn:microsoft.com/office/officeart/2005/8/layout/hProcess1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7FFB70F-B234-4557-8A71-51320B78547A}" type="doc">
      <dgm:prSet loTypeId="urn:microsoft.com/office/officeart/2005/8/layout/hProcess11" loCatId="process" qsTypeId="urn:microsoft.com/office/officeart/2005/8/quickstyle/simple1" qsCatId="simple" csTypeId="urn:microsoft.com/office/officeart/2005/8/colors/accent1_2" csCatId="accent1" phldr="1"/>
      <dgm:spPr/>
    </dgm:pt>
    <dgm:pt modelId="{7BA871B3-7746-47F3-A5C5-27D2D79325A3}">
      <dgm:prSet phldrT="[Text]" custT="1"/>
      <dgm:spPr/>
      <dgm:t>
        <a:bodyPr/>
        <a:lstStyle/>
        <a:p>
          <a:pPr algn="ctr"/>
          <a:r>
            <a:rPr lang="en-US" sz="1200"/>
            <a:t>Year 0 (-$60)</a:t>
          </a:r>
        </a:p>
      </dgm:t>
    </dgm:pt>
    <dgm:pt modelId="{87E4E2C6-1118-4858-833E-58D1C18CDE37}" type="parTrans" cxnId="{CE0179B5-5095-4EEE-AABD-2E2BDAF89E39}">
      <dgm:prSet/>
      <dgm:spPr/>
      <dgm:t>
        <a:bodyPr/>
        <a:lstStyle/>
        <a:p>
          <a:pPr algn="ctr"/>
          <a:endParaRPr lang="en-US"/>
        </a:p>
      </dgm:t>
    </dgm:pt>
    <dgm:pt modelId="{487D44B4-D006-4C08-A913-72122D6183F1}" type="sibTrans" cxnId="{CE0179B5-5095-4EEE-AABD-2E2BDAF89E39}">
      <dgm:prSet/>
      <dgm:spPr/>
      <dgm:t>
        <a:bodyPr/>
        <a:lstStyle/>
        <a:p>
          <a:pPr algn="ctr"/>
          <a:endParaRPr lang="en-US"/>
        </a:p>
      </dgm:t>
    </dgm:pt>
    <dgm:pt modelId="{4D4A1EF6-82D4-4A64-87A7-80FBF11F7DDF}">
      <dgm:prSet phldrT="[Text]" custT="1"/>
      <dgm:spPr/>
      <dgm:t>
        <a:bodyPr/>
        <a:lstStyle/>
        <a:p>
          <a:pPr algn="ctr"/>
          <a:r>
            <a:rPr lang="en-US" sz="1200"/>
            <a:t>Year 2 (-$100)</a:t>
          </a:r>
        </a:p>
      </dgm:t>
    </dgm:pt>
    <dgm:pt modelId="{58C5BF4C-8999-4631-8EFE-2C25FCB0B9F8}" type="parTrans" cxnId="{0D2A2F7F-376F-471B-8FE6-1471C486BAFD}">
      <dgm:prSet/>
      <dgm:spPr/>
      <dgm:t>
        <a:bodyPr/>
        <a:lstStyle/>
        <a:p>
          <a:pPr algn="ctr"/>
          <a:endParaRPr lang="en-US"/>
        </a:p>
      </dgm:t>
    </dgm:pt>
    <dgm:pt modelId="{5CC03DB4-7938-4A7C-BAA1-8B75052F7D55}" type="sibTrans" cxnId="{0D2A2F7F-376F-471B-8FE6-1471C486BAFD}">
      <dgm:prSet/>
      <dgm:spPr/>
      <dgm:t>
        <a:bodyPr/>
        <a:lstStyle/>
        <a:p>
          <a:pPr algn="ctr"/>
          <a:endParaRPr lang="en-US"/>
        </a:p>
      </dgm:t>
    </dgm:pt>
    <dgm:pt modelId="{17848BC7-754C-4A56-A482-E48864503B48}">
      <dgm:prSet phldrT="[Text]" custT="1"/>
      <dgm:spPr/>
      <dgm:t>
        <a:bodyPr/>
        <a:lstStyle/>
        <a:p>
          <a:pPr algn="ctr"/>
          <a:r>
            <a:rPr lang="en-US" sz="1200"/>
            <a:t>Year 1 (+$155)</a:t>
          </a:r>
        </a:p>
      </dgm:t>
    </dgm:pt>
    <dgm:pt modelId="{506B1153-C7D3-432E-89B5-DABE676CC666}" type="parTrans" cxnId="{39878E6B-1A7C-45B6-BA72-596F729425F4}">
      <dgm:prSet/>
      <dgm:spPr/>
      <dgm:t>
        <a:bodyPr/>
        <a:lstStyle/>
        <a:p>
          <a:pPr algn="ctr"/>
          <a:endParaRPr lang="en-US"/>
        </a:p>
      </dgm:t>
    </dgm:pt>
    <dgm:pt modelId="{180E5E1A-9C50-45C9-A8CE-D796823102FB}" type="sibTrans" cxnId="{39878E6B-1A7C-45B6-BA72-596F729425F4}">
      <dgm:prSet/>
      <dgm:spPr/>
      <dgm:t>
        <a:bodyPr/>
        <a:lstStyle/>
        <a:p>
          <a:pPr algn="ctr"/>
          <a:endParaRPr lang="en-US"/>
        </a:p>
      </dgm:t>
    </dgm:pt>
    <dgm:pt modelId="{E1CFCEBC-1E6A-4B77-8828-473ADEA38746}" type="pres">
      <dgm:prSet presAssocID="{27FFB70F-B234-4557-8A71-51320B78547A}" presName="Name0" presStyleCnt="0">
        <dgm:presLayoutVars>
          <dgm:dir/>
          <dgm:resizeHandles val="exact"/>
        </dgm:presLayoutVars>
      </dgm:prSet>
      <dgm:spPr/>
    </dgm:pt>
    <dgm:pt modelId="{91510DAB-B888-433A-8A6B-17D9767B008E}" type="pres">
      <dgm:prSet presAssocID="{27FFB70F-B234-4557-8A71-51320B78547A}" presName="arrow" presStyleLbl="bgShp" presStyleIdx="0" presStyleCnt="1"/>
      <dgm:spPr/>
    </dgm:pt>
    <dgm:pt modelId="{87ADBACC-1AA6-4606-94A6-FEDBBBFD760A}" type="pres">
      <dgm:prSet presAssocID="{27FFB70F-B234-4557-8A71-51320B78547A}" presName="points" presStyleCnt="0"/>
      <dgm:spPr/>
    </dgm:pt>
    <dgm:pt modelId="{A8BBBF7F-BBE6-48FE-924E-680E742E3E1C}" type="pres">
      <dgm:prSet presAssocID="{7BA871B3-7746-47F3-A5C5-27D2D79325A3}" presName="compositeA" presStyleCnt="0"/>
      <dgm:spPr/>
    </dgm:pt>
    <dgm:pt modelId="{58FCF214-545A-4620-88DE-F38E2C4BE74B}" type="pres">
      <dgm:prSet presAssocID="{7BA871B3-7746-47F3-A5C5-27D2D79325A3}" presName="textA" presStyleLbl="revTx" presStyleIdx="0" presStyleCnt="3">
        <dgm:presLayoutVars>
          <dgm:bulletEnabled val="1"/>
        </dgm:presLayoutVars>
      </dgm:prSet>
      <dgm:spPr/>
      <dgm:t>
        <a:bodyPr/>
        <a:lstStyle/>
        <a:p>
          <a:endParaRPr lang="en-US"/>
        </a:p>
      </dgm:t>
    </dgm:pt>
    <dgm:pt modelId="{21FC9B58-C9A0-4FD1-950E-BD052ED16C1A}" type="pres">
      <dgm:prSet presAssocID="{7BA871B3-7746-47F3-A5C5-27D2D79325A3}" presName="circleA" presStyleLbl="node1" presStyleIdx="0" presStyleCnt="3"/>
      <dgm:spPr/>
    </dgm:pt>
    <dgm:pt modelId="{DCEBB6F0-18CE-49C3-BB58-1E1946C79A7D}" type="pres">
      <dgm:prSet presAssocID="{7BA871B3-7746-47F3-A5C5-27D2D79325A3}" presName="spaceA" presStyleCnt="0"/>
      <dgm:spPr/>
    </dgm:pt>
    <dgm:pt modelId="{07FB7DD1-7B1C-4D7E-98F9-8C0FD65D0200}" type="pres">
      <dgm:prSet presAssocID="{487D44B4-D006-4C08-A913-72122D6183F1}" presName="space" presStyleCnt="0"/>
      <dgm:spPr/>
    </dgm:pt>
    <dgm:pt modelId="{B4B9B36E-44E0-4B55-9B14-EE2FB855D3AE}" type="pres">
      <dgm:prSet presAssocID="{17848BC7-754C-4A56-A482-E48864503B48}" presName="compositeB" presStyleCnt="0"/>
      <dgm:spPr/>
    </dgm:pt>
    <dgm:pt modelId="{A26ABD85-56EF-4B36-AF5C-87E28E35BC9D}" type="pres">
      <dgm:prSet presAssocID="{17848BC7-754C-4A56-A482-E48864503B48}" presName="textB" presStyleLbl="revTx" presStyleIdx="1" presStyleCnt="3">
        <dgm:presLayoutVars>
          <dgm:bulletEnabled val="1"/>
        </dgm:presLayoutVars>
      </dgm:prSet>
      <dgm:spPr/>
      <dgm:t>
        <a:bodyPr/>
        <a:lstStyle/>
        <a:p>
          <a:endParaRPr lang="en-US"/>
        </a:p>
      </dgm:t>
    </dgm:pt>
    <dgm:pt modelId="{A78B0F33-71F0-4AFD-A6C4-F3657FF1332C}" type="pres">
      <dgm:prSet presAssocID="{17848BC7-754C-4A56-A482-E48864503B48}" presName="circleB" presStyleLbl="node1" presStyleIdx="1" presStyleCnt="3"/>
      <dgm:spPr/>
    </dgm:pt>
    <dgm:pt modelId="{4E8B4528-C8E3-4240-8607-33BB0F23F189}" type="pres">
      <dgm:prSet presAssocID="{17848BC7-754C-4A56-A482-E48864503B48}" presName="spaceB" presStyleCnt="0"/>
      <dgm:spPr/>
    </dgm:pt>
    <dgm:pt modelId="{C610657D-3AFF-4960-93EB-6C8A0F498F00}" type="pres">
      <dgm:prSet presAssocID="{180E5E1A-9C50-45C9-A8CE-D796823102FB}" presName="space" presStyleCnt="0"/>
      <dgm:spPr/>
    </dgm:pt>
    <dgm:pt modelId="{F2251F81-E881-4187-8EB7-DE0D8875EC99}" type="pres">
      <dgm:prSet presAssocID="{4D4A1EF6-82D4-4A64-87A7-80FBF11F7DDF}" presName="compositeA" presStyleCnt="0"/>
      <dgm:spPr/>
    </dgm:pt>
    <dgm:pt modelId="{DFD75653-6E15-4DDC-93A6-0A500126C741}" type="pres">
      <dgm:prSet presAssocID="{4D4A1EF6-82D4-4A64-87A7-80FBF11F7DDF}" presName="textA" presStyleLbl="revTx" presStyleIdx="2" presStyleCnt="3">
        <dgm:presLayoutVars>
          <dgm:bulletEnabled val="1"/>
        </dgm:presLayoutVars>
      </dgm:prSet>
      <dgm:spPr/>
      <dgm:t>
        <a:bodyPr/>
        <a:lstStyle/>
        <a:p>
          <a:endParaRPr lang="en-US"/>
        </a:p>
      </dgm:t>
    </dgm:pt>
    <dgm:pt modelId="{0CC988F2-B0D4-4242-8AF2-95008671B8B0}" type="pres">
      <dgm:prSet presAssocID="{4D4A1EF6-82D4-4A64-87A7-80FBF11F7DDF}" presName="circleA" presStyleLbl="node1" presStyleIdx="2" presStyleCnt="3"/>
      <dgm:spPr/>
    </dgm:pt>
    <dgm:pt modelId="{E562C51C-6B35-4CF7-949F-F5BE47626FA2}" type="pres">
      <dgm:prSet presAssocID="{4D4A1EF6-82D4-4A64-87A7-80FBF11F7DDF}" presName="spaceA" presStyleCnt="0"/>
      <dgm:spPr/>
    </dgm:pt>
  </dgm:ptLst>
  <dgm:cxnLst>
    <dgm:cxn modelId="{D88E9FEB-B8C5-4531-9E7F-182CBD6B6222}" type="presOf" srcId="{27FFB70F-B234-4557-8A71-51320B78547A}" destId="{E1CFCEBC-1E6A-4B77-8828-473ADEA38746}" srcOrd="0" destOrd="0" presId="urn:microsoft.com/office/officeart/2005/8/layout/hProcess11"/>
    <dgm:cxn modelId="{8BA8A9B6-89B3-4593-B067-9F243E55951A}" type="presOf" srcId="{17848BC7-754C-4A56-A482-E48864503B48}" destId="{A26ABD85-56EF-4B36-AF5C-87E28E35BC9D}" srcOrd="0" destOrd="0" presId="urn:microsoft.com/office/officeart/2005/8/layout/hProcess11"/>
    <dgm:cxn modelId="{0D2A2F7F-376F-471B-8FE6-1471C486BAFD}" srcId="{27FFB70F-B234-4557-8A71-51320B78547A}" destId="{4D4A1EF6-82D4-4A64-87A7-80FBF11F7DDF}" srcOrd="2" destOrd="0" parTransId="{58C5BF4C-8999-4631-8EFE-2C25FCB0B9F8}" sibTransId="{5CC03DB4-7938-4A7C-BAA1-8B75052F7D55}"/>
    <dgm:cxn modelId="{87580E24-FF8E-4FB5-93EA-4A969D217731}" type="presOf" srcId="{7BA871B3-7746-47F3-A5C5-27D2D79325A3}" destId="{58FCF214-545A-4620-88DE-F38E2C4BE74B}" srcOrd="0" destOrd="0" presId="urn:microsoft.com/office/officeart/2005/8/layout/hProcess11"/>
    <dgm:cxn modelId="{CE0179B5-5095-4EEE-AABD-2E2BDAF89E39}" srcId="{27FFB70F-B234-4557-8A71-51320B78547A}" destId="{7BA871B3-7746-47F3-A5C5-27D2D79325A3}" srcOrd="0" destOrd="0" parTransId="{87E4E2C6-1118-4858-833E-58D1C18CDE37}" sibTransId="{487D44B4-D006-4C08-A913-72122D6183F1}"/>
    <dgm:cxn modelId="{AB711D5B-1DE7-496B-8A23-21B066C12CA1}" type="presOf" srcId="{4D4A1EF6-82D4-4A64-87A7-80FBF11F7DDF}" destId="{DFD75653-6E15-4DDC-93A6-0A500126C741}" srcOrd="0" destOrd="0" presId="urn:microsoft.com/office/officeart/2005/8/layout/hProcess11"/>
    <dgm:cxn modelId="{39878E6B-1A7C-45B6-BA72-596F729425F4}" srcId="{27FFB70F-B234-4557-8A71-51320B78547A}" destId="{17848BC7-754C-4A56-A482-E48864503B48}" srcOrd="1" destOrd="0" parTransId="{506B1153-C7D3-432E-89B5-DABE676CC666}" sibTransId="{180E5E1A-9C50-45C9-A8CE-D796823102FB}"/>
    <dgm:cxn modelId="{32975A00-F4C7-4D68-A781-FC058F4DFD33}" type="presParOf" srcId="{E1CFCEBC-1E6A-4B77-8828-473ADEA38746}" destId="{91510DAB-B888-433A-8A6B-17D9767B008E}" srcOrd="0" destOrd="0" presId="urn:microsoft.com/office/officeart/2005/8/layout/hProcess11"/>
    <dgm:cxn modelId="{D5EEA577-EF02-43B9-A605-8D3536766C8F}" type="presParOf" srcId="{E1CFCEBC-1E6A-4B77-8828-473ADEA38746}" destId="{87ADBACC-1AA6-4606-94A6-FEDBBBFD760A}" srcOrd="1" destOrd="0" presId="urn:microsoft.com/office/officeart/2005/8/layout/hProcess11"/>
    <dgm:cxn modelId="{977A862A-9252-4709-B78F-85FA070D0715}" type="presParOf" srcId="{87ADBACC-1AA6-4606-94A6-FEDBBBFD760A}" destId="{A8BBBF7F-BBE6-48FE-924E-680E742E3E1C}" srcOrd="0" destOrd="0" presId="urn:microsoft.com/office/officeart/2005/8/layout/hProcess11"/>
    <dgm:cxn modelId="{3F9A6D4E-390F-4DB4-9DC9-EEA2A5933B35}" type="presParOf" srcId="{A8BBBF7F-BBE6-48FE-924E-680E742E3E1C}" destId="{58FCF214-545A-4620-88DE-F38E2C4BE74B}" srcOrd="0" destOrd="0" presId="urn:microsoft.com/office/officeart/2005/8/layout/hProcess11"/>
    <dgm:cxn modelId="{820EF90C-AC36-488F-816F-21B899F8B2A6}" type="presParOf" srcId="{A8BBBF7F-BBE6-48FE-924E-680E742E3E1C}" destId="{21FC9B58-C9A0-4FD1-950E-BD052ED16C1A}" srcOrd="1" destOrd="0" presId="urn:microsoft.com/office/officeart/2005/8/layout/hProcess11"/>
    <dgm:cxn modelId="{4EBD8975-2CA0-4217-8A71-68D8BCAD3259}" type="presParOf" srcId="{A8BBBF7F-BBE6-48FE-924E-680E742E3E1C}" destId="{DCEBB6F0-18CE-49C3-BB58-1E1946C79A7D}" srcOrd="2" destOrd="0" presId="urn:microsoft.com/office/officeart/2005/8/layout/hProcess11"/>
    <dgm:cxn modelId="{0DFF34B9-2FEA-4768-ABDA-9D4D9223E892}" type="presParOf" srcId="{87ADBACC-1AA6-4606-94A6-FEDBBBFD760A}" destId="{07FB7DD1-7B1C-4D7E-98F9-8C0FD65D0200}" srcOrd="1" destOrd="0" presId="urn:microsoft.com/office/officeart/2005/8/layout/hProcess11"/>
    <dgm:cxn modelId="{DFC8C230-7459-468B-8961-7205D0DDCBF7}" type="presParOf" srcId="{87ADBACC-1AA6-4606-94A6-FEDBBBFD760A}" destId="{B4B9B36E-44E0-4B55-9B14-EE2FB855D3AE}" srcOrd="2" destOrd="0" presId="urn:microsoft.com/office/officeart/2005/8/layout/hProcess11"/>
    <dgm:cxn modelId="{58F04AC4-546B-4FF5-B614-9EC5F32A7E3E}" type="presParOf" srcId="{B4B9B36E-44E0-4B55-9B14-EE2FB855D3AE}" destId="{A26ABD85-56EF-4B36-AF5C-87E28E35BC9D}" srcOrd="0" destOrd="0" presId="urn:microsoft.com/office/officeart/2005/8/layout/hProcess11"/>
    <dgm:cxn modelId="{E5F3C698-D52D-4454-89DE-B6EB406659A4}" type="presParOf" srcId="{B4B9B36E-44E0-4B55-9B14-EE2FB855D3AE}" destId="{A78B0F33-71F0-4AFD-A6C4-F3657FF1332C}" srcOrd="1" destOrd="0" presId="urn:microsoft.com/office/officeart/2005/8/layout/hProcess11"/>
    <dgm:cxn modelId="{D904E5CC-0B6D-48E3-B8E4-D1E26A70977C}" type="presParOf" srcId="{B4B9B36E-44E0-4B55-9B14-EE2FB855D3AE}" destId="{4E8B4528-C8E3-4240-8607-33BB0F23F189}" srcOrd="2" destOrd="0" presId="urn:microsoft.com/office/officeart/2005/8/layout/hProcess11"/>
    <dgm:cxn modelId="{0E0929AF-A078-44E3-8749-38439606DA81}" type="presParOf" srcId="{87ADBACC-1AA6-4606-94A6-FEDBBBFD760A}" destId="{C610657D-3AFF-4960-93EB-6C8A0F498F00}" srcOrd="3" destOrd="0" presId="urn:microsoft.com/office/officeart/2005/8/layout/hProcess11"/>
    <dgm:cxn modelId="{20A07F24-90B4-491E-8F74-CA55B190A737}" type="presParOf" srcId="{87ADBACC-1AA6-4606-94A6-FEDBBBFD760A}" destId="{F2251F81-E881-4187-8EB7-DE0D8875EC99}" srcOrd="4" destOrd="0" presId="urn:microsoft.com/office/officeart/2005/8/layout/hProcess11"/>
    <dgm:cxn modelId="{FBFC8E82-80C1-424D-A47D-319C7D2F4F55}" type="presParOf" srcId="{F2251F81-E881-4187-8EB7-DE0D8875EC99}" destId="{DFD75653-6E15-4DDC-93A6-0A500126C741}" srcOrd="0" destOrd="0" presId="urn:microsoft.com/office/officeart/2005/8/layout/hProcess11"/>
    <dgm:cxn modelId="{CC757139-2F82-4924-BAD8-3045C24A8DC0}" type="presParOf" srcId="{F2251F81-E881-4187-8EB7-DE0D8875EC99}" destId="{0CC988F2-B0D4-4242-8AF2-95008671B8B0}" srcOrd="1" destOrd="0" presId="urn:microsoft.com/office/officeart/2005/8/layout/hProcess11"/>
    <dgm:cxn modelId="{B0A372BB-8C2C-41B3-A845-F2A22086CA36}" type="presParOf" srcId="{F2251F81-E881-4187-8EB7-DE0D8875EC99}" destId="{E562C51C-6B35-4CF7-949F-F5BE47626FA2}" srcOrd="2" destOrd="0" presId="urn:microsoft.com/office/officeart/2005/8/layout/hProcess1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510DAB-B888-433A-8A6B-17D9767B008E}">
      <dsp:nvSpPr>
        <dsp:cNvPr id="0" name=""/>
        <dsp:cNvSpPr/>
      </dsp:nvSpPr>
      <dsp:spPr>
        <a:xfrm>
          <a:off x="0" y="495620"/>
          <a:ext cx="4264639" cy="660826"/>
        </a:xfrm>
        <a:prstGeom prst="notched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8FCF214-545A-4620-88DE-F38E2C4BE74B}">
      <dsp:nvSpPr>
        <dsp:cNvPr id="0" name=""/>
        <dsp:cNvSpPr/>
      </dsp:nvSpPr>
      <dsp:spPr>
        <a:xfrm>
          <a:off x="1686" y="0"/>
          <a:ext cx="737461" cy="66082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b" anchorCtr="0">
          <a:noAutofit/>
        </a:bodyPr>
        <a:lstStyle/>
        <a:p>
          <a:pPr lvl="0" algn="ctr" defTabSz="488950">
            <a:lnSpc>
              <a:spcPct val="90000"/>
            </a:lnSpc>
            <a:spcBef>
              <a:spcPct val="0"/>
            </a:spcBef>
            <a:spcAft>
              <a:spcPct val="35000"/>
            </a:spcAft>
          </a:pPr>
          <a:r>
            <a:rPr lang="en-US" sz="1100" kern="1200"/>
            <a:t>Year 0 (-$50,000)</a:t>
          </a:r>
        </a:p>
      </dsp:txBody>
      <dsp:txXfrm>
        <a:off x="1686" y="0"/>
        <a:ext cx="737461" cy="660826"/>
      </dsp:txXfrm>
    </dsp:sp>
    <dsp:sp modelId="{21FC9B58-C9A0-4FD1-950E-BD052ED16C1A}">
      <dsp:nvSpPr>
        <dsp:cNvPr id="0" name=""/>
        <dsp:cNvSpPr/>
      </dsp:nvSpPr>
      <dsp:spPr>
        <a:xfrm>
          <a:off x="287814" y="743430"/>
          <a:ext cx="165206" cy="16520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26ABD85-56EF-4B36-AF5C-87E28E35BC9D}">
      <dsp:nvSpPr>
        <dsp:cNvPr id="0" name=""/>
        <dsp:cNvSpPr/>
      </dsp:nvSpPr>
      <dsp:spPr>
        <a:xfrm>
          <a:off x="776021" y="991240"/>
          <a:ext cx="737461" cy="66082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t" anchorCtr="0">
          <a:noAutofit/>
        </a:bodyPr>
        <a:lstStyle/>
        <a:p>
          <a:pPr lvl="0" algn="ctr" defTabSz="488950">
            <a:lnSpc>
              <a:spcPct val="90000"/>
            </a:lnSpc>
            <a:spcBef>
              <a:spcPct val="0"/>
            </a:spcBef>
            <a:spcAft>
              <a:spcPct val="35000"/>
            </a:spcAft>
          </a:pPr>
          <a:r>
            <a:rPr lang="en-US" sz="1100" kern="1200"/>
            <a:t>Year 1 ($30,000)</a:t>
          </a:r>
        </a:p>
      </dsp:txBody>
      <dsp:txXfrm>
        <a:off x="776021" y="991240"/>
        <a:ext cx="737461" cy="660826"/>
      </dsp:txXfrm>
    </dsp:sp>
    <dsp:sp modelId="{A78B0F33-71F0-4AFD-A6C4-F3657FF1332C}">
      <dsp:nvSpPr>
        <dsp:cNvPr id="0" name=""/>
        <dsp:cNvSpPr/>
      </dsp:nvSpPr>
      <dsp:spPr>
        <a:xfrm>
          <a:off x="1062149" y="743430"/>
          <a:ext cx="165206" cy="16520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FD75653-6E15-4DDC-93A6-0A500126C741}">
      <dsp:nvSpPr>
        <dsp:cNvPr id="0" name=""/>
        <dsp:cNvSpPr/>
      </dsp:nvSpPr>
      <dsp:spPr>
        <a:xfrm>
          <a:off x="1550356" y="0"/>
          <a:ext cx="737461" cy="66082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b" anchorCtr="0">
          <a:noAutofit/>
        </a:bodyPr>
        <a:lstStyle/>
        <a:p>
          <a:pPr lvl="0" algn="ctr" defTabSz="488950">
            <a:lnSpc>
              <a:spcPct val="90000"/>
            </a:lnSpc>
            <a:spcBef>
              <a:spcPct val="0"/>
            </a:spcBef>
            <a:spcAft>
              <a:spcPct val="35000"/>
            </a:spcAft>
          </a:pPr>
          <a:r>
            <a:rPr lang="en-US" sz="1100" kern="1200"/>
            <a:t>Year 2 ($20,000)</a:t>
          </a:r>
        </a:p>
      </dsp:txBody>
      <dsp:txXfrm>
        <a:off x="1550356" y="0"/>
        <a:ext cx="737461" cy="660826"/>
      </dsp:txXfrm>
    </dsp:sp>
    <dsp:sp modelId="{0CC988F2-B0D4-4242-8AF2-95008671B8B0}">
      <dsp:nvSpPr>
        <dsp:cNvPr id="0" name=""/>
        <dsp:cNvSpPr/>
      </dsp:nvSpPr>
      <dsp:spPr>
        <a:xfrm>
          <a:off x="1836484" y="743430"/>
          <a:ext cx="165206" cy="16520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D0EBA72-725E-4D7C-88E1-9E1962C63311}">
      <dsp:nvSpPr>
        <dsp:cNvPr id="0" name=""/>
        <dsp:cNvSpPr/>
      </dsp:nvSpPr>
      <dsp:spPr>
        <a:xfrm>
          <a:off x="2324691" y="991240"/>
          <a:ext cx="737461" cy="66082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t" anchorCtr="0">
          <a:noAutofit/>
        </a:bodyPr>
        <a:lstStyle/>
        <a:p>
          <a:pPr lvl="0" algn="ctr" defTabSz="488950">
            <a:lnSpc>
              <a:spcPct val="90000"/>
            </a:lnSpc>
            <a:spcBef>
              <a:spcPct val="0"/>
            </a:spcBef>
            <a:spcAft>
              <a:spcPct val="35000"/>
            </a:spcAft>
          </a:pPr>
          <a:r>
            <a:rPr lang="en-US" sz="1100" kern="1200"/>
            <a:t>Year 3 ($10,000)</a:t>
          </a:r>
        </a:p>
      </dsp:txBody>
      <dsp:txXfrm>
        <a:off x="2324691" y="991240"/>
        <a:ext cx="737461" cy="660826"/>
      </dsp:txXfrm>
    </dsp:sp>
    <dsp:sp modelId="{DBA51115-0B5C-41B5-81F4-0C9B975E077F}">
      <dsp:nvSpPr>
        <dsp:cNvPr id="0" name=""/>
        <dsp:cNvSpPr/>
      </dsp:nvSpPr>
      <dsp:spPr>
        <a:xfrm>
          <a:off x="2610819" y="743430"/>
          <a:ext cx="165206" cy="16520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8BA0BC2-9693-4E28-9E4B-094F7AA61E9F}">
      <dsp:nvSpPr>
        <dsp:cNvPr id="0" name=""/>
        <dsp:cNvSpPr/>
      </dsp:nvSpPr>
      <dsp:spPr>
        <a:xfrm>
          <a:off x="3099026" y="0"/>
          <a:ext cx="737461" cy="66082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b" anchorCtr="0">
          <a:noAutofit/>
        </a:bodyPr>
        <a:lstStyle/>
        <a:p>
          <a:pPr lvl="0" algn="ctr" defTabSz="488950">
            <a:lnSpc>
              <a:spcPct val="90000"/>
            </a:lnSpc>
            <a:spcBef>
              <a:spcPct val="0"/>
            </a:spcBef>
            <a:spcAft>
              <a:spcPct val="35000"/>
            </a:spcAft>
          </a:pPr>
          <a:r>
            <a:rPr lang="en-US" sz="1100" kern="1200"/>
            <a:t>Year 4 ($5,000)</a:t>
          </a:r>
        </a:p>
      </dsp:txBody>
      <dsp:txXfrm>
        <a:off x="3099026" y="0"/>
        <a:ext cx="737461" cy="660826"/>
      </dsp:txXfrm>
    </dsp:sp>
    <dsp:sp modelId="{F7F2FDC6-4D8A-48BE-A95D-1875FC45B2A7}">
      <dsp:nvSpPr>
        <dsp:cNvPr id="0" name=""/>
        <dsp:cNvSpPr/>
      </dsp:nvSpPr>
      <dsp:spPr>
        <a:xfrm>
          <a:off x="3385154" y="743430"/>
          <a:ext cx="165206" cy="16520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510DAB-B888-433A-8A6B-17D9767B008E}">
      <dsp:nvSpPr>
        <dsp:cNvPr id="0" name=""/>
        <dsp:cNvSpPr/>
      </dsp:nvSpPr>
      <dsp:spPr>
        <a:xfrm>
          <a:off x="0" y="297371"/>
          <a:ext cx="4264638" cy="396496"/>
        </a:xfrm>
        <a:prstGeom prst="notched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8FCF214-545A-4620-88DE-F38E2C4BE74B}">
      <dsp:nvSpPr>
        <dsp:cNvPr id="0" name=""/>
        <dsp:cNvSpPr/>
      </dsp:nvSpPr>
      <dsp:spPr>
        <a:xfrm>
          <a:off x="1874" y="0"/>
          <a:ext cx="1236911" cy="3964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b" anchorCtr="0">
          <a:noAutofit/>
        </a:bodyPr>
        <a:lstStyle/>
        <a:p>
          <a:pPr lvl="0" algn="ctr" defTabSz="533400">
            <a:lnSpc>
              <a:spcPct val="90000"/>
            </a:lnSpc>
            <a:spcBef>
              <a:spcPct val="0"/>
            </a:spcBef>
            <a:spcAft>
              <a:spcPct val="35000"/>
            </a:spcAft>
          </a:pPr>
          <a:r>
            <a:rPr lang="en-US" sz="1200" kern="1200"/>
            <a:t>Year 0 (-$100)</a:t>
          </a:r>
        </a:p>
      </dsp:txBody>
      <dsp:txXfrm>
        <a:off x="1874" y="0"/>
        <a:ext cx="1236911" cy="396496"/>
      </dsp:txXfrm>
    </dsp:sp>
    <dsp:sp modelId="{21FC9B58-C9A0-4FD1-950E-BD052ED16C1A}">
      <dsp:nvSpPr>
        <dsp:cNvPr id="0" name=""/>
        <dsp:cNvSpPr/>
      </dsp:nvSpPr>
      <dsp:spPr>
        <a:xfrm>
          <a:off x="570767" y="446058"/>
          <a:ext cx="99124" cy="9912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26ABD85-56EF-4B36-AF5C-87E28E35BC9D}">
      <dsp:nvSpPr>
        <dsp:cNvPr id="0" name=""/>
        <dsp:cNvSpPr/>
      </dsp:nvSpPr>
      <dsp:spPr>
        <a:xfrm>
          <a:off x="1300631" y="594743"/>
          <a:ext cx="1236911" cy="3964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t" anchorCtr="0">
          <a:noAutofit/>
        </a:bodyPr>
        <a:lstStyle/>
        <a:p>
          <a:pPr lvl="0" algn="ctr" defTabSz="533400">
            <a:lnSpc>
              <a:spcPct val="90000"/>
            </a:lnSpc>
            <a:spcBef>
              <a:spcPct val="0"/>
            </a:spcBef>
            <a:spcAft>
              <a:spcPct val="35000"/>
            </a:spcAft>
          </a:pPr>
          <a:r>
            <a:rPr lang="en-US" sz="1200" kern="1200"/>
            <a:t>Year 1 (+$60)</a:t>
          </a:r>
        </a:p>
      </dsp:txBody>
      <dsp:txXfrm>
        <a:off x="1300631" y="594743"/>
        <a:ext cx="1236911" cy="396496"/>
      </dsp:txXfrm>
    </dsp:sp>
    <dsp:sp modelId="{A78B0F33-71F0-4AFD-A6C4-F3657FF1332C}">
      <dsp:nvSpPr>
        <dsp:cNvPr id="0" name=""/>
        <dsp:cNvSpPr/>
      </dsp:nvSpPr>
      <dsp:spPr>
        <a:xfrm>
          <a:off x="1869525" y="446058"/>
          <a:ext cx="99124" cy="9912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FD75653-6E15-4DDC-93A6-0A500126C741}">
      <dsp:nvSpPr>
        <dsp:cNvPr id="0" name=""/>
        <dsp:cNvSpPr/>
      </dsp:nvSpPr>
      <dsp:spPr>
        <a:xfrm>
          <a:off x="2599388" y="0"/>
          <a:ext cx="1236911" cy="3964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b" anchorCtr="0">
          <a:noAutofit/>
        </a:bodyPr>
        <a:lstStyle/>
        <a:p>
          <a:pPr lvl="0" algn="ctr" defTabSz="533400">
            <a:lnSpc>
              <a:spcPct val="90000"/>
            </a:lnSpc>
            <a:spcBef>
              <a:spcPct val="0"/>
            </a:spcBef>
            <a:spcAft>
              <a:spcPct val="35000"/>
            </a:spcAft>
          </a:pPr>
          <a:r>
            <a:rPr lang="en-US" sz="1200" kern="1200"/>
            <a:t>Year 2 (+$60)</a:t>
          </a:r>
        </a:p>
      </dsp:txBody>
      <dsp:txXfrm>
        <a:off x="2599388" y="0"/>
        <a:ext cx="1236911" cy="396496"/>
      </dsp:txXfrm>
    </dsp:sp>
    <dsp:sp modelId="{0CC988F2-B0D4-4242-8AF2-95008671B8B0}">
      <dsp:nvSpPr>
        <dsp:cNvPr id="0" name=""/>
        <dsp:cNvSpPr/>
      </dsp:nvSpPr>
      <dsp:spPr>
        <a:xfrm>
          <a:off x="3168282" y="446058"/>
          <a:ext cx="99124" cy="9912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510DAB-B888-433A-8A6B-17D9767B008E}">
      <dsp:nvSpPr>
        <dsp:cNvPr id="0" name=""/>
        <dsp:cNvSpPr/>
      </dsp:nvSpPr>
      <dsp:spPr>
        <a:xfrm>
          <a:off x="0" y="297371"/>
          <a:ext cx="4264638" cy="396496"/>
        </a:xfrm>
        <a:prstGeom prst="notched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8FCF214-545A-4620-88DE-F38E2C4BE74B}">
      <dsp:nvSpPr>
        <dsp:cNvPr id="0" name=""/>
        <dsp:cNvSpPr/>
      </dsp:nvSpPr>
      <dsp:spPr>
        <a:xfrm>
          <a:off x="1874" y="0"/>
          <a:ext cx="1236911" cy="3964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b" anchorCtr="0">
          <a:noAutofit/>
        </a:bodyPr>
        <a:lstStyle/>
        <a:p>
          <a:pPr lvl="0" algn="ctr" defTabSz="533400">
            <a:lnSpc>
              <a:spcPct val="90000"/>
            </a:lnSpc>
            <a:spcBef>
              <a:spcPct val="0"/>
            </a:spcBef>
            <a:spcAft>
              <a:spcPct val="35000"/>
            </a:spcAft>
          </a:pPr>
          <a:r>
            <a:rPr lang="en-US" sz="1200" kern="1200"/>
            <a:t>Year 0 (-$60)</a:t>
          </a:r>
        </a:p>
      </dsp:txBody>
      <dsp:txXfrm>
        <a:off x="1874" y="0"/>
        <a:ext cx="1236911" cy="396496"/>
      </dsp:txXfrm>
    </dsp:sp>
    <dsp:sp modelId="{21FC9B58-C9A0-4FD1-950E-BD052ED16C1A}">
      <dsp:nvSpPr>
        <dsp:cNvPr id="0" name=""/>
        <dsp:cNvSpPr/>
      </dsp:nvSpPr>
      <dsp:spPr>
        <a:xfrm>
          <a:off x="570767" y="446058"/>
          <a:ext cx="99124" cy="9912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26ABD85-56EF-4B36-AF5C-87E28E35BC9D}">
      <dsp:nvSpPr>
        <dsp:cNvPr id="0" name=""/>
        <dsp:cNvSpPr/>
      </dsp:nvSpPr>
      <dsp:spPr>
        <a:xfrm>
          <a:off x="1300631" y="594743"/>
          <a:ext cx="1236911" cy="3964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t" anchorCtr="0">
          <a:noAutofit/>
        </a:bodyPr>
        <a:lstStyle/>
        <a:p>
          <a:pPr lvl="0" algn="ctr" defTabSz="533400">
            <a:lnSpc>
              <a:spcPct val="90000"/>
            </a:lnSpc>
            <a:spcBef>
              <a:spcPct val="0"/>
            </a:spcBef>
            <a:spcAft>
              <a:spcPct val="35000"/>
            </a:spcAft>
          </a:pPr>
          <a:r>
            <a:rPr lang="en-US" sz="1200" kern="1200"/>
            <a:t>Year 1 (+$155)</a:t>
          </a:r>
        </a:p>
      </dsp:txBody>
      <dsp:txXfrm>
        <a:off x="1300631" y="594743"/>
        <a:ext cx="1236911" cy="396496"/>
      </dsp:txXfrm>
    </dsp:sp>
    <dsp:sp modelId="{A78B0F33-71F0-4AFD-A6C4-F3657FF1332C}">
      <dsp:nvSpPr>
        <dsp:cNvPr id="0" name=""/>
        <dsp:cNvSpPr/>
      </dsp:nvSpPr>
      <dsp:spPr>
        <a:xfrm>
          <a:off x="1869525" y="446058"/>
          <a:ext cx="99124" cy="9912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FD75653-6E15-4DDC-93A6-0A500126C741}">
      <dsp:nvSpPr>
        <dsp:cNvPr id="0" name=""/>
        <dsp:cNvSpPr/>
      </dsp:nvSpPr>
      <dsp:spPr>
        <a:xfrm>
          <a:off x="2599388" y="0"/>
          <a:ext cx="1236911" cy="3964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b" anchorCtr="0">
          <a:noAutofit/>
        </a:bodyPr>
        <a:lstStyle/>
        <a:p>
          <a:pPr lvl="0" algn="ctr" defTabSz="533400">
            <a:lnSpc>
              <a:spcPct val="90000"/>
            </a:lnSpc>
            <a:spcBef>
              <a:spcPct val="0"/>
            </a:spcBef>
            <a:spcAft>
              <a:spcPct val="35000"/>
            </a:spcAft>
          </a:pPr>
          <a:r>
            <a:rPr lang="en-US" sz="1200" kern="1200"/>
            <a:t>Year 2 (-$100)</a:t>
          </a:r>
        </a:p>
      </dsp:txBody>
      <dsp:txXfrm>
        <a:off x="2599388" y="0"/>
        <a:ext cx="1236911" cy="396496"/>
      </dsp:txXfrm>
    </dsp:sp>
    <dsp:sp modelId="{0CC988F2-B0D4-4242-8AF2-95008671B8B0}">
      <dsp:nvSpPr>
        <dsp:cNvPr id="0" name=""/>
        <dsp:cNvSpPr/>
      </dsp:nvSpPr>
      <dsp:spPr>
        <a:xfrm>
          <a:off x="3168282" y="446058"/>
          <a:ext cx="99124" cy="9912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hProcess11">
  <dgm:title val=""/>
  <dgm:desc val=""/>
  <dgm:catLst>
    <dgm:cat type="process" pri="8000"/>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Vert" val="b"/>
                  <dgm:param type="txAnchorVertCh" val="b"/>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Vert" val="t"/>
                  <dgm:param type="txAnchorVertCh" val="t"/>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hProcess11">
  <dgm:title val=""/>
  <dgm:desc val=""/>
  <dgm:catLst>
    <dgm:cat type="process" pri="8000"/>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Vert" val="b"/>
                  <dgm:param type="txAnchorVertCh" val="b"/>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Vert" val="t"/>
                  <dgm:param type="txAnchorVertCh" val="t"/>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hProcess11">
  <dgm:title val=""/>
  <dgm:desc val=""/>
  <dgm:catLst>
    <dgm:cat type="process" pri="8000"/>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Vert" val="b"/>
                  <dgm:param type="txAnchorVertCh" val="b"/>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Vert" val="t"/>
                  <dgm:param type="txAnchorVertCh" val="t"/>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92F2F0-8E79-488B-8BD4-EF3C3488F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2083</TotalTime>
  <Pages>1</Pages>
  <Words>6404</Words>
  <Characters>36503</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Domes</dc:creator>
  <cp:lastModifiedBy>Andrea Domes</cp:lastModifiedBy>
  <cp:revision>12</cp:revision>
  <dcterms:created xsi:type="dcterms:W3CDTF">2014-10-18T18:25:00Z</dcterms:created>
  <dcterms:modified xsi:type="dcterms:W3CDTF">2014-11-17T21:37:00Z</dcterms:modified>
</cp:coreProperties>
</file>