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jc w:val="center"/>
        <w:rPr/>
      </w:pPr>
      <w:r w:rsidDel="00000000" w:rsidR="00000000" w:rsidRPr="00000000">
        <w:rPr>
          <w:rtl w:val="0"/>
        </w:rPr>
        <w:t xml:space="preserve">Experiment #5: Preparation of Benzoic Acid using a Grignard Reagent</w:t>
      </w:r>
    </w:p>
    <w:p w:rsidR="00000000" w:rsidDel="00000000" w:rsidP="00000000" w:rsidRDefault="00000000" w:rsidRPr="00000000">
      <w:pPr>
        <w:pBdr/>
        <w:contextualSpacing w:val="0"/>
        <w:jc w:val="center"/>
        <w:rPr/>
      </w:pPr>
      <w:r w:rsidDel="00000000" w:rsidR="00000000" w:rsidRPr="00000000">
        <w:rPr>
          <w:rtl w:val="0"/>
        </w:rPr>
        <w:t xml:space="preserve">Olivia Westland</w:t>
      </w:r>
    </w:p>
    <w:p w:rsidR="00000000" w:rsidDel="00000000" w:rsidP="00000000" w:rsidRDefault="00000000" w:rsidRPr="00000000">
      <w:pPr>
        <w:pBdr/>
        <w:contextualSpacing w:val="0"/>
        <w:jc w:val="center"/>
        <w:rPr/>
      </w:pPr>
      <w:r w:rsidDel="00000000" w:rsidR="00000000" w:rsidRPr="00000000">
        <w:rPr>
          <w:rtl w:val="0"/>
        </w:rPr>
        <w:t xml:space="preserve">8221961</w:t>
      </w:r>
    </w:p>
    <w:p w:rsidR="00000000" w:rsidDel="00000000" w:rsidP="00000000" w:rsidRDefault="00000000" w:rsidRPr="00000000">
      <w:pPr>
        <w:pBdr/>
        <w:contextualSpacing w:val="0"/>
        <w:jc w:val="center"/>
        <w:rPr/>
      </w:pPr>
      <w:r w:rsidDel="00000000" w:rsidR="00000000" w:rsidRPr="00000000">
        <w:rPr>
          <w:rtl w:val="0"/>
        </w:rPr>
        <w:t xml:space="preserve">CHM 1321 A8</w:t>
      </w:r>
    </w:p>
    <w:p w:rsidR="00000000" w:rsidDel="00000000" w:rsidP="00000000" w:rsidRDefault="00000000" w:rsidRPr="00000000">
      <w:pPr>
        <w:pBdr/>
        <w:contextualSpacing w:val="0"/>
        <w:jc w:val="center"/>
        <w:rPr/>
      </w:pPr>
      <w:r w:rsidDel="00000000" w:rsidR="00000000" w:rsidRPr="00000000">
        <w:rPr>
          <w:rtl w:val="0"/>
        </w:rPr>
        <w:t xml:space="preserve">Partners: Emilee Wickham and Troy Martin</w:t>
      </w:r>
    </w:p>
    <w:p w:rsidR="00000000" w:rsidDel="00000000" w:rsidP="00000000" w:rsidRDefault="00000000" w:rsidRPr="00000000">
      <w:pPr>
        <w:pBdr/>
        <w:contextualSpacing w:val="0"/>
        <w:jc w:val="center"/>
        <w:rPr/>
      </w:pPr>
      <w:r w:rsidDel="00000000" w:rsidR="00000000" w:rsidRPr="00000000">
        <w:rPr>
          <w:rtl w:val="0"/>
        </w:rPr>
        <w:t xml:space="preserve">Thursday, March 30, 2017</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Observations:</w:t>
      </w:r>
    </w:p>
    <w:p w:rsidR="00000000" w:rsidDel="00000000" w:rsidP="00000000" w:rsidRDefault="00000000" w:rsidRPr="00000000">
      <w:pPr>
        <w:pBdr/>
        <w:contextualSpacing w:val="0"/>
        <w:rPr/>
      </w:pPr>
      <w:r w:rsidDel="00000000" w:rsidR="00000000" w:rsidRPr="00000000">
        <w:rPr>
          <w:rtl w:val="0"/>
        </w:rPr>
        <w:t xml:space="preserve">See raw data attached below for sketches of TLC plates</w:t>
      </w:r>
    </w:p>
    <w:p w:rsidR="00000000" w:rsidDel="00000000" w:rsidP="00000000" w:rsidRDefault="00000000" w:rsidRPr="00000000">
      <w:pPr>
        <w:pBdr/>
        <w:contextualSpacing w:val="0"/>
        <w:rPr/>
      </w:pPr>
      <w:r w:rsidDel="00000000" w:rsidR="00000000" w:rsidRPr="00000000">
        <w:rPr>
          <w:rtl w:val="0"/>
        </w:rPr>
        <w:t xml:space="preserve">TLC 1</w:t>
      </w:r>
    </w:p>
    <w:tbl>
      <w:tblPr>
        <w:tblStyle w:val="Table1"/>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Compound</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Rf value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Reference: bromobenzene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Spot not visible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Co-spot</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0.9;3.0</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Sample: organic layer</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pPr>
            <w:r w:rsidDel="00000000" w:rsidR="00000000" w:rsidRPr="00000000">
              <w:rPr>
                <w:rtl w:val="0"/>
              </w:rPr>
              <w:t xml:space="preserve">0.9; 3.0</w:t>
            </w:r>
          </w:p>
        </w:tc>
      </w:tr>
    </w:tbl>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TLC 2</w:t>
      </w:r>
    </w:p>
    <w:tbl>
      <w:tblPr>
        <w:tblStyle w:val="Table2"/>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Compound</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Rf value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Reference: bromobenzene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3.5</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Co-spot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0; 3.5</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Sample: precipitate product</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0</w:t>
            </w:r>
          </w:p>
        </w:tc>
      </w:tr>
    </w:tbl>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Calculations for percent yield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Mol bromobenzene = (3.0 mL)(1.5 g/mL)(1 mol/157.01g)</w:t>
      </w:r>
    </w:p>
    <w:p w:rsidR="00000000" w:rsidDel="00000000" w:rsidP="00000000" w:rsidRDefault="00000000" w:rsidRPr="00000000">
      <w:pPr>
        <w:pBdr/>
        <w:contextualSpacing w:val="0"/>
        <w:rPr/>
      </w:pPr>
      <w:r w:rsidDel="00000000" w:rsidR="00000000" w:rsidRPr="00000000">
        <w:rPr>
          <w:rtl w:val="0"/>
        </w:rPr>
        <w:tab/>
        <w:tab/>
        <w:t xml:space="preserve">        = 0.0287 mol</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Molar mass of benzoic acid: 122.22 g/mol</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theoretical yield: 0.0287 mol x 122.22 g/mol = 3.50 g</w:t>
      </w:r>
    </w:p>
    <w:p w:rsidR="00000000" w:rsidDel="00000000" w:rsidP="00000000" w:rsidRDefault="00000000" w:rsidRPr="00000000">
      <w:pPr>
        <w:pBdr/>
        <w:contextualSpacing w:val="0"/>
        <w:rPr/>
      </w:pPr>
      <w:r w:rsidDel="00000000" w:rsidR="00000000" w:rsidRPr="00000000">
        <w:rPr>
          <w:rtl w:val="0"/>
        </w:rPr>
        <w:t xml:space="preserve">Experimental yield: 0.44 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 yield: 0.44 g / 3.5 g x 100 = 12.6%</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Discussion:</w:t>
      </w:r>
    </w:p>
    <w:p w:rsidR="00000000" w:rsidDel="00000000" w:rsidP="00000000" w:rsidRDefault="00000000" w:rsidRPr="00000000">
      <w:pPr>
        <w:pBdr/>
        <w:contextualSpacing w:val="0"/>
        <w:rPr/>
      </w:pPr>
      <w:r w:rsidDel="00000000" w:rsidR="00000000" w:rsidRPr="00000000">
        <w:rPr>
          <w:rtl w:val="0"/>
        </w:rPr>
        <w:tab/>
        <w:t xml:space="preserve">To start off this experiment, all the equipment to be used was washed, dried, and then placed in the oven so that any residual water would be completely removed from the glassware before starting the experiment. This was to prevent the reaction of water with the Grignard reagent, which causes the protonation of the latter. Protonation interferes with the production of a magnesium intermediate so it is critical that water does not enter the system. The apparatus was assembled immediately after removing the glassware from the oven, as allowing the parts to cool exposes them to water vapour in the air. The drying tube was quickly filled with CaCl</w:t>
      </w:r>
      <w:r w:rsidDel="00000000" w:rsidR="00000000" w:rsidRPr="00000000">
        <w:rPr>
          <w:vertAlign w:val="subscript"/>
          <w:rtl w:val="0"/>
        </w:rPr>
        <w:t xml:space="preserve">2</w:t>
      </w:r>
      <w:r w:rsidDel="00000000" w:rsidR="00000000" w:rsidRPr="00000000">
        <w:rPr>
          <w:rtl w:val="0"/>
        </w:rPr>
        <w:t xml:space="preserve"> and sealed with cotton balls to further prevent water contamination, as CaCl</w:t>
      </w:r>
      <w:r w:rsidDel="00000000" w:rsidR="00000000" w:rsidRPr="00000000">
        <w:rPr>
          <w:vertAlign w:val="subscript"/>
          <w:rtl w:val="0"/>
        </w:rPr>
        <w:t xml:space="preserve">2 </w:t>
      </w:r>
      <w:r w:rsidDel="00000000" w:rsidR="00000000" w:rsidRPr="00000000">
        <w:rPr>
          <w:rtl w:val="0"/>
        </w:rPr>
        <w:t xml:space="preserve">absorbs any water that may enter the system. Next, the Grignard Reagent was prepared by adding magnesium turnings to iodine. The iodine crystals oxidize the magnesium so that it is in its positively charged ionic form and is able to bond to an R group to form the desired Grignard reagent. Anhydrous diethyl ether dissolved in bromobenzene is used as the solvent for this reaction because this particular anhydrous ether is the most commonly used for Grignard reactions. When the half of bromobenzene solution is mixed with the magnesium-iodine solution,the materials form a reddish-brown mixture. As the iodine degrades the oxide layer on the magnesium and begins to react to form MgI</w:t>
      </w:r>
      <w:r w:rsidDel="00000000" w:rsidR="00000000" w:rsidRPr="00000000">
        <w:rPr>
          <w:vertAlign w:val="subscript"/>
          <w:rtl w:val="0"/>
        </w:rPr>
        <w:t xml:space="preserve">2</w:t>
      </w:r>
      <w:r w:rsidDel="00000000" w:rsidR="00000000" w:rsidRPr="00000000">
        <w:rPr>
          <w:rtl w:val="0"/>
        </w:rPr>
        <w:t xml:space="preserve">, the reddish colour of the solution fades. When the reaction starts to boil, the remaining bromobenzene solution was added. The bromobenzene is added in two parts because it causes a highly exothermic reaction (hence the boiling) and adding it in two portions limits the amount of heat produced so that side reactions do not occur. Closer to the end of the reaction, placing the solution in a hot water bath ensures the reaction goes to completion to form phenylmagnesium bromide in diethyl ether. When the dry ice is added, it causes the carbon dioxide from the ice to react with the carbonyl functional group of the Grignard reagent. The addition of this extra carbon causes the formation of a carboxyl group and a pi bond. </w:t>
      </w:r>
    </w:p>
    <w:p w:rsidR="00000000" w:rsidDel="00000000" w:rsidP="00000000" w:rsidRDefault="00000000" w:rsidRPr="00000000">
      <w:pPr>
        <w:pBdr/>
        <w:contextualSpacing w:val="0"/>
        <w:rPr/>
      </w:pPr>
      <w:r w:rsidDel="00000000" w:rsidR="00000000" w:rsidRPr="00000000">
        <w:rPr>
          <w:rtl w:val="0"/>
        </w:rPr>
        <w:tab/>
        <w:t xml:space="preserve">Next, the benzoic acid had to be isolated, so HCl was added. The HCl protonates any oxygen in the solution. Water ice was added to cool down the system. Diethyl ether is used to remove any anhydrous ether from the aqueous layer. The aqueous and organic layers were extracted, and the aqueous layer was extracted again with 10% NaOH which neutralizes the acidity of the solution.The aqueous solution was allowed to cool and the crystals that formed were dried and weighed. The melting point of the crystal product was observed to be 114 degrees Celsius. Our yield in this experiment was very low due to the possibility of water entering the system and reducing the magnesium intermediate formed.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Questions: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Anhydrous ether was used instead of aqueous ether because water will protonate the Grignard reagent and kill the Grignard reaction.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A hot water bath was used to heat the solution rather than a hot plate because anhydrous ether is highly flammable and there is a danger with the electric hot plate being in such proximity to the anhydrous ether.</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Dry ice is solid carbon dioxide which remains solid below 78 degrees Celsius.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Dry ice must be freshly obtained or the carbon dioxide will sublime (melt) and water would thus be present in the reaction.</w:t>
      </w:r>
    </w:p>
    <w:p w:rsidR="00000000" w:rsidDel="00000000" w:rsidP="00000000" w:rsidRDefault="00000000" w:rsidRPr="00000000">
      <w:pPr>
        <w:pBdr/>
        <w:contextualSpacing w:val="0"/>
        <w:rPr/>
      </w:pPr>
      <w:r w:rsidDel="00000000" w:rsidR="00000000" w:rsidRPr="00000000">
        <w:drawing>
          <wp:inline distB="114300" distT="114300" distL="114300" distR="114300">
            <wp:extent cx="5943600" cy="7924800"/>
            <wp:effectExtent b="0" l="0" r="0" t="0"/>
            <wp:docPr descr="image1.JPG" id="2" name="image03.jpg"/>
            <a:graphic>
              <a:graphicData uri="http://schemas.openxmlformats.org/drawingml/2006/picture">
                <pic:pic>
                  <pic:nvPicPr>
                    <pic:cNvPr descr="image1.JPG" id="0" name="image03.jpg"/>
                    <pic:cNvPicPr preferRelativeResize="0"/>
                  </pic:nvPicPr>
                  <pic:blipFill>
                    <a:blip r:embed="rId5"/>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pPr>
        <w:pBdr/>
        <w:contextualSpacing w:val="0"/>
        <w:rPr/>
      </w:pPr>
      <w:r w:rsidDel="00000000" w:rsidR="00000000" w:rsidRPr="00000000">
        <w:drawing>
          <wp:inline distB="114300" distT="114300" distL="114300" distR="114300">
            <wp:extent cx="5943600" cy="7924800"/>
            <wp:effectExtent b="0" l="0" r="0" t="0"/>
            <wp:docPr descr="image2.JPG" id="1" name="image01.jpg"/>
            <a:graphic>
              <a:graphicData uri="http://schemas.openxmlformats.org/drawingml/2006/picture">
                <pic:pic>
                  <pic:nvPicPr>
                    <pic:cNvPr descr="image2.JPG" id="0" name="image01.jpg"/>
                    <pic:cNvPicPr preferRelativeResize="0"/>
                  </pic:nvPicPr>
                  <pic:blipFill>
                    <a:blip r:embed="rId6"/>
                    <a:srcRect b="0" l="0" r="0" t="0"/>
                    <a:stretch>
                      <a:fillRect/>
                    </a:stretch>
                  </pic:blipFill>
                  <pic:spPr>
                    <a:xfrm>
                      <a:off x="0" y="0"/>
                      <a:ext cx="5943600" cy="7924800"/>
                    </a:xfrm>
                    <a:prstGeom prst="rect"/>
                    <a:ln/>
                  </pic:spPr>
                </pic:pic>
              </a:graphicData>
            </a:graphic>
          </wp:inline>
        </w:drawing>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3.jpg"/><Relationship Id="rId6" Type="http://schemas.openxmlformats.org/officeDocument/2006/relationships/image" Target="media/image01.jpg"/></Relationships>
</file>