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drawings/drawing1.xml" ContentType="application/vnd.openxmlformats-officedocument.drawingml.chartshap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3A43" w:rsidRDefault="00FC3A43" w:rsidP="00FC3A43">
      <w:pPr>
        <w:autoSpaceDE w:val="0"/>
        <w:autoSpaceDN w:val="0"/>
        <w:adjustRightInd w:val="0"/>
        <w:spacing w:after="0" w:line="240" w:lineRule="auto"/>
        <w:jc w:val="center"/>
        <w:rPr>
          <w:rFonts w:asciiTheme="majorHAnsi" w:hAnsiTheme="majorHAnsi" w:cs="Palatino-Roman"/>
          <w:b/>
          <w:sz w:val="24"/>
          <w:szCs w:val="24"/>
        </w:rPr>
      </w:pPr>
    </w:p>
    <w:p w:rsidR="00FC3A43" w:rsidRDefault="00FC3A43" w:rsidP="00FC3A43">
      <w:pPr>
        <w:autoSpaceDE w:val="0"/>
        <w:autoSpaceDN w:val="0"/>
        <w:adjustRightInd w:val="0"/>
        <w:spacing w:after="0" w:line="240" w:lineRule="auto"/>
        <w:jc w:val="center"/>
        <w:rPr>
          <w:rFonts w:asciiTheme="majorHAnsi" w:hAnsiTheme="majorHAnsi" w:cs="Palatino-Roman"/>
          <w:b/>
          <w:sz w:val="24"/>
          <w:szCs w:val="24"/>
        </w:rPr>
      </w:pPr>
    </w:p>
    <w:p w:rsidR="00FC3A43" w:rsidRPr="00FC3A43" w:rsidRDefault="00FC3A43" w:rsidP="00FC3A43">
      <w:pPr>
        <w:autoSpaceDE w:val="0"/>
        <w:autoSpaceDN w:val="0"/>
        <w:adjustRightInd w:val="0"/>
        <w:spacing w:after="0" w:line="240" w:lineRule="auto"/>
        <w:jc w:val="center"/>
        <w:rPr>
          <w:rFonts w:asciiTheme="majorHAnsi" w:hAnsiTheme="majorHAnsi" w:cs="Palatino-Roman"/>
          <w:b/>
          <w:sz w:val="24"/>
          <w:szCs w:val="24"/>
        </w:rPr>
      </w:pPr>
      <w:r w:rsidRPr="00FC3A43">
        <w:rPr>
          <w:rFonts w:asciiTheme="majorHAnsi" w:hAnsiTheme="majorHAnsi" w:cs="Palatino-Roman"/>
          <w:b/>
          <w:sz w:val="24"/>
          <w:szCs w:val="24"/>
        </w:rPr>
        <w:t>Introduction to Money and Banking</w:t>
      </w:r>
    </w:p>
    <w:p w:rsidR="00FC3A43" w:rsidRPr="00FC3A43" w:rsidRDefault="00FC3A43" w:rsidP="00FC3A43">
      <w:pPr>
        <w:autoSpaceDE w:val="0"/>
        <w:autoSpaceDN w:val="0"/>
        <w:adjustRightInd w:val="0"/>
        <w:spacing w:after="0" w:line="240" w:lineRule="auto"/>
        <w:jc w:val="center"/>
        <w:rPr>
          <w:rFonts w:asciiTheme="majorHAnsi" w:hAnsiTheme="majorHAnsi" w:cs="Palatino-Roman"/>
          <w:b/>
          <w:sz w:val="24"/>
          <w:szCs w:val="24"/>
        </w:rPr>
      </w:pPr>
      <w:r w:rsidRPr="00FC3A43">
        <w:rPr>
          <w:rFonts w:asciiTheme="majorHAnsi" w:hAnsiTheme="majorHAnsi" w:cs="Palatino-Roman"/>
          <w:b/>
          <w:sz w:val="24"/>
          <w:szCs w:val="24"/>
        </w:rPr>
        <w:t xml:space="preserve">Instructor: Marc </w:t>
      </w:r>
      <w:proofErr w:type="spellStart"/>
      <w:r w:rsidRPr="00FC3A43">
        <w:rPr>
          <w:rFonts w:asciiTheme="majorHAnsi" w:hAnsiTheme="majorHAnsi" w:cs="Palatino-Roman"/>
          <w:b/>
          <w:sz w:val="24"/>
          <w:szCs w:val="24"/>
        </w:rPr>
        <w:t>Prud’Homme</w:t>
      </w:r>
      <w:proofErr w:type="spellEnd"/>
    </w:p>
    <w:p w:rsidR="00FC3A43" w:rsidRPr="00FC3A43" w:rsidRDefault="00FC3A43" w:rsidP="00FC3A43">
      <w:pPr>
        <w:autoSpaceDE w:val="0"/>
        <w:autoSpaceDN w:val="0"/>
        <w:adjustRightInd w:val="0"/>
        <w:spacing w:after="0" w:line="240" w:lineRule="auto"/>
        <w:jc w:val="center"/>
        <w:rPr>
          <w:rFonts w:asciiTheme="majorHAnsi" w:hAnsiTheme="majorHAnsi" w:cs="Palatino-Roman"/>
          <w:b/>
          <w:sz w:val="24"/>
          <w:szCs w:val="24"/>
        </w:rPr>
      </w:pPr>
      <w:r w:rsidRPr="00FC3A43">
        <w:rPr>
          <w:rFonts w:asciiTheme="majorHAnsi" w:hAnsiTheme="majorHAnsi" w:cs="Palatino-Roman"/>
          <w:b/>
          <w:sz w:val="24"/>
          <w:szCs w:val="24"/>
        </w:rPr>
        <w:t>2010</w:t>
      </w:r>
    </w:p>
    <w:p w:rsidR="00FC3A43" w:rsidRPr="00FC3A43" w:rsidRDefault="00FC3A43" w:rsidP="00FC3A43">
      <w:pPr>
        <w:autoSpaceDE w:val="0"/>
        <w:autoSpaceDN w:val="0"/>
        <w:adjustRightInd w:val="0"/>
        <w:spacing w:after="0" w:line="240" w:lineRule="auto"/>
        <w:jc w:val="center"/>
        <w:rPr>
          <w:rFonts w:asciiTheme="majorHAnsi" w:hAnsiTheme="majorHAnsi" w:cs="Palatino-Roman"/>
          <w:b/>
          <w:sz w:val="24"/>
          <w:szCs w:val="24"/>
        </w:rPr>
      </w:pPr>
      <w:r w:rsidRPr="00FC3A43">
        <w:rPr>
          <w:rFonts w:asciiTheme="majorHAnsi" w:hAnsiTheme="majorHAnsi" w:cs="Palatino-Roman"/>
          <w:b/>
          <w:sz w:val="24"/>
          <w:szCs w:val="24"/>
        </w:rPr>
        <w:t>ECO 2115</w:t>
      </w:r>
    </w:p>
    <w:p w:rsidR="00A318E3" w:rsidRDefault="00FC3A43" w:rsidP="00A318E3">
      <w:pPr>
        <w:jc w:val="center"/>
      </w:pPr>
      <w:r w:rsidRPr="00FC3A43">
        <w:rPr>
          <w:rFonts w:asciiTheme="majorHAnsi" w:hAnsiTheme="majorHAnsi" w:cs="Palatino-Roman"/>
          <w:b/>
          <w:sz w:val="24"/>
          <w:szCs w:val="24"/>
        </w:rPr>
        <w:t>Assignment 2</w:t>
      </w:r>
    </w:p>
    <w:p w:rsidR="00FC3A43" w:rsidRDefault="00FC3A43" w:rsidP="00FC3A43">
      <w:pPr>
        <w:jc w:val="center"/>
      </w:pPr>
      <w:r>
        <w:br w:type="page"/>
      </w:r>
    </w:p>
    <w:p w:rsidR="003778B4" w:rsidRDefault="00CA3DE8">
      <w:proofErr w:type="gramStart"/>
      <w:r>
        <w:lastRenderedPageBreak/>
        <w:t>1.</w:t>
      </w:r>
      <w:r w:rsidR="003778B4">
        <w:t>a</w:t>
      </w:r>
      <w:proofErr w:type="gramEnd"/>
      <w:r w:rsidR="003778B4">
        <w:t xml:space="preserve">) </w:t>
      </w:r>
    </w:p>
    <w:tbl>
      <w:tblPr>
        <w:tblW w:w="8960" w:type="dxa"/>
        <w:tblInd w:w="98" w:type="dxa"/>
        <w:tblLook w:val="04A0"/>
      </w:tblPr>
      <w:tblGrid>
        <w:gridCol w:w="1420"/>
        <w:gridCol w:w="1885"/>
        <w:gridCol w:w="1885"/>
        <w:gridCol w:w="1885"/>
        <w:gridCol w:w="1885"/>
      </w:tblGrid>
      <w:tr w:rsidR="003778B4" w:rsidRPr="003778B4" w:rsidTr="003778B4">
        <w:trPr>
          <w:trHeight w:val="396"/>
        </w:trPr>
        <w:tc>
          <w:tcPr>
            <w:tcW w:w="1420" w:type="dxa"/>
            <w:vMerge w:val="restart"/>
            <w:tcBorders>
              <w:top w:val="nil"/>
              <w:left w:val="nil"/>
              <w:bottom w:val="nil"/>
              <w:right w:val="nil"/>
            </w:tcBorders>
            <w:shd w:val="clear" w:color="auto" w:fill="auto"/>
            <w:vAlign w:val="bottom"/>
            <w:hideMark/>
          </w:tcPr>
          <w:p w:rsidR="003778B4" w:rsidRPr="003778B4" w:rsidRDefault="003778B4" w:rsidP="003778B4">
            <w:pPr>
              <w:spacing w:after="0" w:line="240" w:lineRule="auto"/>
              <w:jc w:val="center"/>
              <w:rPr>
                <w:rFonts w:ascii="Verdana" w:eastAsia="Times New Roman" w:hAnsi="Verdana" w:cs="Times New Roman"/>
                <w:lang w:eastAsia="en-GB"/>
              </w:rPr>
            </w:pPr>
            <w:r w:rsidRPr="003778B4">
              <w:rPr>
                <w:rFonts w:ascii="Verdana" w:eastAsia="Times New Roman" w:hAnsi="Verdana" w:cs="Times New Roman"/>
                <w:lang w:eastAsia="en-GB"/>
              </w:rPr>
              <w:t xml:space="preserve">Interest rate </w:t>
            </w:r>
          </w:p>
        </w:tc>
        <w:tc>
          <w:tcPr>
            <w:tcW w:w="7540" w:type="dxa"/>
            <w:gridSpan w:val="4"/>
            <w:tcBorders>
              <w:top w:val="nil"/>
              <w:left w:val="nil"/>
              <w:bottom w:val="single" w:sz="4" w:space="0" w:color="auto"/>
              <w:right w:val="nil"/>
            </w:tcBorders>
            <w:shd w:val="clear" w:color="auto" w:fill="auto"/>
            <w:noWrap/>
            <w:vAlign w:val="bottom"/>
            <w:hideMark/>
          </w:tcPr>
          <w:p w:rsidR="003778B4" w:rsidRPr="003778B4" w:rsidRDefault="003778B4" w:rsidP="003778B4">
            <w:pPr>
              <w:spacing w:after="0" w:line="240" w:lineRule="auto"/>
              <w:jc w:val="center"/>
              <w:rPr>
                <w:rFonts w:ascii="Verdana" w:eastAsia="Times New Roman" w:hAnsi="Verdana" w:cs="Times New Roman"/>
                <w:lang w:eastAsia="en-GB"/>
              </w:rPr>
            </w:pPr>
            <w:r w:rsidRPr="003778B4">
              <w:rPr>
                <w:rFonts w:ascii="Verdana" w:eastAsia="Times New Roman" w:hAnsi="Verdana" w:cs="Times New Roman"/>
                <w:lang w:eastAsia="en-GB"/>
              </w:rPr>
              <w:t>Payment due in XX years</w:t>
            </w:r>
          </w:p>
        </w:tc>
      </w:tr>
      <w:tr w:rsidR="003778B4" w:rsidRPr="003778B4" w:rsidTr="003778B4">
        <w:trPr>
          <w:trHeight w:val="396"/>
        </w:trPr>
        <w:tc>
          <w:tcPr>
            <w:tcW w:w="1420" w:type="dxa"/>
            <w:vMerge/>
            <w:tcBorders>
              <w:top w:val="nil"/>
              <w:left w:val="nil"/>
              <w:bottom w:val="nil"/>
              <w:right w:val="nil"/>
            </w:tcBorders>
            <w:vAlign w:val="center"/>
            <w:hideMark/>
          </w:tcPr>
          <w:p w:rsidR="003778B4" w:rsidRPr="003778B4" w:rsidRDefault="003778B4" w:rsidP="003778B4">
            <w:pPr>
              <w:spacing w:after="0" w:line="240" w:lineRule="auto"/>
              <w:rPr>
                <w:rFonts w:ascii="Verdana" w:eastAsia="Times New Roman" w:hAnsi="Verdana" w:cs="Times New Roman"/>
                <w:lang w:eastAsia="en-GB"/>
              </w:rPr>
            </w:pP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rPr>
                <w:rFonts w:ascii="Verdana" w:eastAsia="Times New Roman" w:hAnsi="Verdana" w:cs="Times New Roman"/>
                <w:lang w:eastAsia="en-GB"/>
              </w:rPr>
            </w:pP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rPr>
                <w:rFonts w:ascii="Verdana" w:eastAsia="Times New Roman" w:hAnsi="Verdana" w:cs="Times New Roman"/>
                <w:lang w:eastAsia="en-GB"/>
              </w:rPr>
            </w:pP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rPr>
                <w:rFonts w:ascii="Verdana" w:eastAsia="Times New Roman" w:hAnsi="Verdana" w:cs="Times New Roman"/>
                <w:lang w:eastAsia="en-GB"/>
              </w:rPr>
            </w:pP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rPr>
                <w:rFonts w:ascii="Verdana" w:eastAsia="Times New Roman" w:hAnsi="Verdana" w:cs="Times New Roman"/>
                <w:lang w:eastAsia="en-GB"/>
              </w:rPr>
            </w:pPr>
          </w:p>
        </w:tc>
      </w:tr>
      <w:tr w:rsidR="003778B4" w:rsidRPr="003778B4" w:rsidTr="003778B4">
        <w:trPr>
          <w:trHeight w:val="396"/>
        </w:trPr>
        <w:tc>
          <w:tcPr>
            <w:tcW w:w="1420" w:type="dxa"/>
            <w:tcBorders>
              <w:top w:val="nil"/>
              <w:left w:val="nil"/>
              <w:bottom w:val="single" w:sz="4" w:space="0" w:color="auto"/>
              <w:right w:val="nil"/>
            </w:tcBorders>
            <w:shd w:val="clear" w:color="auto" w:fill="auto"/>
            <w:noWrap/>
            <w:vAlign w:val="bottom"/>
            <w:hideMark/>
          </w:tcPr>
          <w:p w:rsidR="003778B4" w:rsidRPr="003778B4" w:rsidRDefault="003778B4" w:rsidP="003778B4">
            <w:pPr>
              <w:spacing w:after="0" w:line="240" w:lineRule="auto"/>
              <w:rPr>
                <w:rFonts w:ascii="Verdana" w:eastAsia="Times New Roman" w:hAnsi="Verdana" w:cs="Times New Roman"/>
                <w:lang w:eastAsia="en-GB"/>
              </w:rPr>
            </w:pPr>
            <w:r w:rsidRPr="003778B4">
              <w:rPr>
                <w:rFonts w:ascii="Verdana" w:eastAsia="Times New Roman" w:hAnsi="Verdana" w:cs="Times New Roman"/>
                <w:lang w:eastAsia="en-GB"/>
              </w:rPr>
              <w:t> </w:t>
            </w:r>
          </w:p>
        </w:tc>
        <w:tc>
          <w:tcPr>
            <w:tcW w:w="1885" w:type="dxa"/>
            <w:tcBorders>
              <w:top w:val="nil"/>
              <w:left w:val="nil"/>
              <w:bottom w:val="single" w:sz="4" w:space="0" w:color="auto"/>
              <w:right w:val="nil"/>
            </w:tcBorders>
            <w:shd w:val="clear" w:color="auto" w:fill="auto"/>
            <w:noWrap/>
            <w:vAlign w:val="bottom"/>
            <w:hideMark/>
          </w:tcPr>
          <w:p w:rsidR="003778B4" w:rsidRPr="003778B4" w:rsidRDefault="003778B4" w:rsidP="003778B4">
            <w:pPr>
              <w:spacing w:after="0" w:line="240" w:lineRule="auto"/>
              <w:jc w:val="center"/>
              <w:rPr>
                <w:rFonts w:ascii="Verdana" w:eastAsia="Times New Roman" w:hAnsi="Verdana" w:cs="Times New Roman"/>
                <w:lang w:eastAsia="en-GB"/>
              </w:rPr>
            </w:pPr>
            <w:r w:rsidRPr="003778B4">
              <w:rPr>
                <w:rFonts w:ascii="Verdana" w:eastAsia="Times New Roman" w:hAnsi="Verdana" w:cs="Times New Roman"/>
                <w:lang w:eastAsia="en-GB"/>
              </w:rPr>
              <w:t>1</w:t>
            </w:r>
          </w:p>
        </w:tc>
        <w:tc>
          <w:tcPr>
            <w:tcW w:w="1885" w:type="dxa"/>
            <w:tcBorders>
              <w:top w:val="nil"/>
              <w:left w:val="nil"/>
              <w:bottom w:val="single" w:sz="4" w:space="0" w:color="auto"/>
              <w:right w:val="nil"/>
            </w:tcBorders>
            <w:shd w:val="clear" w:color="auto" w:fill="auto"/>
            <w:noWrap/>
            <w:vAlign w:val="bottom"/>
            <w:hideMark/>
          </w:tcPr>
          <w:p w:rsidR="003778B4" w:rsidRPr="003778B4" w:rsidRDefault="003778B4" w:rsidP="003778B4">
            <w:pPr>
              <w:spacing w:after="0" w:line="240" w:lineRule="auto"/>
              <w:jc w:val="center"/>
              <w:rPr>
                <w:rFonts w:ascii="Verdana" w:eastAsia="Times New Roman" w:hAnsi="Verdana" w:cs="Times New Roman"/>
                <w:lang w:eastAsia="en-GB"/>
              </w:rPr>
            </w:pPr>
            <w:r w:rsidRPr="003778B4">
              <w:rPr>
                <w:rFonts w:ascii="Verdana" w:eastAsia="Times New Roman" w:hAnsi="Verdana" w:cs="Times New Roman"/>
                <w:lang w:eastAsia="en-GB"/>
              </w:rPr>
              <w:t>5</w:t>
            </w:r>
          </w:p>
        </w:tc>
        <w:tc>
          <w:tcPr>
            <w:tcW w:w="1885" w:type="dxa"/>
            <w:tcBorders>
              <w:top w:val="nil"/>
              <w:left w:val="nil"/>
              <w:bottom w:val="single" w:sz="4" w:space="0" w:color="auto"/>
              <w:right w:val="nil"/>
            </w:tcBorders>
            <w:shd w:val="clear" w:color="auto" w:fill="auto"/>
            <w:noWrap/>
            <w:vAlign w:val="bottom"/>
            <w:hideMark/>
          </w:tcPr>
          <w:p w:rsidR="003778B4" w:rsidRPr="003778B4" w:rsidRDefault="003778B4" w:rsidP="003778B4">
            <w:pPr>
              <w:spacing w:after="0" w:line="240" w:lineRule="auto"/>
              <w:jc w:val="center"/>
              <w:rPr>
                <w:rFonts w:ascii="Verdana" w:eastAsia="Times New Roman" w:hAnsi="Verdana" w:cs="Times New Roman"/>
                <w:lang w:eastAsia="en-GB"/>
              </w:rPr>
            </w:pPr>
            <w:r w:rsidRPr="003778B4">
              <w:rPr>
                <w:rFonts w:ascii="Verdana" w:eastAsia="Times New Roman" w:hAnsi="Verdana" w:cs="Times New Roman"/>
                <w:lang w:eastAsia="en-GB"/>
              </w:rPr>
              <w:t>10</w:t>
            </w:r>
          </w:p>
        </w:tc>
        <w:tc>
          <w:tcPr>
            <w:tcW w:w="1885" w:type="dxa"/>
            <w:tcBorders>
              <w:top w:val="nil"/>
              <w:left w:val="nil"/>
              <w:bottom w:val="single" w:sz="4" w:space="0" w:color="auto"/>
              <w:right w:val="nil"/>
            </w:tcBorders>
            <w:shd w:val="clear" w:color="auto" w:fill="auto"/>
            <w:noWrap/>
            <w:vAlign w:val="bottom"/>
            <w:hideMark/>
          </w:tcPr>
          <w:p w:rsidR="003778B4" w:rsidRPr="003778B4" w:rsidRDefault="003778B4" w:rsidP="003778B4">
            <w:pPr>
              <w:spacing w:after="0" w:line="240" w:lineRule="auto"/>
              <w:jc w:val="center"/>
              <w:rPr>
                <w:rFonts w:ascii="Verdana" w:eastAsia="Times New Roman" w:hAnsi="Verdana" w:cs="Times New Roman"/>
                <w:lang w:eastAsia="en-GB"/>
              </w:rPr>
            </w:pPr>
            <w:r w:rsidRPr="003778B4">
              <w:rPr>
                <w:rFonts w:ascii="Verdana" w:eastAsia="Times New Roman" w:hAnsi="Verdana" w:cs="Times New Roman"/>
                <w:lang w:eastAsia="en-GB"/>
              </w:rPr>
              <w:t>20</w:t>
            </w:r>
          </w:p>
        </w:tc>
      </w:tr>
      <w:tr w:rsidR="003778B4" w:rsidRPr="003778B4" w:rsidTr="003778B4">
        <w:trPr>
          <w:trHeight w:val="396"/>
        </w:trPr>
        <w:tc>
          <w:tcPr>
            <w:tcW w:w="1420"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rPr>
                <w:rFonts w:ascii="Verdana" w:eastAsia="Times New Roman" w:hAnsi="Verdana" w:cs="Times New Roman"/>
                <w:lang w:eastAsia="en-GB"/>
              </w:rPr>
            </w:pP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rPr>
                <w:rFonts w:ascii="Verdana" w:eastAsia="Times New Roman" w:hAnsi="Verdana" w:cs="Times New Roman"/>
                <w:lang w:eastAsia="en-GB"/>
              </w:rPr>
            </w:pP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rPr>
                <w:rFonts w:ascii="Verdana" w:eastAsia="Times New Roman" w:hAnsi="Verdana" w:cs="Times New Roman"/>
                <w:lang w:eastAsia="en-GB"/>
              </w:rPr>
            </w:pP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rPr>
                <w:rFonts w:ascii="Verdana" w:eastAsia="Times New Roman" w:hAnsi="Verdana" w:cs="Times New Roman"/>
                <w:lang w:eastAsia="en-GB"/>
              </w:rPr>
            </w:pP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rPr>
                <w:rFonts w:ascii="Verdana" w:eastAsia="Times New Roman" w:hAnsi="Verdana" w:cs="Times New Roman"/>
                <w:lang w:eastAsia="en-GB"/>
              </w:rPr>
            </w:pPr>
          </w:p>
        </w:tc>
      </w:tr>
      <w:tr w:rsidR="003778B4" w:rsidRPr="003778B4" w:rsidTr="003778B4">
        <w:trPr>
          <w:trHeight w:val="396"/>
        </w:trPr>
        <w:tc>
          <w:tcPr>
            <w:tcW w:w="1420"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1%</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$99.01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$95.15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$90.53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$81.95 </w:t>
            </w:r>
          </w:p>
        </w:tc>
      </w:tr>
      <w:tr w:rsidR="003778B4" w:rsidRPr="003778B4" w:rsidTr="003778B4">
        <w:trPr>
          <w:trHeight w:val="396"/>
        </w:trPr>
        <w:tc>
          <w:tcPr>
            <w:tcW w:w="1420"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2%</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$98.04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$90.57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$82.03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$67.30 </w:t>
            </w:r>
          </w:p>
        </w:tc>
      </w:tr>
      <w:tr w:rsidR="003778B4" w:rsidRPr="003778B4" w:rsidTr="003778B4">
        <w:trPr>
          <w:trHeight w:val="396"/>
        </w:trPr>
        <w:tc>
          <w:tcPr>
            <w:tcW w:w="1420"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3%</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$97.09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$86.26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$74.41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$55.37 </w:t>
            </w:r>
          </w:p>
        </w:tc>
      </w:tr>
      <w:tr w:rsidR="003778B4" w:rsidRPr="003778B4" w:rsidTr="003778B4">
        <w:trPr>
          <w:trHeight w:val="396"/>
        </w:trPr>
        <w:tc>
          <w:tcPr>
            <w:tcW w:w="1420"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4%</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$96.15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$82.19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$67.56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$45.64 </w:t>
            </w:r>
          </w:p>
        </w:tc>
      </w:tr>
      <w:tr w:rsidR="003778B4" w:rsidRPr="003778B4" w:rsidTr="003778B4">
        <w:trPr>
          <w:trHeight w:val="396"/>
        </w:trPr>
        <w:tc>
          <w:tcPr>
            <w:tcW w:w="1420"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5%</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$95.24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$78.35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$61.39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$37.69 </w:t>
            </w:r>
          </w:p>
        </w:tc>
      </w:tr>
      <w:tr w:rsidR="003778B4" w:rsidRPr="003778B4" w:rsidTr="003778B4">
        <w:trPr>
          <w:trHeight w:val="396"/>
        </w:trPr>
        <w:tc>
          <w:tcPr>
            <w:tcW w:w="1420"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6%</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$94.34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$74.73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$55.84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$31.18 </w:t>
            </w:r>
          </w:p>
        </w:tc>
      </w:tr>
      <w:tr w:rsidR="003778B4" w:rsidRPr="003778B4" w:rsidTr="003778B4">
        <w:trPr>
          <w:trHeight w:val="396"/>
        </w:trPr>
        <w:tc>
          <w:tcPr>
            <w:tcW w:w="1420"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7%</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$93.46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$71.30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$50.83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$25.84 </w:t>
            </w:r>
          </w:p>
        </w:tc>
      </w:tr>
      <w:tr w:rsidR="003778B4" w:rsidRPr="003778B4" w:rsidTr="003778B4">
        <w:trPr>
          <w:trHeight w:val="396"/>
        </w:trPr>
        <w:tc>
          <w:tcPr>
            <w:tcW w:w="1420"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8%</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$92.59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$68.06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$46.32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$21.45 </w:t>
            </w:r>
          </w:p>
        </w:tc>
      </w:tr>
      <w:tr w:rsidR="003778B4" w:rsidRPr="003778B4" w:rsidTr="003778B4">
        <w:trPr>
          <w:trHeight w:val="396"/>
        </w:trPr>
        <w:tc>
          <w:tcPr>
            <w:tcW w:w="1420"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9%</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$91.74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$64.99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$42.24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$17.84 </w:t>
            </w:r>
          </w:p>
        </w:tc>
      </w:tr>
      <w:tr w:rsidR="003778B4" w:rsidRPr="003778B4" w:rsidTr="003778B4">
        <w:trPr>
          <w:trHeight w:val="396"/>
        </w:trPr>
        <w:tc>
          <w:tcPr>
            <w:tcW w:w="1420"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10%</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$90.91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$62.09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$38.55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$14.86 </w:t>
            </w:r>
          </w:p>
        </w:tc>
      </w:tr>
      <w:tr w:rsidR="003778B4" w:rsidRPr="003778B4" w:rsidTr="003778B4">
        <w:trPr>
          <w:trHeight w:val="396"/>
        </w:trPr>
        <w:tc>
          <w:tcPr>
            <w:tcW w:w="1420"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11%</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$90.09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$59.35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$35.22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$12.40 </w:t>
            </w:r>
          </w:p>
        </w:tc>
      </w:tr>
      <w:tr w:rsidR="003778B4" w:rsidRPr="003778B4" w:rsidTr="003778B4">
        <w:trPr>
          <w:trHeight w:val="396"/>
        </w:trPr>
        <w:tc>
          <w:tcPr>
            <w:tcW w:w="1420"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12%</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$89.29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$56.74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$32.20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$10.37 </w:t>
            </w:r>
          </w:p>
        </w:tc>
      </w:tr>
      <w:tr w:rsidR="003778B4" w:rsidRPr="003778B4" w:rsidTr="003778B4">
        <w:trPr>
          <w:trHeight w:val="396"/>
        </w:trPr>
        <w:tc>
          <w:tcPr>
            <w:tcW w:w="1420"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13%</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$88.50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$54.28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$29.46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$8.68 </w:t>
            </w:r>
          </w:p>
        </w:tc>
      </w:tr>
      <w:tr w:rsidR="003778B4" w:rsidRPr="003778B4" w:rsidTr="003778B4">
        <w:trPr>
          <w:trHeight w:val="396"/>
        </w:trPr>
        <w:tc>
          <w:tcPr>
            <w:tcW w:w="1420"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14%</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$87.72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$51.94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$26.97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$7.28 </w:t>
            </w:r>
          </w:p>
        </w:tc>
      </w:tr>
      <w:tr w:rsidR="003778B4" w:rsidRPr="003778B4" w:rsidTr="003778B4">
        <w:trPr>
          <w:trHeight w:val="396"/>
        </w:trPr>
        <w:tc>
          <w:tcPr>
            <w:tcW w:w="1420"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15%</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$86.96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$49.72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$24.72 </w:t>
            </w:r>
          </w:p>
        </w:tc>
        <w:tc>
          <w:tcPr>
            <w:tcW w:w="188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$6.11 </w:t>
            </w:r>
          </w:p>
        </w:tc>
      </w:tr>
    </w:tbl>
    <w:p w:rsidR="003778B4" w:rsidRDefault="003778B4"/>
    <w:p w:rsidR="003778B4" w:rsidRDefault="003778B4">
      <w:r>
        <w:br w:type="page"/>
      </w:r>
    </w:p>
    <w:p w:rsidR="003778B4" w:rsidRDefault="003778B4">
      <w:proofErr w:type="gramStart"/>
      <w:r>
        <w:lastRenderedPageBreak/>
        <w:t>1.b</w:t>
      </w:r>
      <w:proofErr w:type="gramEnd"/>
      <w:r>
        <w:t>)</w:t>
      </w:r>
    </w:p>
    <w:tbl>
      <w:tblPr>
        <w:tblW w:w="7880" w:type="dxa"/>
        <w:tblInd w:w="98" w:type="dxa"/>
        <w:tblLook w:val="04A0"/>
      </w:tblPr>
      <w:tblGrid>
        <w:gridCol w:w="1580"/>
        <w:gridCol w:w="1575"/>
        <w:gridCol w:w="1575"/>
        <w:gridCol w:w="1575"/>
        <w:gridCol w:w="1575"/>
      </w:tblGrid>
      <w:tr w:rsidR="003778B4" w:rsidRPr="003778B4" w:rsidTr="003778B4">
        <w:trPr>
          <w:trHeight w:val="396"/>
        </w:trPr>
        <w:tc>
          <w:tcPr>
            <w:tcW w:w="1580" w:type="dxa"/>
            <w:vMerge w:val="restart"/>
            <w:tcBorders>
              <w:top w:val="nil"/>
              <w:left w:val="nil"/>
              <w:bottom w:val="nil"/>
              <w:right w:val="nil"/>
            </w:tcBorders>
            <w:shd w:val="clear" w:color="auto" w:fill="auto"/>
            <w:vAlign w:val="bottom"/>
            <w:hideMark/>
          </w:tcPr>
          <w:p w:rsidR="003778B4" w:rsidRPr="003778B4" w:rsidRDefault="003778B4" w:rsidP="003778B4">
            <w:pPr>
              <w:spacing w:after="0" w:line="240" w:lineRule="auto"/>
              <w:jc w:val="center"/>
              <w:rPr>
                <w:rFonts w:ascii="Verdana" w:eastAsia="Times New Roman" w:hAnsi="Verdana" w:cs="Times New Roman"/>
                <w:lang w:eastAsia="en-GB"/>
              </w:rPr>
            </w:pPr>
            <w:r w:rsidRPr="003778B4">
              <w:rPr>
                <w:rFonts w:ascii="Verdana" w:eastAsia="Times New Roman" w:hAnsi="Verdana" w:cs="Times New Roman"/>
                <w:lang w:eastAsia="en-GB"/>
              </w:rPr>
              <w:t xml:space="preserve">Interest rate </w:t>
            </w:r>
          </w:p>
        </w:tc>
        <w:tc>
          <w:tcPr>
            <w:tcW w:w="6300" w:type="dxa"/>
            <w:gridSpan w:val="4"/>
            <w:tcBorders>
              <w:top w:val="nil"/>
              <w:left w:val="nil"/>
              <w:bottom w:val="single" w:sz="4" w:space="0" w:color="auto"/>
              <w:right w:val="nil"/>
            </w:tcBorders>
            <w:shd w:val="clear" w:color="auto" w:fill="auto"/>
            <w:noWrap/>
            <w:vAlign w:val="bottom"/>
            <w:hideMark/>
          </w:tcPr>
          <w:p w:rsidR="003778B4" w:rsidRPr="003778B4" w:rsidRDefault="003778B4" w:rsidP="003778B4">
            <w:pPr>
              <w:spacing w:after="0" w:line="240" w:lineRule="auto"/>
              <w:jc w:val="center"/>
              <w:rPr>
                <w:rFonts w:ascii="Verdana" w:eastAsia="Times New Roman" w:hAnsi="Verdana" w:cs="Times New Roman"/>
                <w:lang w:eastAsia="en-GB"/>
              </w:rPr>
            </w:pPr>
            <w:r w:rsidRPr="003778B4">
              <w:rPr>
                <w:rFonts w:ascii="Verdana" w:eastAsia="Times New Roman" w:hAnsi="Verdana" w:cs="Times New Roman"/>
                <w:lang w:eastAsia="en-GB"/>
              </w:rPr>
              <w:t>Payment due in {years}</w:t>
            </w:r>
          </w:p>
        </w:tc>
      </w:tr>
      <w:tr w:rsidR="003778B4" w:rsidRPr="003778B4" w:rsidTr="003778B4">
        <w:trPr>
          <w:trHeight w:val="396"/>
        </w:trPr>
        <w:tc>
          <w:tcPr>
            <w:tcW w:w="1580" w:type="dxa"/>
            <w:vMerge/>
            <w:tcBorders>
              <w:top w:val="nil"/>
              <w:left w:val="nil"/>
              <w:bottom w:val="nil"/>
              <w:right w:val="nil"/>
            </w:tcBorders>
            <w:vAlign w:val="center"/>
            <w:hideMark/>
          </w:tcPr>
          <w:p w:rsidR="003778B4" w:rsidRPr="003778B4" w:rsidRDefault="003778B4" w:rsidP="003778B4">
            <w:pPr>
              <w:spacing w:after="0" w:line="240" w:lineRule="auto"/>
              <w:rPr>
                <w:rFonts w:ascii="Verdana" w:eastAsia="Times New Roman" w:hAnsi="Verdana" w:cs="Times New Roman"/>
                <w:lang w:eastAsia="en-GB"/>
              </w:rPr>
            </w:pP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rPr>
                <w:rFonts w:ascii="Verdana" w:eastAsia="Times New Roman" w:hAnsi="Verdana" w:cs="Times New Roman"/>
                <w:lang w:eastAsia="en-GB"/>
              </w:rPr>
            </w:pP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rPr>
                <w:rFonts w:ascii="Verdana" w:eastAsia="Times New Roman" w:hAnsi="Verdana" w:cs="Times New Roman"/>
                <w:lang w:eastAsia="en-GB"/>
              </w:rPr>
            </w:pP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rPr>
                <w:rFonts w:ascii="Verdana" w:eastAsia="Times New Roman" w:hAnsi="Verdana" w:cs="Times New Roman"/>
                <w:lang w:eastAsia="en-GB"/>
              </w:rPr>
            </w:pP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rPr>
                <w:rFonts w:ascii="Verdana" w:eastAsia="Times New Roman" w:hAnsi="Verdana" w:cs="Times New Roman"/>
                <w:lang w:eastAsia="en-GB"/>
              </w:rPr>
            </w:pPr>
          </w:p>
        </w:tc>
      </w:tr>
      <w:tr w:rsidR="003778B4" w:rsidRPr="003778B4" w:rsidTr="003778B4">
        <w:trPr>
          <w:trHeight w:val="396"/>
        </w:trPr>
        <w:tc>
          <w:tcPr>
            <w:tcW w:w="1580" w:type="dxa"/>
            <w:tcBorders>
              <w:top w:val="nil"/>
              <w:left w:val="nil"/>
              <w:bottom w:val="single" w:sz="4" w:space="0" w:color="auto"/>
              <w:right w:val="nil"/>
            </w:tcBorders>
            <w:shd w:val="clear" w:color="auto" w:fill="auto"/>
            <w:noWrap/>
            <w:vAlign w:val="bottom"/>
            <w:hideMark/>
          </w:tcPr>
          <w:p w:rsidR="003778B4" w:rsidRPr="003778B4" w:rsidRDefault="003778B4" w:rsidP="003778B4">
            <w:pPr>
              <w:spacing w:after="0" w:line="240" w:lineRule="auto"/>
              <w:rPr>
                <w:rFonts w:ascii="Verdana" w:eastAsia="Times New Roman" w:hAnsi="Verdana" w:cs="Times New Roman"/>
                <w:lang w:eastAsia="en-GB"/>
              </w:rPr>
            </w:pPr>
            <w:r w:rsidRPr="003778B4">
              <w:rPr>
                <w:rFonts w:ascii="Verdana" w:eastAsia="Times New Roman" w:hAnsi="Verdana" w:cs="Times New Roman"/>
                <w:lang w:eastAsia="en-GB"/>
              </w:rPr>
              <w:t> </w:t>
            </w:r>
          </w:p>
        </w:tc>
        <w:tc>
          <w:tcPr>
            <w:tcW w:w="1575" w:type="dxa"/>
            <w:tcBorders>
              <w:top w:val="nil"/>
              <w:left w:val="nil"/>
              <w:bottom w:val="single" w:sz="4" w:space="0" w:color="auto"/>
              <w:right w:val="nil"/>
            </w:tcBorders>
            <w:shd w:val="clear" w:color="auto" w:fill="auto"/>
            <w:noWrap/>
            <w:vAlign w:val="bottom"/>
            <w:hideMark/>
          </w:tcPr>
          <w:p w:rsidR="003778B4" w:rsidRPr="003778B4" w:rsidRDefault="003778B4" w:rsidP="003778B4">
            <w:pPr>
              <w:spacing w:after="0" w:line="240" w:lineRule="auto"/>
              <w:jc w:val="center"/>
              <w:rPr>
                <w:rFonts w:ascii="Verdana" w:eastAsia="Times New Roman" w:hAnsi="Verdana" w:cs="Times New Roman"/>
                <w:lang w:eastAsia="en-GB"/>
              </w:rPr>
            </w:pPr>
            <w:r w:rsidRPr="003778B4">
              <w:rPr>
                <w:rFonts w:ascii="Verdana" w:eastAsia="Times New Roman" w:hAnsi="Verdana" w:cs="Times New Roman"/>
                <w:lang w:eastAsia="en-GB"/>
              </w:rPr>
              <w:t>1</w:t>
            </w:r>
          </w:p>
        </w:tc>
        <w:tc>
          <w:tcPr>
            <w:tcW w:w="1575" w:type="dxa"/>
            <w:tcBorders>
              <w:top w:val="nil"/>
              <w:left w:val="nil"/>
              <w:bottom w:val="single" w:sz="4" w:space="0" w:color="auto"/>
              <w:right w:val="nil"/>
            </w:tcBorders>
            <w:shd w:val="clear" w:color="auto" w:fill="auto"/>
            <w:noWrap/>
            <w:vAlign w:val="bottom"/>
            <w:hideMark/>
          </w:tcPr>
          <w:p w:rsidR="003778B4" w:rsidRPr="003778B4" w:rsidRDefault="003778B4" w:rsidP="003778B4">
            <w:pPr>
              <w:spacing w:after="0" w:line="240" w:lineRule="auto"/>
              <w:jc w:val="center"/>
              <w:rPr>
                <w:rFonts w:ascii="Verdana" w:eastAsia="Times New Roman" w:hAnsi="Verdana" w:cs="Times New Roman"/>
                <w:lang w:eastAsia="en-GB"/>
              </w:rPr>
            </w:pPr>
            <w:r w:rsidRPr="003778B4">
              <w:rPr>
                <w:rFonts w:ascii="Verdana" w:eastAsia="Times New Roman" w:hAnsi="Verdana" w:cs="Times New Roman"/>
                <w:lang w:eastAsia="en-GB"/>
              </w:rPr>
              <w:t>5</w:t>
            </w:r>
          </w:p>
        </w:tc>
        <w:tc>
          <w:tcPr>
            <w:tcW w:w="1575" w:type="dxa"/>
            <w:tcBorders>
              <w:top w:val="nil"/>
              <w:left w:val="nil"/>
              <w:bottom w:val="single" w:sz="4" w:space="0" w:color="auto"/>
              <w:right w:val="nil"/>
            </w:tcBorders>
            <w:shd w:val="clear" w:color="auto" w:fill="auto"/>
            <w:noWrap/>
            <w:vAlign w:val="bottom"/>
            <w:hideMark/>
          </w:tcPr>
          <w:p w:rsidR="003778B4" w:rsidRPr="003778B4" w:rsidRDefault="003778B4" w:rsidP="003778B4">
            <w:pPr>
              <w:spacing w:after="0" w:line="240" w:lineRule="auto"/>
              <w:jc w:val="center"/>
              <w:rPr>
                <w:rFonts w:ascii="Verdana" w:eastAsia="Times New Roman" w:hAnsi="Verdana" w:cs="Times New Roman"/>
                <w:lang w:eastAsia="en-GB"/>
              </w:rPr>
            </w:pPr>
            <w:r w:rsidRPr="003778B4">
              <w:rPr>
                <w:rFonts w:ascii="Verdana" w:eastAsia="Times New Roman" w:hAnsi="Verdana" w:cs="Times New Roman"/>
                <w:lang w:eastAsia="en-GB"/>
              </w:rPr>
              <w:t>10</w:t>
            </w:r>
          </w:p>
        </w:tc>
        <w:tc>
          <w:tcPr>
            <w:tcW w:w="1575" w:type="dxa"/>
            <w:tcBorders>
              <w:top w:val="nil"/>
              <w:left w:val="nil"/>
              <w:bottom w:val="single" w:sz="4" w:space="0" w:color="auto"/>
              <w:right w:val="nil"/>
            </w:tcBorders>
            <w:shd w:val="clear" w:color="auto" w:fill="auto"/>
            <w:noWrap/>
            <w:vAlign w:val="bottom"/>
            <w:hideMark/>
          </w:tcPr>
          <w:p w:rsidR="003778B4" w:rsidRPr="003778B4" w:rsidRDefault="003778B4" w:rsidP="003778B4">
            <w:pPr>
              <w:spacing w:after="0" w:line="240" w:lineRule="auto"/>
              <w:jc w:val="center"/>
              <w:rPr>
                <w:rFonts w:ascii="Verdana" w:eastAsia="Times New Roman" w:hAnsi="Verdana" w:cs="Times New Roman"/>
                <w:lang w:eastAsia="en-GB"/>
              </w:rPr>
            </w:pPr>
            <w:r w:rsidRPr="003778B4">
              <w:rPr>
                <w:rFonts w:ascii="Verdana" w:eastAsia="Times New Roman" w:hAnsi="Verdana" w:cs="Times New Roman"/>
                <w:lang w:eastAsia="en-GB"/>
              </w:rPr>
              <w:t>20</w:t>
            </w:r>
          </w:p>
        </w:tc>
      </w:tr>
      <w:tr w:rsidR="003778B4" w:rsidRPr="003778B4" w:rsidTr="003778B4">
        <w:trPr>
          <w:trHeight w:val="396"/>
        </w:trPr>
        <w:tc>
          <w:tcPr>
            <w:tcW w:w="1580"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rPr>
                <w:rFonts w:ascii="Verdana" w:eastAsia="Times New Roman" w:hAnsi="Verdana" w:cs="Times New Roman"/>
                <w:lang w:eastAsia="en-GB"/>
              </w:rPr>
            </w:pP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rPr>
                <w:rFonts w:ascii="Verdana" w:eastAsia="Times New Roman" w:hAnsi="Verdana" w:cs="Times New Roman"/>
                <w:lang w:eastAsia="en-GB"/>
              </w:rPr>
            </w:pP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rPr>
                <w:rFonts w:ascii="Verdana" w:eastAsia="Times New Roman" w:hAnsi="Verdana" w:cs="Times New Roman"/>
                <w:lang w:eastAsia="en-GB"/>
              </w:rPr>
            </w:pP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rPr>
                <w:rFonts w:ascii="Verdana" w:eastAsia="Times New Roman" w:hAnsi="Verdana" w:cs="Times New Roman"/>
                <w:lang w:eastAsia="en-GB"/>
              </w:rPr>
            </w:pP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rPr>
                <w:rFonts w:ascii="Verdana" w:eastAsia="Times New Roman" w:hAnsi="Verdana" w:cs="Times New Roman"/>
                <w:lang w:eastAsia="en-GB"/>
              </w:rPr>
            </w:pPr>
          </w:p>
        </w:tc>
      </w:tr>
      <w:tr w:rsidR="003778B4" w:rsidRPr="003778B4" w:rsidTr="003778B4">
        <w:trPr>
          <w:trHeight w:val="396"/>
        </w:trPr>
        <w:tc>
          <w:tcPr>
            <w:tcW w:w="1580"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0.01</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$99.01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$95.15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$90.53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$81.95 </w:t>
            </w:r>
          </w:p>
        </w:tc>
      </w:tr>
      <w:tr w:rsidR="003778B4" w:rsidRPr="003778B4" w:rsidTr="003778B4">
        <w:trPr>
          <w:trHeight w:val="396"/>
        </w:trPr>
        <w:tc>
          <w:tcPr>
            <w:tcW w:w="1580"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0.02</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$98.04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$90.57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$82.03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$67.30 </w:t>
            </w:r>
          </w:p>
        </w:tc>
      </w:tr>
      <w:tr w:rsidR="003778B4" w:rsidRPr="003778B4" w:rsidTr="003778B4">
        <w:trPr>
          <w:trHeight w:val="396"/>
        </w:trPr>
        <w:tc>
          <w:tcPr>
            <w:tcW w:w="1580"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0.03</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$97.09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$86.26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$74.41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$55.37 </w:t>
            </w:r>
          </w:p>
        </w:tc>
      </w:tr>
      <w:tr w:rsidR="003778B4" w:rsidRPr="003778B4" w:rsidTr="003778B4">
        <w:trPr>
          <w:trHeight w:val="396"/>
        </w:trPr>
        <w:tc>
          <w:tcPr>
            <w:tcW w:w="1580"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0.04</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$96.15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$82.19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$67.56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$45.64 </w:t>
            </w:r>
          </w:p>
        </w:tc>
      </w:tr>
      <w:tr w:rsidR="003778B4" w:rsidRPr="003778B4" w:rsidTr="003778B4">
        <w:trPr>
          <w:trHeight w:val="396"/>
        </w:trPr>
        <w:tc>
          <w:tcPr>
            <w:tcW w:w="1580"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0.05</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$95.24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$78.35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$61.39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$37.69 </w:t>
            </w:r>
          </w:p>
        </w:tc>
      </w:tr>
      <w:tr w:rsidR="003778B4" w:rsidRPr="003778B4" w:rsidTr="003778B4">
        <w:trPr>
          <w:trHeight w:val="396"/>
        </w:trPr>
        <w:tc>
          <w:tcPr>
            <w:tcW w:w="1580"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0.06</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$94.34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$74.73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$55.84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$31.18 </w:t>
            </w:r>
          </w:p>
        </w:tc>
      </w:tr>
      <w:tr w:rsidR="003778B4" w:rsidRPr="003778B4" w:rsidTr="003778B4">
        <w:trPr>
          <w:trHeight w:val="396"/>
        </w:trPr>
        <w:tc>
          <w:tcPr>
            <w:tcW w:w="1580"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0.07</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$93.46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$71.30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$50.83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$25.84 </w:t>
            </w:r>
          </w:p>
        </w:tc>
      </w:tr>
      <w:tr w:rsidR="003778B4" w:rsidRPr="003778B4" w:rsidTr="003778B4">
        <w:trPr>
          <w:trHeight w:val="396"/>
        </w:trPr>
        <w:tc>
          <w:tcPr>
            <w:tcW w:w="1580"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0.08</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$92.59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$68.06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$46.32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$21.45 </w:t>
            </w:r>
          </w:p>
        </w:tc>
      </w:tr>
      <w:tr w:rsidR="003778B4" w:rsidRPr="003778B4" w:rsidTr="003778B4">
        <w:trPr>
          <w:trHeight w:val="396"/>
        </w:trPr>
        <w:tc>
          <w:tcPr>
            <w:tcW w:w="1580"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0.09</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$91.74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$64.99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$42.24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$17.84 </w:t>
            </w:r>
          </w:p>
        </w:tc>
      </w:tr>
      <w:tr w:rsidR="003778B4" w:rsidRPr="003778B4" w:rsidTr="003778B4">
        <w:trPr>
          <w:trHeight w:val="396"/>
        </w:trPr>
        <w:tc>
          <w:tcPr>
            <w:tcW w:w="1580"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0.10</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$90.91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$62.09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$38.55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$14.86 </w:t>
            </w:r>
          </w:p>
        </w:tc>
      </w:tr>
      <w:tr w:rsidR="003778B4" w:rsidRPr="003778B4" w:rsidTr="003778B4">
        <w:trPr>
          <w:trHeight w:val="396"/>
        </w:trPr>
        <w:tc>
          <w:tcPr>
            <w:tcW w:w="1580"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0.11</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$90.09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$59.35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$35.22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$12.40 </w:t>
            </w:r>
          </w:p>
        </w:tc>
      </w:tr>
      <w:tr w:rsidR="003778B4" w:rsidRPr="003778B4" w:rsidTr="003778B4">
        <w:trPr>
          <w:trHeight w:val="396"/>
        </w:trPr>
        <w:tc>
          <w:tcPr>
            <w:tcW w:w="1580"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0.12</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$89.29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$56.74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$32.20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$10.37 </w:t>
            </w:r>
          </w:p>
        </w:tc>
      </w:tr>
      <w:tr w:rsidR="003778B4" w:rsidRPr="003778B4" w:rsidTr="003778B4">
        <w:trPr>
          <w:trHeight w:val="396"/>
        </w:trPr>
        <w:tc>
          <w:tcPr>
            <w:tcW w:w="1580"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0.13</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$88.50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$54.28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$29.46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$8.68 </w:t>
            </w:r>
          </w:p>
        </w:tc>
      </w:tr>
      <w:tr w:rsidR="003778B4" w:rsidRPr="003778B4" w:rsidTr="003778B4">
        <w:trPr>
          <w:trHeight w:val="396"/>
        </w:trPr>
        <w:tc>
          <w:tcPr>
            <w:tcW w:w="1580"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0.14</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$87.72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$51.94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$26.97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$7.28 </w:t>
            </w:r>
          </w:p>
        </w:tc>
      </w:tr>
      <w:tr w:rsidR="003778B4" w:rsidRPr="003778B4" w:rsidTr="003778B4">
        <w:trPr>
          <w:trHeight w:val="396"/>
        </w:trPr>
        <w:tc>
          <w:tcPr>
            <w:tcW w:w="1580"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0.15</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$86.96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$49.72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$24.72 </w:t>
            </w:r>
          </w:p>
        </w:tc>
        <w:tc>
          <w:tcPr>
            <w:tcW w:w="1575" w:type="dxa"/>
            <w:tcBorders>
              <w:top w:val="nil"/>
              <w:left w:val="nil"/>
              <w:bottom w:val="nil"/>
              <w:right w:val="nil"/>
            </w:tcBorders>
            <w:shd w:val="clear" w:color="auto" w:fill="auto"/>
            <w:noWrap/>
            <w:vAlign w:val="bottom"/>
            <w:hideMark/>
          </w:tcPr>
          <w:p w:rsidR="003778B4" w:rsidRPr="003778B4" w:rsidRDefault="003778B4" w:rsidP="003778B4">
            <w:pPr>
              <w:spacing w:after="0" w:line="240" w:lineRule="auto"/>
              <w:jc w:val="right"/>
              <w:rPr>
                <w:rFonts w:ascii="Verdana" w:eastAsia="Times New Roman" w:hAnsi="Verdana" w:cs="Times New Roman"/>
                <w:lang w:eastAsia="en-GB"/>
              </w:rPr>
            </w:pPr>
            <w:r w:rsidRPr="003778B4">
              <w:rPr>
                <w:rFonts w:ascii="Verdana" w:eastAsia="Times New Roman" w:hAnsi="Verdana" w:cs="Times New Roman"/>
                <w:lang w:eastAsia="en-GB"/>
              </w:rPr>
              <w:t xml:space="preserve">$6.11 </w:t>
            </w:r>
          </w:p>
        </w:tc>
      </w:tr>
    </w:tbl>
    <w:p w:rsidR="00CA3DE8" w:rsidRDefault="00CA3DE8"/>
    <w:p w:rsidR="00D263BD" w:rsidRDefault="00D263BD">
      <w:r>
        <w:br w:type="page"/>
      </w:r>
    </w:p>
    <w:p w:rsidR="001C20D8" w:rsidRDefault="00D263BD" w:rsidP="00D263BD">
      <w:r>
        <w:lastRenderedPageBreak/>
        <w:t>2.</w:t>
      </w:r>
    </w:p>
    <w:p w:rsidR="00D263BD" w:rsidRDefault="00D263BD" w:rsidP="00D263BD">
      <w:pPr>
        <w:autoSpaceDE w:val="0"/>
        <w:autoSpaceDN w:val="0"/>
        <w:adjustRightInd w:val="0"/>
        <w:spacing w:after="0" w:line="240" w:lineRule="auto"/>
        <w:rPr>
          <w:rFonts w:ascii="Palatino-Roman" w:hAnsi="Palatino-Roman" w:cs="Palatino-Roman"/>
          <w:sz w:val="20"/>
          <w:szCs w:val="20"/>
        </w:rPr>
      </w:pPr>
      <w:r>
        <w:rPr>
          <w:rFonts w:ascii="Palatino-Roman" w:hAnsi="Palatino-Roman" w:cs="Palatino-Roman"/>
          <w:sz w:val="20"/>
          <w:szCs w:val="20"/>
        </w:rPr>
        <w:t>Below is a graph that shows the behaviour of the present value of $100 for an interest rate</w:t>
      </w:r>
    </w:p>
    <w:p w:rsidR="00D263BD" w:rsidRDefault="00CA3DE8" w:rsidP="00D263BD">
      <w:pPr>
        <w:rPr>
          <w:rFonts w:ascii="Palatino-Roman" w:hAnsi="Palatino-Roman" w:cs="Palatino-Roman"/>
          <w:sz w:val="20"/>
          <w:szCs w:val="20"/>
        </w:rPr>
      </w:pPr>
      <w:proofErr w:type="gramStart"/>
      <w:r>
        <w:rPr>
          <w:rFonts w:ascii="Palatino-Roman" w:hAnsi="Palatino-Roman" w:cs="Palatino-Roman"/>
          <w:sz w:val="20"/>
          <w:szCs w:val="20"/>
        </w:rPr>
        <w:t>of</w:t>
      </w:r>
      <w:proofErr w:type="gramEnd"/>
      <w:r w:rsidR="00D263BD">
        <w:rPr>
          <w:rFonts w:ascii="Palatino-Roman" w:hAnsi="Palatino-Roman" w:cs="Palatino-Roman"/>
          <w:sz w:val="20"/>
          <w:szCs w:val="20"/>
        </w:rPr>
        <w:t xml:space="preserve"> 5%, 10%, 15% and 20%</w:t>
      </w:r>
      <w:r>
        <w:rPr>
          <w:rFonts w:ascii="Palatino-Roman" w:hAnsi="Palatino-Roman" w:cs="Palatino-Roman"/>
          <w:sz w:val="20"/>
          <w:szCs w:val="20"/>
        </w:rPr>
        <w:t xml:space="preserve"> respectively</w:t>
      </w:r>
      <w:r w:rsidR="00D263BD">
        <w:rPr>
          <w:rFonts w:ascii="Palatino-Roman" w:hAnsi="Palatino-Roman" w:cs="Palatino-Roman"/>
          <w:sz w:val="20"/>
          <w:szCs w:val="20"/>
        </w:rPr>
        <w:t xml:space="preserve"> over 30 years</w:t>
      </w:r>
    </w:p>
    <w:p w:rsidR="00D263BD" w:rsidRDefault="00D263BD" w:rsidP="00D263BD">
      <w:r w:rsidRPr="00D263BD">
        <w:rPr>
          <w:noProof/>
          <w:lang w:eastAsia="en-GB"/>
        </w:rPr>
        <w:drawing>
          <wp:inline distT="0" distB="0" distL="0" distR="0">
            <wp:extent cx="5918200" cy="3111500"/>
            <wp:effectExtent l="38100" t="0" r="2540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rsidR="007A2DD0" w:rsidRDefault="007A2DD0">
      <w:r>
        <w:br w:type="page"/>
      </w:r>
    </w:p>
    <w:p w:rsidR="007A2DD0" w:rsidRDefault="007A2DD0" w:rsidP="00D263BD">
      <w:r>
        <w:lastRenderedPageBreak/>
        <w:t>3.</w:t>
      </w:r>
      <w:r>
        <w:br/>
        <w:t>Since I want to retire when I am 40yrs old and will live for 45 more years after retirement, I will need $4.5 million (100,000$ * 45yrs). But since the average annual interest rate is 4%, I will require the following amount:</w:t>
      </w:r>
    </w:p>
    <w:p w:rsidR="007A2DD0" w:rsidRDefault="00EC104C" w:rsidP="00D263BD">
      <w:r>
        <w:t>Interest on 100,000$ = 100,000 * (1+0.04</w:t>
      </w:r>
      <w:proofErr w:type="gramStart"/>
      <w:r>
        <w:t>)^</w:t>
      </w:r>
      <w:proofErr w:type="gramEnd"/>
      <w:r>
        <w:t>45</w:t>
      </w:r>
      <w:r>
        <w:br/>
      </w:r>
      <w:r>
        <w:tab/>
      </w:r>
      <w:r>
        <w:tab/>
      </w:r>
      <w:r>
        <w:tab/>
      </w:r>
      <w:r>
        <w:tab/>
        <w:t>=$584,117.6</w:t>
      </w:r>
      <w:r>
        <w:br/>
        <w:t xml:space="preserve">$4.5 million + Interest= </w:t>
      </w:r>
      <w:r w:rsidRPr="00EC104C">
        <w:rPr>
          <w:b/>
        </w:rPr>
        <w:t>$5,084,117.6</w:t>
      </w:r>
      <w:r>
        <w:t xml:space="preserve"> which is the amount I will need at age 40 to retire comfortably.</w:t>
      </w:r>
    </w:p>
    <w:p w:rsidR="00920092" w:rsidRDefault="000F5497" w:rsidP="00D263BD">
      <w:pPr>
        <w:rPr>
          <w:b/>
        </w:rPr>
      </w:pPr>
      <w:r>
        <w:t>If the inflation rate were 2%</w:t>
      </w:r>
      <w:proofErr w:type="gramStart"/>
      <w:r>
        <w:t>,</w:t>
      </w:r>
      <w:proofErr w:type="gramEnd"/>
      <w:r>
        <w:br/>
        <w:t>$100,000 * 0.02= $2000</w:t>
      </w:r>
      <w:r>
        <w:br/>
        <w:t>therefore, principal would be $102,000</w:t>
      </w:r>
      <w:r>
        <w:br/>
        <w:t>102,000 * (1+0.04)^45</w:t>
      </w:r>
      <w:r>
        <w:br/>
        <w:t>= $595,799.9</w:t>
      </w:r>
      <w:r>
        <w:br/>
        <w:t xml:space="preserve">therefore, to retire comfortably at age 40, I would need $4.5 million + $595,799.9 which is </w:t>
      </w:r>
      <w:r>
        <w:rPr>
          <w:b/>
        </w:rPr>
        <w:t>$5,095,799.2</w:t>
      </w:r>
    </w:p>
    <w:p w:rsidR="00920092" w:rsidRDefault="00920092">
      <w:pPr>
        <w:rPr>
          <w:b/>
        </w:rPr>
      </w:pPr>
      <w:r>
        <w:rPr>
          <w:b/>
        </w:rPr>
        <w:br w:type="page"/>
      </w:r>
    </w:p>
    <w:p w:rsidR="00EC104C" w:rsidRDefault="00920092" w:rsidP="00D263BD">
      <w:proofErr w:type="gramStart"/>
      <w:r>
        <w:lastRenderedPageBreak/>
        <w:t>4.</w:t>
      </w:r>
      <w:proofErr w:type="gramEnd"/>
      <w:r>
        <w:br/>
        <w:t>a)</w:t>
      </w:r>
      <w:r>
        <w:br/>
        <w:t>Current debt: $2,000</w:t>
      </w:r>
      <w:r>
        <w:br/>
        <w:t>Interest rate: 20%</w:t>
      </w:r>
      <w:r>
        <w:br/>
        <w:t>Monthly payment: $50</w:t>
      </w:r>
    </w:p>
    <w:p w:rsidR="00920092" w:rsidRDefault="00920092" w:rsidP="00D263BD">
      <w:r>
        <w:t>Interest to be paid on debt= $1,226</w:t>
      </w:r>
      <w:r>
        <w:br/>
        <w:t>Current debt + interest= $3,226</w:t>
      </w:r>
      <w:r>
        <w:br/>
        <w:t>$3,226/$50= 64.52</w:t>
      </w:r>
      <w:r>
        <w:br/>
        <w:t>therefore, it would take 65 months to pay back</w:t>
      </w:r>
    </w:p>
    <w:p w:rsidR="00920092" w:rsidRDefault="00920092" w:rsidP="00920092">
      <w:proofErr w:type="gramStart"/>
      <w:r>
        <w:t>b)</w:t>
      </w:r>
      <w:proofErr w:type="gramEnd"/>
      <w:r>
        <w:br/>
        <w:t>Current debt: $2,000</w:t>
      </w:r>
      <w:r>
        <w:br/>
        <w:t>Interest rate: 30%</w:t>
      </w:r>
      <w:r>
        <w:br/>
        <w:t>Monthly payment: $75</w:t>
      </w:r>
    </w:p>
    <w:p w:rsidR="00920092" w:rsidRDefault="00920092" w:rsidP="00920092">
      <w:r>
        <w:t>Interest to be paid on debt= $1,192</w:t>
      </w:r>
      <w:r>
        <w:br/>
        <w:t>Current debt + interest= $3,192</w:t>
      </w:r>
      <w:r>
        <w:br/>
        <w:t>$3,192/$75= 42.56</w:t>
      </w:r>
      <w:r>
        <w:br/>
        <w:t>therefore, it would take 43 months to pay back</w:t>
      </w:r>
    </w:p>
    <w:p w:rsidR="00920092" w:rsidRDefault="00920092" w:rsidP="00D263BD">
      <w:r>
        <w:t xml:space="preserve">5. </w:t>
      </w:r>
      <w:r w:rsidR="00D7784D">
        <w:t xml:space="preserve">Below shows a table illustrating the inverse relationship between the Yield </w:t>
      </w:r>
      <w:proofErr w:type="gramStart"/>
      <w:r w:rsidR="00D7784D">
        <w:t>To</w:t>
      </w:r>
      <w:proofErr w:type="gramEnd"/>
      <w:r w:rsidR="00D7784D">
        <w:t xml:space="preserve"> Maturity (YTM) and Coupon rate</w:t>
      </w:r>
    </w:p>
    <w:tbl>
      <w:tblPr>
        <w:tblStyle w:val="TableGrid"/>
        <w:tblW w:w="0" w:type="auto"/>
        <w:tblLook w:val="04A0"/>
      </w:tblPr>
      <w:tblGrid>
        <w:gridCol w:w="1242"/>
        <w:gridCol w:w="1068"/>
        <w:gridCol w:w="1155"/>
        <w:gridCol w:w="1155"/>
        <w:gridCol w:w="1155"/>
        <w:gridCol w:w="1155"/>
        <w:gridCol w:w="1156"/>
        <w:gridCol w:w="1156"/>
      </w:tblGrid>
      <w:tr w:rsidR="00D7784D" w:rsidTr="005C3CAA">
        <w:tc>
          <w:tcPr>
            <w:tcW w:w="1242" w:type="dxa"/>
          </w:tcPr>
          <w:p w:rsidR="00D7784D" w:rsidRPr="005C3CAA" w:rsidRDefault="005C3CAA" w:rsidP="005C3CAA">
            <w:pPr>
              <w:jc w:val="center"/>
              <w:rPr>
                <w:b/>
                <w:sz w:val="18"/>
                <w:szCs w:val="18"/>
              </w:rPr>
            </w:pPr>
            <w:r w:rsidRPr="005C3CAA">
              <w:rPr>
                <w:b/>
                <w:sz w:val="18"/>
                <w:szCs w:val="18"/>
              </w:rPr>
              <w:t>Maturity Value</w:t>
            </w:r>
            <w:r>
              <w:rPr>
                <w:b/>
                <w:sz w:val="18"/>
                <w:szCs w:val="18"/>
              </w:rPr>
              <w:t xml:space="preserve"> ($)</w:t>
            </w:r>
          </w:p>
        </w:tc>
        <w:tc>
          <w:tcPr>
            <w:tcW w:w="1068" w:type="dxa"/>
          </w:tcPr>
          <w:p w:rsidR="00D7784D" w:rsidRDefault="005C3CAA" w:rsidP="00D263BD">
            <w:r>
              <w:t>1000</w:t>
            </w:r>
          </w:p>
        </w:tc>
        <w:tc>
          <w:tcPr>
            <w:tcW w:w="1155" w:type="dxa"/>
          </w:tcPr>
          <w:p w:rsidR="00D7784D" w:rsidRDefault="005C3CAA" w:rsidP="00D263BD">
            <w:r>
              <w:t>1000</w:t>
            </w:r>
          </w:p>
        </w:tc>
        <w:tc>
          <w:tcPr>
            <w:tcW w:w="1155" w:type="dxa"/>
          </w:tcPr>
          <w:p w:rsidR="00D7784D" w:rsidRDefault="005C3CAA" w:rsidP="00D263BD">
            <w:r>
              <w:t>1000</w:t>
            </w:r>
          </w:p>
        </w:tc>
        <w:tc>
          <w:tcPr>
            <w:tcW w:w="1155" w:type="dxa"/>
          </w:tcPr>
          <w:p w:rsidR="00D7784D" w:rsidRDefault="005C3CAA" w:rsidP="00D263BD">
            <w:r>
              <w:t>1000</w:t>
            </w:r>
          </w:p>
        </w:tc>
        <w:tc>
          <w:tcPr>
            <w:tcW w:w="1155" w:type="dxa"/>
          </w:tcPr>
          <w:p w:rsidR="00D7784D" w:rsidRDefault="005C3CAA" w:rsidP="00D263BD">
            <w:r>
              <w:t>1000</w:t>
            </w:r>
          </w:p>
        </w:tc>
        <w:tc>
          <w:tcPr>
            <w:tcW w:w="1156" w:type="dxa"/>
          </w:tcPr>
          <w:p w:rsidR="00D7784D" w:rsidRDefault="005C3CAA" w:rsidP="00D263BD">
            <w:r>
              <w:t>1000</w:t>
            </w:r>
          </w:p>
        </w:tc>
        <w:tc>
          <w:tcPr>
            <w:tcW w:w="1156" w:type="dxa"/>
          </w:tcPr>
          <w:p w:rsidR="00D7784D" w:rsidRDefault="005C3CAA" w:rsidP="00D263BD">
            <w:r>
              <w:t>1000</w:t>
            </w:r>
          </w:p>
        </w:tc>
      </w:tr>
      <w:tr w:rsidR="00D7784D" w:rsidTr="005C3CAA">
        <w:tc>
          <w:tcPr>
            <w:tcW w:w="1242" w:type="dxa"/>
          </w:tcPr>
          <w:p w:rsidR="00D7784D" w:rsidRPr="005C3CAA" w:rsidRDefault="005C3CAA" w:rsidP="005C3CAA">
            <w:pPr>
              <w:jc w:val="center"/>
              <w:rPr>
                <w:b/>
                <w:sz w:val="18"/>
                <w:szCs w:val="18"/>
              </w:rPr>
            </w:pPr>
            <w:r w:rsidRPr="005C3CAA">
              <w:rPr>
                <w:b/>
                <w:sz w:val="18"/>
                <w:szCs w:val="18"/>
              </w:rPr>
              <w:t>YTM</w:t>
            </w:r>
          </w:p>
        </w:tc>
        <w:tc>
          <w:tcPr>
            <w:tcW w:w="1068" w:type="dxa"/>
          </w:tcPr>
          <w:p w:rsidR="00D7784D" w:rsidRDefault="005C3CAA" w:rsidP="00D263BD">
            <w:r>
              <w:t>18</w:t>
            </w:r>
          </w:p>
        </w:tc>
        <w:tc>
          <w:tcPr>
            <w:tcW w:w="1155" w:type="dxa"/>
          </w:tcPr>
          <w:p w:rsidR="00D7784D" w:rsidRDefault="005C3CAA" w:rsidP="00D263BD">
            <w:r>
              <w:t>15</w:t>
            </w:r>
          </w:p>
        </w:tc>
        <w:tc>
          <w:tcPr>
            <w:tcW w:w="1155" w:type="dxa"/>
          </w:tcPr>
          <w:p w:rsidR="00D7784D" w:rsidRDefault="005C3CAA" w:rsidP="00D263BD">
            <w:r>
              <w:t>12</w:t>
            </w:r>
          </w:p>
        </w:tc>
        <w:tc>
          <w:tcPr>
            <w:tcW w:w="1155" w:type="dxa"/>
          </w:tcPr>
          <w:p w:rsidR="00D7784D" w:rsidRDefault="005C3CAA" w:rsidP="00D263BD">
            <w:r>
              <w:t>10</w:t>
            </w:r>
          </w:p>
        </w:tc>
        <w:tc>
          <w:tcPr>
            <w:tcW w:w="1155" w:type="dxa"/>
          </w:tcPr>
          <w:p w:rsidR="00D7784D" w:rsidRDefault="005C3CAA" w:rsidP="00D263BD">
            <w:r>
              <w:t>8</w:t>
            </w:r>
          </w:p>
        </w:tc>
        <w:tc>
          <w:tcPr>
            <w:tcW w:w="1156" w:type="dxa"/>
          </w:tcPr>
          <w:p w:rsidR="00D7784D" w:rsidRDefault="005C3CAA" w:rsidP="00D263BD">
            <w:r>
              <w:t>6</w:t>
            </w:r>
          </w:p>
        </w:tc>
        <w:tc>
          <w:tcPr>
            <w:tcW w:w="1156" w:type="dxa"/>
          </w:tcPr>
          <w:p w:rsidR="00D7784D" w:rsidRDefault="005C3CAA" w:rsidP="00D263BD">
            <w:r>
              <w:t>4</w:t>
            </w:r>
          </w:p>
        </w:tc>
      </w:tr>
      <w:tr w:rsidR="00D7784D" w:rsidTr="005C3CAA">
        <w:tc>
          <w:tcPr>
            <w:tcW w:w="1242" w:type="dxa"/>
          </w:tcPr>
          <w:p w:rsidR="00D7784D" w:rsidRPr="005C3CAA" w:rsidRDefault="005C3CAA" w:rsidP="005C3CAA">
            <w:pPr>
              <w:jc w:val="center"/>
              <w:rPr>
                <w:b/>
                <w:sz w:val="18"/>
                <w:szCs w:val="18"/>
              </w:rPr>
            </w:pPr>
            <w:r w:rsidRPr="005C3CAA">
              <w:rPr>
                <w:b/>
                <w:sz w:val="18"/>
                <w:szCs w:val="18"/>
              </w:rPr>
              <w:t>Coupon Rate</w:t>
            </w:r>
            <w:r>
              <w:rPr>
                <w:b/>
                <w:sz w:val="18"/>
                <w:szCs w:val="18"/>
              </w:rPr>
              <w:t xml:space="preserve"> (%)</w:t>
            </w:r>
          </w:p>
        </w:tc>
        <w:tc>
          <w:tcPr>
            <w:tcW w:w="1068" w:type="dxa"/>
          </w:tcPr>
          <w:p w:rsidR="00D7784D" w:rsidRDefault="005C3CAA" w:rsidP="00D263BD">
            <w:r>
              <w:t>10</w:t>
            </w:r>
          </w:p>
        </w:tc>
        <w:tc>
          <w:tcPr>
            <w:tcW w:w="1155" w:type="dxa"/>
          </w:tcPr>
          <w:p w:rsidR="00D7784D" w:rsidRDefault="005C3CAA" w:rsidP="00D263BD">
            <w:r>
              <w:t>10</w:t>
            </w:r>
          </w:p>
        </w:tc>
        <w:tc>
          <w:tcPr>
            <w:tcW w:w="1155" w:type="dxa"/>
          </w:tcPr>
          <w:p w:rsidR="00D7784D" w:rsidRDefault="005C3CAA" w:rsidP="00D263BD">
            <w:r>
              <w:t>10</w:t>
            </w:r>
          </w:p>
        </w:tc>
        <w:tc>
          <w:tcPr>
            <w:tcW w:w="1155" w:type="dxa"/>
          </w:tcPr>
          <w:p w:rsidR="00D7784D" w:rsidRDefault="005C3CAA" w:rsidP="00D263BD">
            <w:r>
              <w:t>10</w:t>
            </w:r>
          </w:p>
        </w:tc>
        <w:tc>
          <w:tcPr>
            <w:tcW w:w="1155" w:type="dxa"/>
          </w:tcPr>
          <w:p w:rsidR="00D7784D" w:rsidRDefault="005C3CAA" w:rsidP="00D263BD">
            <w:r>
              <w:t>10</w:t>
            </w:r>
          </w:p>
        </w:tc>
        <w:tc>
          <w:tcPr>
            <w:tcW w:w="1156" w:type="dxa"/>
          </w:tcPr>
          <w:p w:rsidR="00D7784D" w:rsidRDefault="005C3CAA" w:rsidP="00D263BD">
            <w:r>
              <w:t>10</w:t>
            </w:r>
          </w:p>
        </w:tc>
        <w:tc>
          <w:tcPr>
            <w:tcW w:w="1156" w:type="dxa"/>
          </w:tcPr>
          <w:p w:rsidR="00D7784D" w:rsidRDefault="005C3CAA" w:rsidP="00D263BD">
            <w:r>
              <w:t>10</w:t>
            </w:r>
          </w:p>
        </w:tc>
      </w:tr>
      <w:tr w:rsidR="00D7784D" w:rsidTr="005C3CAA">
        <w:tc>
          <w:tcPr>
            <w:tcW w:w="1242" w:type="dxa"/>
          </w:tcPr>
          <w:p w:rsidR="00D7784D" w:rsidRPr="005C3CAA" w:rsidRDefault="005C3CAA" w:rsidP="005C3CAA">
            <w:pPr>
              <w:jc w:val="center"/>
              <w:rPr>
                <w:b/>
                <w:sz w:val="18"/>
                <w:szCs w:val="18"/>
              </w:rPr>
            </w:pPr>
            <w:r w:rsidRPr="005C3CAA">
              <w:rPr>
                <w:b/>
                <w:sz w:val="18"/>
                <w:szCs w:val="18"/>
              </w:rPr>
              <w:t>Yrs to maturity</w:t>
            </w:r>
          </w:p>
        </w:tc>
        <w:tc>
          <w:tcPr>
            <w:tcW w:w="1068" w:type="dxa"/>
          </w:tcPr>
          <w:p w:rsidR="00D7784D" w:rsidRDefault="005C3CAA" w:rsidP="00D263BD">
            <w:r>
              <w:t>3</w:t>
            </w:r>
          </w:p>
        </w:tc>
        <w:tc>
          <w:tcPr>
            <w:tcW w:w="1155" w:type="dxa"/>
          </w:tcPr>
          <w:p w:rsidR="00D7784D" w:rsidRDefault="005C3CAA" w:rsidP="00D263BD">
            <w:r>
              <w:t>3</w:t>
            </w:r>
          </w:p>
        </w:tc>
        <w:tc>
          <w:tcPr>
            <w:tcW w:w="1155" w:type="dxa"/>
          </w:tcPr>
          <w:p w:rsidR="00D7784D" w:rsidRDefault="005C3CAA" w:rsidP="00D263BD">
            <w:r>
              <w:t>3</w:t>
            </w:r>
          </w:p>
        </w:tc>
        <w:tc>
          <w:tcPr>
            <w:tcW w:w="1155" w:type="dxa"/>
          </w:tcPr>
          <w:p w:rsidR="00D7784D" w:rsidRDefault="005C3CAA" w:rsidP="00D263BD">
            <w:r>
              <w:t>3</w:t>
            </w:r>
          </w:p>
        </w:tc>
        <w:tc>
          <w:tcPr>
            <w:tcW w:w="1155" w:type="dxa"/>
          </w:tcPr>
          <w:p w:rsidR="00D7784D" w:rsidRDefault="005C3CAA" w:rsidP="00D263BD">
            <w:r>
              <w:t>3</w:t>
            </w:r>
          </w:p>
        </w:tc>
        <w:tc>
          <w:tcPr>
            <w:tcW w:w="1156" w:type="dxa"/>
          </w:tcPr>
          <w:p w:rsidR="00D7784D" w:rsidRDefault="005C3CAA" w:rsidP="00D263BD">
            <w:r>
              <w:t>3</w:t>
            </w:r>
          </w:p>
        </w:tc>
        <w:tc>
          <w:tcPr>
            <w:tcW w:w="1156" w:type="dxa"/>
          </w:tcPr>
          <w:p w:rsidR="00D7784D" w:rsidRDefault="005C3CAA" w:rsidP="00D263BD">
            <w:r>
              <w:t>3</w:t>
            </w:r>
          </w:p>
        </w:tc>
      </w:tr>
      <w:tr w:rsidR="00D7784D" w:rsidTr="005C3CAA">
        <w:tc>
          <w:tcPr>
            <w:tcW w:w="1242" w:type="dxa"/>
          </w:tcPr>
          <w:p w:rsidR="00D7784D" w:rsidRPr="005C3CAA" w:rsidRDefault="005C3CAA" w:rsidP="005C3CAA">
            <w:pPr>
              <w:jc w:val="center"/>
              <w:rPr>
                <w:b/>
                <w:sz w:val="18"/>
                <w:szCs w:val="18"/>
              </w:rPr>
            </w:pPr>
            <w:r w:rsidRPr="005C3CAA">
              <w:rPr>
                <w:b/>
                <w:sz w:val="18"/>
                <w:szCs w:val="18"/>
              </w:rPr>
              <w:t>Bond price</w:t>
            </w:r>
          </w:p>
        </w:tc>
        <w:tc>
          <w:tcPr>
            <w:tcW w:w="1068" w:type="dxa"/>
          </w:tcPr>
          <w:p w:rsidR="00D7784D" w:rsidRDefault="005C3CAA" w:rsidP="00D263BD">
            <w:r>
              <w:t>820</w:t>
            </w:r>
          </w:p>
        </w:tc>
        <w:tc>
          <w:tcPr>
            <w:tcW w:w="1155" w:type="dxa"/>
          </w:tcPr>
          <w:p w:rsidR="00D7784D" w:rsidRDefault="005C3CAA" w:rsidP="00D263BD">
            <w:r>
              <w:t>883</w:t>
            </w:r>
          </w:p>
        </w:tc>
        <w:tc>
          <w:tcPr>
            <w:tcW w:w="1155" w:type="dxa"/>
          </w:tcPr>
          <w:p w:rsidR="00D7784D" w:rsidRDefault="005C3CAA" w:rsidP="00D263BD">
            <w:r>
              <w:t>950</w:t>
            </w:r>
          </w:p>
        </w:tc>
        <w:tc>
          <w:tcPr>
            <w:tcW w:w="1155" w:type="dxa"/>
          </w:tcPr>
          <w:p w:rsidR="00D7784D" w:rsidRDefault="005C3CAA" w:rsidP="00D263BD">
            <w:r>
              <w:t>1000</w:t>
            </w:r>
          </w:p>
        </w:tc>
        <w:tc>
          <w:tcPr>
            <w:tcW w:w="1155" w:type="dxa"/>
          </w:tcPr>
          <w:p w:rsidR="00D7784D" w:rsidRDefault="005C3CAA" w:rsidP="00D263BD">
            <w:r>
              <w:t>1052</w:t>
            </w:r>
          </w:p>
        </w:tc>
        <w:tc>
          <w:tcPr>
            <w:tcW w:w="1156" w:type="dxa"/>
          </w:tcPr>
          <w:p w:rsidR="00D7784D" w:rsidRDefault="005C3CAA" w:rsidP="00D263BD">
            <w:r>
              <w:t>1108</w:t>
            </w:r>
          </w:p>
        </w:tc>
        <w:tc>
          <w:tcPr>
            <w:tcW w:w="1156" w:type="dxa"/>
          </w:tcPr>
          <w:p w:rsidR="00D7784D" w:rsidRDefault="005C3CAA" w:rsidP="00D263BD">
            <w:r>
              <w:t>1168</w:t>
            </w:r>
          </w:p>
        </w:tc>
      </w:tr>
    </w:tbl>
    <w:p w:rsidR="00D7784D" w:rsidRDefault="005C3CAA" w:rsidP="00D263BD">
      <w:proofErr w:type="gramStart"/>
      <w:r>
        <w:rPr>
          <w:i/>
        </w:rPr>
        <w:t>(Using online calculator.</w:t>
      </w:r>
      <w:proofErr w:type="gramEnd"/>
      <w:r>
        <w:rPr>
          <w:i/>
        </w:rPr>
        <w:t xml:space="preserve"> Source: </w:t>
      </w:r>
      <w:hyperlink r:id="rId5" w:history="1">
        <w:r>
          <w:rPr>
            <w:rStyle w:val="Hyperlink"/>
          </w:rPr>
          <w:t>http://finance.thinkanddone.com/online-non-zero-bond-calculator.html</w:t>
        </w:r>
      </w:hyperlink>
      <w:r>
        <w:t>)</w:t>
      </w:r>
    </w:p>
    <w:p w:rsidR="005C3CAA" w:rsidRPr="005C3CAA" w:rsidRDefault="005C3CAA" w:rsidP="00D263BD">
      <w:pPr>
        <w:rPr>
          <w:i/>
        </w:rPr>
      </w:pPr>
      <w:r>
        <w:t xml:space="preserve">The graph shows that the bond price would be higher if the yield to maturity (YTM) is less than the coupon rate. When YTM is greater than the coupon rate, the Bond price would be lower. Therefore, I would be willing to pay more than $1000 for a coupon bond when the yield to maturity would be greater than the coupon rate. </w:t>
      </w:r>
    </w:p>
    <w:p w:rsidR="00F02CB2" w:rsidRDefault="00F02CB2">
      <w:r>
        <w:br w:type="page"/>
      </w:r>
    </w:p>
    <w:p w:rsidR="005C3CAA" w:rsidRDefault="00FC610B" w:rsidP="00FC610B">
      <w:pPr>
        <w:jc w:val="right"/>
        <w:rPr>
          <w:i/>
        </w:rPr>
      </w:pPr>
      <w:proofErr w:type="gramStart"/>
      <w:r>
        <w:lastRenderedPageBreak/>
        <w:t>6.</w:t>
      </w:r>
      <w:proofErr w:type="gramEnd"/>
      <w:r>
        <w:br/>
      </w:r>
      <w:r>
        <w:rPr>
          <w:i/>
          <w:noProof/>
          <w:lang w:eastAsia="en-GB"/>
        </w:rPr>
        <w:drawing>
          <wp:inline distT="0" distB="0" distL="0" distR="0">
            <wp:extent cx="4559300" cy="4222750"/>
            <wp:effectExtent l="1905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srcRect/>
                    <a:stretch>
                      <a:fillRect/>
                    </a:stretch>
                  </pic:blipFill>
                  <pic:spPr bwMode="auto">
                    <a:xfrm>
                      <a:off x="0" y="0"/>
                      <a:ext cx="4559300" cy="4222750"/>
                    </a:xfrm>
                    <a:prstGeom prst="rect">
                      <a:avLst/>
                    </a:prstGeom>
                    <a:noFill/>
                    <a:ln w="9525">
                      <a:noFill/>
                      <a:miter lim="800000"/>
                      <a:headEnd/>
                      <a:tailEnd/>
                    </a:ln>
                  </pic:spPr>
                </pic:pic>
              </a:graphicData>
            </a:graphic>
          </wp:inline>
        </w:drawing>
      </w:r>
      <w:r>
        <w:rPr>
          <w:i/>
        </w:rPr>
        <w:t>Graphs showing Supply and Demand of bonds</w:t>
      </w:r>
    </w:p>
    <w:p w:rsidR="00FC610B" w:rsidRDefault="0039551D" w:rsidP="00FC610B">
      <w:r>
        <w:t>For (A), the equilibrium quantity of bonds increases because the supply curve shifts to the right as a result of increased supply from the website facilitating the trading of corporate bonds. For (B), the supply curve also shifts to the right because the issuers of the bonds have a stronger response to the expected fall in inflation. The increased supply means that the equilibrium quantity of bonds increases. In (C), supply and demand both shift to the left. There is a higher price for the bonds and ultimately, the equilibrium quantity of bonds decreases. The removal of tax incentives increase the price of the bonds leading to a fall in the equilibrium quantity. As for (D), supply shifts to the left as the bond issuers would be aiming to get higher prices for the bonds</w:t>
      </w:r>
      <w:r w:rsidR="00202DFF">
        <w:t>. This would lead to the equilibrium quantity being decreased.</w:t>
      </w:r>
    </w:p>
    <w:p w:rsidR="0006680F" w:rsidRDefault="0006680F" w:rsidP="00FC610B">
      <w:pPr>
        <w:rPr>
          <w:b/>
        </w:rPr>
      </w:pPr>
      <w:proofErr w:type="gramStart"/>
      <w:r>
        <w:t>7.</w:t>
      </w:r>
      <w:proofErr w:type="gramEnd"/>
      <w:r>
        <w:br/>
        <w:t>Face value= $1000</w:t>
      </w:r>
      <w:r>
        <w:br/>
      </w:r>
      <w:r w:rsidR="00F13899">
        <w:t>270days/365days * 0.038 * 1000= $28.11 (yield)</w:t>
      </w:r>
      <w:r w:rsidR="00F13899">
        <w:br/>
        <w:t xml:space="preserve">therefore the price = $1000 + $28.11 = </w:t>
      </w:r>
      <w:r w:rsidR="00F13899" w:rsidRPr="00F13899">
        <w:rPr>
          <w:b/>
        </w:rPr>
        <w:t>$1,028</w:t>
      </w:r>
    </w:p>
    <w:p w:rsidR="00F13899" w:rsidRDefault="00F13899" w:rsidP="00FC610B">
      <w:proofErr w:type="gramStart"/>
      <w:r>
        <w:t>8.</w:t>
      </w:r>
      <w:proofErr w:type="gramEnd"/>
      <w:r w:rsidR="00CE62F8">
        <w:br/>
        <w:t xml:space="preserve">There are both benefits and costs to both creditors and depositors in the banking system when it comes to the “too-big-to-fail” policy. One major problem is that this policy increases the moral hazard incentives for the big banks in the financial market. The banks would undertake activities that may be questionable. For one, the big banks could conduct activities with high risk and this could ultimately increase chances of a financial crisis. The depositors in the end would possibly lose out. </w:t>
      </w:r>
      <w:r w:rsidR="00CE62F8">
        <w:lastRenderedPageBreak/>
        <w:t xml:space="preserve">Also, if such big banks fail, since there is a limit to the pay out the depositors would receive, the individuals who had deposited an amount greater than that of the limit would incur greater losses. Banks would possibly aim to maximize their risk with the intention of maximizing profits. They would do so with the notion that if at all they fail, they would be bailed out and assisted by the government safety net. On the other hand, the benefits to the “too-big-to-fail” policy include the idea that if the big banks actually do fail, depositors would be reimbursed </w:t>
      </w:r>
      <w:r w:rsidR="00B80D6E">
        <w:t>up to a certain amount. This limit protects depositors who have an amount equal to or less than the limit deposited in the bank. If the bank fails, the CDIC would close it down using the pay-off method and this would protect the depositors who have less than the limit deposited in their account. This however is a disadvantage for those with deposits greater than the pay-off limit set. All in all, depositors may have low risk depositing the money in the big banks. Also, since they have their money deposited in a big bank, depositors don’t have to monitor greatly how the bank is operating and they need not observe the banks activities closely because the chances of failure are low.</w:t>
      </w:r>
    </w:p>
    <w:p w:rsidR="00B80D6E" w:rsidRDefault="00B80D6E" w:rsidP="00FC610B">
      <w:proofErr w:type="gramStart"/>
      <w:r>
        <w:t>9.</w:t>
      </w:r>
      <w:proofErr w:type="gramEnd"/>
      <w:r>
        <w:br/>
      </w:r>
      <w:r w:rsidR="0031091D">
        <w:t xml:space="preserve">Regulatory forbearance is a dangerous strategy because when </w:t>
      </w:r>
      <w:r w:rsidR="00E731F8">
        <w:t xml:space="preserve">banks are insolvent, they have a greater incentive to perform moral hazard and take on activities that have a higher </w:t>
      </w:r>
      <w:r w:rsidR="00FE4BA9">
        <w:t>risk in the aim to get higher profits. The banks know that since they are insured, they can increase their risk. If the bank undertakes activities which fail, the depository insurance agencies will cover them. If the bank fails while undertaking an activity with high risk, it has little to lose. But if the high risk activities are a success, they would have a lot to gain. It has little to lose and a lot to gain. This ultimately means that the great risks by banks can lead to the deposit insurance agencies incurring high losses.</w:t>
      </w:r>
    </w:p>
    <w:p w:rsidR="00FC3A43" w:rsidRDefault="00FE4BA9" w:rsidP="00FC610B">
      <w:r>
        <w:t>10</w:t>
      </w:r>
      <w:proofErr w:type="gramStart"/>
      <w:r w:rsidR="00FC3A43">
        <w:t>.</w:t>
      </w:r>
      <w:proofErr w:type="gramEnd"/>
      <w:r w:rsidR="00FC3A43">
        <w:br/>
        <w:t xml:space="preserve">the 1980s Canadian banking crisis can be blamed on the principal agent problem because the managers had different perspectives in the conducting of business as compared to the stakeholders in the companies. There was a moral hazard problem that occurred because the managers were acting in their own interest and this was different from what the owners of the companies wanted. Therefore, there was a conflict of interest between the managers and owners. The owners wanted maximized profits while the managers were aiming to earn more. The managers owned a small fraction of the company and therefore had little incentive to maximize profits. </w:t>
      </w:r>
      <w:proofErr w:type="gramStart"/>
      <w:r w:rsidR="00FC3A43">
        <w:t>This lead to mismanagement of the banking institutions thus leading to the 1980s Canadian financial crisis.</w:t>
      </w:r>
      <w:proofErr w:type="gramEnd"/>
    </w:p>
    <w:p w:rsidR="00C07212" w:rsidRDefault="00C07212" w:rsidP="00FC610B"/>
    <w:p w:rsidR="00C07212" w:rsidRDefault="00C07212" w:rsidP="00FC610B">
      <w:pPr>
        <w:rPr>
          <w:u w:val="single"/>
        </w:rPr>
      </w:pPr>
      <w:r>
        <w:rPr>
          <w:u w:val="single"/>
        </w:rPr>
        <w:t>References:</w:t>
      </w:r>
    </w:p>
    <w:p w:rsidR="00C07212" w:rsidRPr="00C07212" w:rsidRDefault="00274FE8" w:rsidP="00FC610B">
      <w:hyperlink r:id="rId7" w:history="1">
        <w:r w:rsidR="00C07212">
          <w:rPr>
            <w:rStyle w:val="Hyperlink"/>
          </w:rPr>
          <w:t>http://www.moneychimp.com/features/debt_payment_calculator.htm</w:t>
        </w:r>
      </w:hyperlink>
      <w:r w:rsidR="00C07212">
        <w:br/>
      </w:r>
      <w:hyperlink r:id="rId8" w:history="1">
        <w:r w:rsidR="00C07212">
          <w:rPr>
            <w:rStyle w:val="Hyperlink"/>
          </w:rPr>
          <w:t>http://www.moneychimp.com/calculator/bond_yield_calculator.htm</w:t>
        </w:r>
      </w:hyperlink>
      <w:r w:rsidR="00C07212">
        <w:br/>
      </w:r>
      <w:hyperlink r:id="rId9" w:history="1">
        <w:r w:rsidR="00C07212">
          <w:rPr>
            <w:rStyle w:val="Hyperlink"/>
          </w:rPr>
          <w:t>http://finance.thinkanddone.com/online-non-zero-bond-calculator.html</w:t>
        </w:r>
      </w:hyperlink>
      <w:r w:rsidR="00C07212">
        <w:br/>
      </w:r>
      <w:r w:rsidR="00C07212">
        <w:rPr>
          <w:u w:val="single"/>
        </w:rPr>
        <w:br/>
      </w:r>
      <w:r w:rsidR="00C07212">
        <w:rPr>
          <w:i/>
        </w:rPr>
        <w:t xml:space="preserve">“The Economics of Money, Banking, and Financial Markets” </w:t>
      </w:r>
      <w:r w:rsidR="00C07212">
        <w:t>4</w:t>
      </w:r>
      <w:r w:rsidR="00C07212" w:rsidRPr="00C07212">
        <w:rPr>
          <w:vertAlign w:val="superscript"/>
        </w:rPr>
        <w:t>th</w:t>
      </w:r>
      <w:r w:rsidR="00C07212">
        <w:t xml:space="preserve"> edition, Frederic S. </w:t>
      </w:r>
      <w:proofErr w:type="spellStart"/>
      <w:r w:rsidR="00C07212">
        <w:t>Mishkin</w:t>
      </w:r>
      <w:proofErr w:type="spellEnd"/>
      <w:r w:rsidR="00C07212">
        <w:t xml:space="preserve">, </w:t>
      </w:r>
      <w:proofErr w:type="spellStart"/>
      <w:r w:rsidR="00C07212">
        <w:t>Apostolos</w:t>
      </w:r>
      <w:proofErr w:type="spellEnd"/>
      <w:r w:rsidR="00C07212">
        <w:t xml:space="preserve"> </w:t>
      </w:r>
      <w:proofErr w:type="spellStart"/>
      <w:r w:rsidR="00C07212">
        <w:t>Serletis</w:t>
      </w:r>
      <w:proofErr w:type="spellEnd"/>
      <w:r w:rsidR="00C07212">
        <w:t>, Pearson Canada 2010</w:t>
      </w:r>
    </w:p>
    <w:sectPr w:rsidR="00C07212" w:rsidRPr="00C07212" w:rsidSect="001C20D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Palatino-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5"/>
  <w:proofState w:spelling="clean" w:grammar="clean"/>
  <w:defaultTabStop w:val="720"/>
  <w:characterSpacingControl w:val="doNotCompress"/>
  <w:compat/>
  <w:rsids>
    <w:rsidRoot w:val="00D263BD"/>
    <w:rsid w:val="0006680F"/>
    <w:rsid w:val="000F5497"/>
    <w:rsid w:val="001C20D8"/>
    <w:rsid w:val="00202DFF"/>
    <w:rsid w:val="00274FE8"/>
    <w:rsid w:val="0031091D"/>
    <w:rsid w:val="003133EE"/>
    <w:rsid w:val="003778B4"/>
    <w:rsid w:val="0039551D"/>
    <w:rsid w:val="005C3CAA"/>
    <w:rsid w:val="007A2DD0"/>
    <w:rsid w:val="007D0379"/>
    <w:rsid w:val="00920092"/>
    <w:rsid w:val="00A318E3"/>
    <w:rsid w:val="00B80D6E"/>
    <w:rsid w:val="00C07212"/>
    <w:rsid w:val="00CA3DE8"/>
    <w:rsid w:val="00CE62F8"/>
    <w:rsid w:val="00D263BD"/>
    <w:rsid w:val="00D7784D"/>
    <w:rsid w:val="00E731F8"/>
    <w:rsid w:val="00EC104C"/>
    <w:rsid w:val="00F02CB2"/>
    <w:rsid w:val="00F13899"/>
    <w:rsid w:val="00FC3A43"/>
    <w:rsid w:val="00FC610B"/>
    <w:rsid w:val="00FE4BA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0D8"/>
  </w:style>
  <w:style w:type="paragraph" w:styleId="Heading1">
    <w:name w:val="heading 1"/>
    <w:basedOn w:val="Normal"/>
    <w:next w:val="Normal"/>
    <w:link w:val="Heading1Char"/>
    <w:uiPriority w:val="9"/>
    <w:qFormat/>
    <w:rsid w:val="00D263B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63BD"/>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D263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3BD"/>
    <w:rPr>
      <w:rFonts w:ascii="Tahoma" w:hAnsi="Tahoma" w:cs="Tahoma"/>
      <w:sz w:val="16"/>
      <w:szCs w:val="16"/>
    </w:rPr>
  </w:style>
  <w:style w:type="table" w:styleId="TableGrid">
    <w:name w:val="Table Grid"/>
    <w:basedOn w:val="TableNormal"/>
    <w:uiPriority w:val="59"/>
    <w:rsid w:val="00D77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5C3CAA"/>
    <w:rPr>
      <w:color w:val="0000FF"/>
      <w:u w:val="single"/>
    </w:rPr>
  </w:style>
</w:styles>
</file>

<file path=word/webSettings.xml><?xml version="1.0" encoding="utf-8"?>
<w:webSettings xmlns:r="http://schemas.openxmlformats.org/officeDocument/2006/relationships" xmlns:w="http://schemas.openxmlformats.org/wordprocessingml/2006/main">
  <w:divs>
    <w:div w:id="656879507">
      <w:bodyDiv w:val="1"/>
      <w:marLeft w:val="0"/>
      <w:marRight w:val="0"/>
      <w:marTop w:val="0"/>
      <w:marBottom w:val="0"/>
      <w:divBdr>
        <w:top w:val="none" w:sz="0" w:space="0" w:color="auto"/>
        <w:left w:val="none" w:sz="0" w:space="0" w:color="auto"/>
        <w:bottom w:val="none" w:sz="0" w:space="0" w:color="auto"/>
        <w:right w:val="none" w:sz="0" w:space="0" w:color="auto"/>
      </w:divBdr>
    </w:div>
    <w:div w:id="954822718">
      <w:bodyDiv w:val="1"/>
      <w:marLeft w:val="0"/>
      <w:marRight w:val="0"/>
      <w:marTop w:val="0"/>
      <w:marBottom w:val="0"/>
      <w:divBdr>
        <w:top w:val="none" w:sz="0" w:space="0" w:color="auto"/>
        <w:left w:val="none" w:sz="0" w:space="0" w:color="auto"/>
        <w:bottom w:val="none" w:sz="0" w:space="0" w:color="auto"/>
        <w:right w:val="none" w:sz="0" w:space="0" w:color="auto"/>
      </w:divBdr>
    </w:div>
    <w:div w:id="964039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oneychimp.com/calculator/bond_yield_calculator.htm" TargetMode="External"/><Relationship Id="rId3" Type="http://schemas.openxmlformats.org/officeDocument/2006/relationships/webSettings" Target="webSettings.xml"/><Relationship Id="rId7" Type="http://schemas.openxmlformats.org/officeDocument/2006/relationships/hyperlink" Target="http://www.moneychimp.com/features/debt_payment_calculator.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http://finance.thinkanddone.com/online-non-zero-bond-calculator.html" TargetMode="External"/><Relationship Id="rId10" Type="http://schemas.openxmlformats.org/officeDocument/2006/relationships/fontTable" Target="fontTable.xml"/><Relationship Id="rId4" Type="http://schemas.openxmlformats.org/officeDocument/2006/relationships/chart" Target="charts/chart1.xml"/><Relationship Id="rId9" Type="http://schemas.openxmlformats.org/officeDocument/2006/relationships/hyperlink" Target="http://finance.thinkanddone.com/online-non-zero-bond-calculator.html" TargetMode="Externa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plotArea>
      <c:layout/>
      <c:lineChart>
        <c:grouping val="standard"/>
        <c:ser>
          <c:idx val="0"/>
          <c:order val="0"/>
          <c:tx>
            <c:strRef>
              <c:f>Sheet1!$C$2</c:f>
              <c:strCache>
                <c:ptCount val="1"/>
                <c:pt idx="0">
                  <c:v>5%</c:v>
                </c:pt>
              </c:strCache>
            </c:strRef>
          </c:tx>
          <c:marker>
            <c:symbol val="none"/>
          </c:marker>
          <c:cat>
            <c:numRef>
              <c:f>Sheet1!$B$3:$B$32</c:f>
              <c:numCache>
                <c:formatCode>General</c:formatCode>
                <c:ptCount val="3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numCache>
            </c:numRef>
          </c:cat>
          <c:val>
            <c:numRef>
              <c:f>Sheet1!$C$3:$C$32</c:f>
              <c:numCache>
                <c:formatCode>General</c:formatCode>
                <c:ptCount val="30"/>
                <c:pt idx="0">
                  <c:v>95.238095238095241</c:v>
                </c:pt>
                <c:pt idx="1">
                  <c:v>90.702947845804914</c:v>
                </c:pt>
                <c:pt idx="2">
                  <c:v>86.383759853147581</c:v>
                </c:pt>
                <c:pt idx="3">
                  <c:v>82.2702474791882</c:v>
                </c:pt>
                <c:pt idx="4">
                  <c:v>78.352616646845902</c:v>
                </c:pt>
                <c:pt idx="5">
                  <c:v>74.621539663662773</c:v>
                </c:pt>
                <c:pt idx="6">
                  <c:v>71.068133013012144</c:v>
                </c:pt>
                <c:pt idx="7">
                  <c:v>67.683936202868594</c:v>
                </c:pt>
                <c:pt idx="8">
                  <c:v>64.460891621779723</c:v>
                </c:pt>
                <c:pt idx="9">
                  <c:v>61.391325354075974</c:v>
                </c:pt>
                <c:pt idx="10">
                  <c:v>58.467928908643742</c:v>
                </c:pt>
                <c:pt idx="11">
                  <c:v>55.683741817755951</c:v>
                </c:pt>
                <c:pt idx="12">
                  <c:v>53.032135064529534</c:v>
                </c:pt>
                <c:pt idx="13">
                  <c:v>50.506795299551925</c:v>
                </c:pt>
                <c:pt idx="14">
                  <c:v>48.101709809096995</c:v>
                </c:pt>
                <c:pt idx="15">
                  <c:v>45.811152199140025</c:v>
                </c:pt>
                <c:pt idx="16">
                  <c:v>43.629668761085732</c:v>
                </c:pt>
                <c:pt idx="17">
                  <c:v>41.552065486748255</c:v>
                </c:pt>
                <c:pt idx="18">
                  <c:v>39.573395701665056</c:v>
                </c:pt>
                <c:pt idx="19">
                  <c:v>37.688948287300057</c:v>
                </c:pt>
                <c:pt idx="20">
                  <c:v>35.894236464095258</c:v>
                </c:pt>
                <c:pt idx="21">
                  <c:v>34.184987108662114</c:v>
                </c:pt>
                <c:pt idx="22">
                  <c:v>32.557130579678244</c:v>
                </c:pt>
                <c:pt idx="23">
                  <c:v>31.00679102826502</c:v>
                </c:pt>
                <c:pt idx="24">
                  <c:v>29.530277169776227</c:v>
                </c:pt>
                <c:pt idx="25">
                  <c:v>28.12407349502498</c:v>
                </c:pt>
                <c:pt idx="26">
                  <c:v>26.784831900023772</c:v>
                </c:pt>
                <c:pt idx="27">
                  <c:v>25.509363714308357</c:v>
                </c:pt>
                <c:pt idx="28">
                  <c:v>24.294632108865073</c:v>
                </c:pt>
                <c:pt idx="29">
                  <c:v>23.137744865585816</c:v>
                </c:pt>
              </c:numCache>
            </c:numRef>
          </c:val>
        </c:ser>
        <c:ser>
          <c:idx val="1"/>
          <c:order val="1"/>
          <c:tx>
            <c:strRef>
              <c:f>Sheet1!$D$2</c:f>
              <c:strCache>
                <c:ptCount val="1"/>
                <c:pt idx="0">
                  <c:v>10%</c:v>
                </c:pt>
              </c:strCache>
            </c:strRef>
          </c:tx>
          <c:marker>
            <c:symbol val="none"/>
          </c:marker>
          <c:cat>
            <c:numRef>
              <c:f>Sheet1!$B$3:$B$32</c:f>
              <c:numCache>
                <c:formatCode>General</c:formatCode>
                <c:ptCount val="3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numCache>
            </c:numRef>
          </c:cat>
          <c:val>
            <c:numRef>
              <c:f>Sheet1!$D$3:$D$32</c:f>
              <c:numCache>
                <c:formatCode>"£"#,##0.00;[Red]\-"£"#,##0.00</c:formatCode>
                <c:ptCount val="30"/>
                <c:pt idx="0">
                  <c:v>90.909090909090907</c:v>
                </c:pt>
                <c:pt idx="1">
                  <c:v>82.644628099173644</c:v>
                </c:pt>
                <c:pt idx="2">
                  <c:v>75.131480090157751</c:v>
                </c:pt>
                <c:pt idx="3">
                  <c:v>68.301345536506986</c:v>
                </c:pt>
                <c:pt idx="4">
                  <c:v>62.092132305915563</c:v>
                </c:pt>
                <c:pt idx="5">
                  <c:v>56.44739300537772</c:v>
                </c:pt>
                <c:pt idx="6">
                  <c:v>51.315811823070646</c:v>
                </c:pt>
                <c:pt idx="7">
                  <c:v>46.65073802097335</c:v>
                </c:pt>
                <c:pt idx="8">
                  <c:v>42.409761837248404</c:v>
                </c:pt>
                <c:pt idx="9">
                  <c:v>38.554328942953163</c:v>
                </c:pt>
                <c:pt idx="10">
                  <c:v>35.049389948139257</c:v>
                </c:pt>
                <c:pt idx="11">
                  <c:v>31.863081771035656</c:v>
                </c:pt>
                <c:pt idx="12">
                  <c:v>28.966437973668743</c:v>
                </c:pt>
                <c:pt idx="13">
                  <c:v>26.333125430607975</c:v>
                </c:pt>
                <c:pt idx="14">
                  <c:v>23.939204936916326</c:v>
                </c:pt>
                <c:pt idx="15">
                  <c:v>21.762913579014835</c:v>
                </c:pt>
                <c:pt idx="16">
                  <c:v>19.784466890013487</c:v>
                </c:pt>
                <c:pt idx="17">
                  <c:v>17.985878990921329</c:v>
                </c:pt>
                <c:pt idx="18">
                  <c:v>16.350799082655783</c:v>
                </c:pt>
                <c:pt idx="19">
                  <c:v>14.86436280241435</c:v>
                </c:pt>
                <c:pt idx="20">
                  <c:v>13.513057093103956</c:v>
                </c:pt>
                <c:pt idx="21">
                  <c:v>12.284597357367238</c:v>
                </c:pt>
                <c:pt idx="22">
                  <c:v>11.167815779424751</c:v>
                </c:pt>
                <c:pt idx="23">
                  <c:v>10.152559799477059</c:v>
                </c:pt>
                <c:pt idx="24">
                  <c:v>9.2295998177064185</c:v>
                </c:pt>
                <c:pt idx="25">
                  <c:v>8.3905452888240148</c:v>
                </c:pt>
                <c:pt idx="26">
                  <c:v>7.6277684443854517</c:v>
                </c:pt>
                <c:pt idx="27">
                  <c:v>6.9343349494413253</c:v>
                </c:pt>
                <c:pt idx="28">
                  <c:v>6.3039408631284726</c:v>
                </c:pt>
                <c:pt idx="29">
                  <c:v>5.7308553301167917</c:v>
                </c:pt>
              </c:numCache>
            </c:numRef>
          </c:val>
        </c:ser>
        <c:ser>
          <c:idx val="2"/>
          <c:order val="2"/>
          <c:tx>
            <c:strRef>
              <c:f>Sheet1!$E$2</c:f>
              <c:strCache>
                <c:ptCount val="1"/>
                <c:pt idx="0">
                  <c:v>15%</c:v>
                </c:pt>
              </c:strCache>
            </c:strRef>
          </c:tx>
          <c:marker>
            <c:symbol val="none"/>
          </c:marker>
          <c:cat>
            <c:numRef>
              <c:f>Sheet1!$B$3:$B$32</c:f>
              <c:numCache>
                <c:formatCode>General</c:formatCode>
                <c:ptCount val="3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numCache>
            </c:numRef>
          </c:cat>
          <c:val>
            <c:numRef>
              <c:f>Sheet1!$E$3:$E$32</c:f>
              <c:numCache>
                <c:formatCode>General</c:formatCode>
                <c:ptCount val="30"/>
                <c:pt idx="0">
                  <c:v>86.956521739130437</c:v>
                </c:pt>
                <c:pt idx="1">
                  <c:v>75.614366729678665</c:v>
                </c:pt>
                <c:pt idx="2">
                  <c:v>65.751623243198935</c:v>
                </c:pt>
                <c:pt idx="3">
                  <c:v>57.175324559303291</c:v>
                </c:pt>
                <c:pt idx="4">
                  <c:v>49.717673529828986</c:v>
                </c:pt>
                <c:pt idx="5">
                  <c:v>43.232759591155663</c:v>
                </c:pt>
                <c:pt idx="6">
                  <c:v>37.593703992309308</c:v>
                </c:pt>
                <c:pt idx="7">
                  <c:v>32.690177384616753</c:v>
                </c:pt>
                <c:pt idx="8">
                  <c:v>28.426241204014573</c:v>
                </c:pt>
                <c:pt idx="9">
                  <c:v>24.718470612186593</c:v>
                </c:pt>
                <c:pt idx="10">
                  <c:v>21.494322271466572</c:v>
                </c:pt>
                <c:pt idx="11">
                  <c:v>18.69071501866663</c:v>
                </c:pt>
                <c:pt idx="12">
                  <c:v>16.252795668405746</c:v>
                </c:pt>
                <c:pt idx="13">
                  <c:v>14.132865798613693</c:v>
                </c:pt>
                <c:pt idx="14">
                  <c:v>12.28944852053365</c:v>
                </c:pt>
                <c:pt idx="15">
                  <c:v>10.686476974377097</c:v>
                </c:pt>
                <c:pt idx="16">
                  <c:v>9.2925886733713821</c:v>
                </c:pt>
                <c:pt idx="17">
                  <c:v>8.0805118898881592</c:v>
                </c:pt>
                <c:pt idx="18">
                  <c:v>7.0265320781636165</c:v>
                </c:pt>
                <c:pt idx="19">
                  <c:v>6.1100278940553201</c:v>
                </c:pt>
                <c:pt idx="20">
                  <c:v>5.3130677339611525</c:v>
                </c:pt>
                <c:pt idx="21">
                  <c:v>4.6200588990966462</c:v>
                </c:pt>
                <c:pt idx="22">
                  <c:v>4.01744252095361</c:v>
                </c:pt>
                <c:pt idx="23">
                  <c:v>3.4934282790900961</c:v>
                </c:pt>
                <c:pt idx="24">
                  <c:v>3.0377637209479129</c:v>
                </c:pt>
                <c:pt idx="25">
                  <c:v>2.6415336703894892</c:v>
                </c:pt>
                <c:pt idx="26">
                  <c:v>2.2969858003386827</c:v>
                </c:pt>
                <c:pt idx="27">
                  <c:v>1.9973789568162494</c:v>
                </c:pt>
                <c:pt idx="28">
                  <c:v>1.7368512667967382</c:v>
                </c:pt>
                <c:pt idx="29">
                  <c:v>1.5103054493884669</c:v>
                </c:pt>
              </c:numCache>
            </c:numRef>
          </c:val>
        </c:ser>
        <c:ser>
          <c:idx val="3"/>
          <c:order val="3"/>
          <c:tx>
            <c:strRef>
              <c:f>Sheet1!$F$2</c:f>
              <c:strCache>
                <c:ptCount val="1"/>
                <c:pt idx="0">
                  <c:v>20%</c:v>
                </c:pt>
              </c:strCache>
            </c:strRef>
          </c:tx>
          <c:marker>
            <c:symbol val="none"/>
          </c:marker>
          <c:cat>
            <c:numRef>
              <c:f>Sheet1!$B$3:$B$32</c:f>
              <c:numCache>
                <c:formatCode>General</c:formatCode>
                <c:ptCount val="3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numCache>
            </c:numRef>
          </c:cat>
          <c:val>
            <c:numRef>
              <c:f>Sheet1!$F$3:$F$32</c:f>
              <c:numCache>
                <c:formatCode>General</c:formatCode>
                <c:ptCount val="30"/>
                <c:pt idx="0">
                  <c:v>83.333333333333272</c:v>
                </c:pt>
                <c:pt idx="1">
                  <c:v>69.444444444444514</c:v>
                </c:pt>
                <c:pt idx="2">
                  <c:v>57.870370370370381</c:v>
                </c:pt>
                <c:pt idx="3">
                  <c:v>48.225308641975396</c:v>
                </c:pt>
                <c:pt idx="4">
                  <c:v>40.187757201646022</c:v>
                </c:pt>
                <c:pt idx="5">
                  <c:v>33.489797668038371</c:v>
                </c:pt>
                <c:pt idx="6">
                  <c:v>27.908164723365317</c:v>
                </c:pt>
                <c:pt idx="7">
                  <c:v>23.256803936137786</c:v>
                </c:pt>
                <c:pt idx="8">
                  <c:v>19.38066994678147</c:v>
                </c:pt>
                <c:pt idx="9">
                  <c:v>16.150558288984591</c:v>
                </c:pt>
                <c:pt idx="10">
                  <c:v>13.458798574153812</c:v>
                </c:pt>
                <c:pt idx="11">
                  <c:v>11.215665478461512</c:v>
                </c:pt>
                <c:pt idx="12">
                  <c:v>9.3463878987179267</c:v>
                </c:pt>
                <c:pt idx="13">
                  <c:v>7.7886565822649434</c:v>
                </c:pt>
                <c:pt idx="14">
                  <c:v>6.4905471518874487</c:v>
                </c:pt>
                <c:pt idx="15">
                  <c:v>5.4087892932395434</c:v>
                </c:pt>
                <c:pt idx="16">
                  <c:v>4.5073244110329505</c:v>
                </c:pt>
                <c:pt idx="17">
                  <c:v>3.7561036758607926</c:v>
                </c:pt>
                <c:pt idx="18">
                  <c:v>3.1300863965506598</c:v>
                </c:pt>
                <c:pt idx="19">
                  <c:v>2.6084053304588801</c:v>
                </c:pt>
                <c:pt idx="20">
                  <c:v>2.1736711087157388</c:v>
                </c:pt>
                <c:pt idx="21">
                  <c:v>1.8113925905964472</c:v>
                </c:pt>
                <c:pt idx="22">
                  <c:v>1.5094938254970394</c:v>
                </c:pt>
                <c:pt idx="23">
                  <c:v>1.2579115212475329</c:v>
                </c:pt>
                <c:pt idx="24">
                  <c:v>1.0482596010396106</c:v>
                </c:pt>
                <c:pt idx="25">
                  <c:v>0.87354966753301011</c:v>
                </c:pt>
                <c:pt idx="26">
                  <c:v>0.72795805627750843</c:v>
                </c:pt>
                <c:pt idx="27">
                  <c:v>0.60663171356459133</c:v>
                </c:pt>
                <c:pt idx="28">
                  <c:v>0.5055264279704913</c:v>
                </c:pt>
                <c:pt idx="29">
                  <c:v>0.42127202330874314</c:v>
                </c:pt>
              </c:numCache>
            </c:numRef>
          </c:val>
        </c:ser>
        <c:marker val="1"/>
        <c:axId val="93609984"/>
        <c:axId val="93611520"/>
      </c:lineChart>
      <c:catAx>
        <c:axId val="93609984"/>
        <c:scaling>
          <c:orientation val="minMax"/>
        </c:scaling>
        <c:axPos val="b"/>
        <c:numFmt formatCode="General" sourceLinked="0"/>
        <c:tickLblPos val="nextTo"/>
        <c:crossAx val="93611520"/>
        <c:crosses val="autoZero"/>
        <c:auto val="1"/>
        <c:lblAlgn val="ctr"/>
        <c:lblOffset val="100"/>
        <c:tickLblSkip val="1"/>
      </c:catAx>
      <c:valAx>
        <c:axId val="93611520"/>
        <c:scaling>
          <c:orientation val="minMax"/>
        </c:scaling>
        <c:axPos val="l"/>
        <c:majorGridlines/>
        <c:numFmt formatCode="General" sourceLinked="1"/>
        <c:tickLblPos val="nextTo"/>
        <c:crossAx val="93609984"/>
        <c:crosses val="autoZero"/>
        <c:crossBetween val="between"/>
      </c:valAx>
    </c:plotArea>
    <c:legend>
      <c:legendPos val="r"/>
    </c:legend>
    <c:plotVisOnly val="1"/>
  </c:chart>
  <c:externalData r:id="rId1"/>
  <c:userShapes r:id="rId2"/>
</c:chartSpace>
</file>

<file path=word/drawings/drawing1.xml><?xml version="1.0" encoding="utf-8"?>
<c:userShapes xmlns:c="http://schemas.openxmlformats.org/drawingml/2006/chart">
  <cdr:relSizeAnchor xmlns:cdr="http://schemas.openxmlformats.org/drawingml/2006/chartDrawing">
    <cdr:from>
      <cdr:x>0.87083</cdr:x>
      <cdr:y>0.16667</cdr:y>
    </cdr:from>
    <cdr:to>
      <cdr:x>0.95694</cdr:x>
      <cdr:y>0.26389</cdr:y>
    </cdr:to>
    <cdr:sp macro="" textlink="">
      <cdr:nvSpPr>
        <cdr:cNvPr id="2" name="TextBox 1"/>
        <cdr:cNvSpPr txBox="1"/>
      </cdr:nvSpPr>
      <cdr:spPr>
        <a:xfrm xmlns:a="http://schemas.openxmlformats.org/drawingml/2006/main">
          <a:off x="3981450" y="457200"/>
          <a:ext cx="393700" cy="2667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GB" sz="1100"/>
        </a:p>
      </cdr:txBody>
    </cdr:sp>
  </cdr:relSizeAnchor>
  <cdr:relSizeAnchor xmlns:cdr="http://schemas.openxmlformats.org/drawingml/2006/chartDrawing">
    <cdr:from>
      <cdr:x>0.85833</cdr:x>
      <cdr:y>0.24251</cdr:y>
    </cdr:from>
    <cdr:to>
      <cdr:x>1</cdr:x>
      <cdr:y>0.3976</cdr:y>
    </cdr:to>
    <cdr:sp macro="" textlink="">
      <cdr:nvSpPr>
        <cdr:cNvPr id="3" name="TextBox 2"/>
        <cdr:cNvSpPr txBox="1"/>
      </cdr:nvSpPr>
      <cdr:spPr>
        <a:xfrm xmlns:a="http://schemas.openxmlformats.org/drawingml/2006/main">
          <a:off x="5079788" y="754562"/>
          <a:ext cx="838412" cy="48257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en-GB" sz="900">
              <a:latin typeface="Times New Roman" pitchFamily="18" charset="0"/>
              <a:cs typeface="Times New Roman" pitchFamily="18" charset="0"/>
            </a:rPr>
            <a:t>Interest</a:t>
          </a:r>
        </a:p>
        <a:p xmlns:a="http://schemas.openxmlformats.org/drawingml/2006/main">
          <a:pPr algn="ctr"/>
          <a:r>
            <a:rPr lang="en-GB" sz="900">
              <a:latin typeface="Times New Roman" pitchFamily="18" charset="0"/>
              <a:cs typeface="Times New Roman" pitchFamily="18" charset="0"/>
            </a:rPr>
            <a:t> Rate</a:t>
          </a:r>
        </a:p>
      </cdr:txBody>
    </cdr:sp>
  </cdr:relSizeAnchor>
  <cdr:relSizeAnchor xmlns:cdr="http://schemas.openxmlformats.org/drawingml/2006/chartDrawing">
    <cdr:from>
      <cdr:x>0.85556</cdr:x>
      <cdr:y>0.89055</cdr:y>
    </cdr:from>
    <cdr:to>
      <cdr:x>1</cdr:x>
      <cdr:y>0.9551</cdr:y>
    </cdr:to>
    <cdr:sp macro="" textlink="">
      <cdr:nvSpPr>
        <cdr:cNvPr id="4" name="TextBox 3"/>
        <cdr:cNvSpPr txBox="1"/>
      </cdr:nvSpPr>
      <cdr:spPr>
        <a:xfrm xmlns:a="http://schemas.openxmlformats.org/drawingml/2006/main">
          <a:off x="5063349" y="2770961"/>
          <a:ext cx="854851" cy="200839"/>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t>Years</a:t>
          </a:r>
        </a:p>
      </cdr:txBody>
    </cdr:sp>
  </cdr:relSizeAnchor>
  <cdr:relSizeAnchor xmlns:cdr="http://schemas.openxmlformats.org/drawingml/2006/chartDrawing">
    <cdr:from>
      <cdr:x>0</cdr:x>
      <cdr:y>0.29787</cdr:y>
    </cdr:from>
    <cdr:to>
      <cdr:x>0.05</cdr:x>
      <cdr:y>0.59961</cdr:y>
    </cdr:to>
    <cdr:sp macro="" textlink="">
      <cdr:nvSpPr>
        <cdr:cNvPr id="6" name="TextBox 1"/>
        <cdr:cNvSpPr txBox="1"/>
      </cdr:nvSpPr>
      <cdr:spPr>
        <a:xfrm xmlns:a="http://schemas.openxmlformats.org/drawingml/2006/main" rot="16200000">
          <a:off x="-381000" y="1358900"/>
          <a:ext cx="990600" cy="22860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GB" sz="1000"/>
            <a:t>Present</a:t>
          </a:r>
          <a:r>
            <a:rPr lang="en-GB" sz="1000" baseline="0"/>
            <a:t> Value</a:t>
          </a:r>
          <a:endParaRPr lang="en-GB" sz="10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1206</TotalTime>
  <Pages>8</Pages>
  <Words>1216</Words>
  <Characters>6932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info</dc:creator>
  <cp:lastModifiedBy>info</cp:lastModifiedBy>
  <cp:revision>5</cp:revision>
  <dcterms:created xsi:type="dcterms:W3CDTF">2010-11-18T20:51:00Z</dcterms:created>
  <dcterms:modified xsi:type="dcterms:W3CDTF">2012-09-27T14:44:00Z</dcterms:modified>
</cp:coreProperties>
</file>