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jc w:val="center"/>
        <w:rPr>
          <w:b w:val="1"/>
          <w:bCs w:val="1"/>
          <w:sz w:val="28"/>
          <w:szCs w:val="28"/>
        </w:rPr>
      </w:pPr>
    </w:p>
    <w:p>
      <w:pPr>
        <w:pStyle w:val="Body"/>
        <w:jc w:val="center"/>
        <w:rPr>
          <w:b w:val="1"/>
          <w:bCs w:val="1"/>
          <w:sz w:val="28"/>
          <w:szCs w:val="28"/>
        </w:rPr>
      </w:pPr>
    </w:p>
    <w:p>
      <w:pPr>
        <w:pStyle w:val="Body"/>
        <w:jc w:val="center"/>
        <w:rPr>
          <w:b w:val="1"/>
          <w:bCs w:val="1"/>
          <w:sz w:val="28"/>
          <w:szCs w:val="28"/>
        </w:rPr>
      </w:pPr>
    </w:p>
    <w:p>
      <w:pPr>
        <w:pStyle w:val="Body"/>
        <w:jc w:val="center"/>
        <w:rPr>
          <w:b w:val="1"/>
          <w:bCs w:val="1"/>
          <w:sz w:val="28"/>
          <w:szCs w:val="28"/>
        </w:rPr>
      </w:pPr>
    </w:p>
    <w:p>
      <w:pPr>
        <w:pStyle w:val="Body"/>
        <w:jc w:val="center"/>
        <w:rPr>
          <w:b w:val="1"/>
          <w:bCs w:val="1"/>
          <w:sz w:val="28"/>
          <w:szCs w:val="28"/>
        </w:rPr>
      </w:pPr>
    </w:p>
    <w:p>
      <w:pPr>
        <w:pStyle w:val="Body"/>
        <w:jc w:val="center"/>
        <w:rPr>
          <w:b w:val="1"/>
          <w:bCs w:val="1"/>
          <w:sz w:val="28"/>
          <w:szCs w:val="28"/>
        </w:rPr>
      </w:pPr>
    </w:p>
    <w:p>
      <w:pPr>
        <w:pStyle w:val="Body"/>
        <w:jc w:val="center"/>
        <w:rPr>
          <w:b w:val="1"/>
          <w:bCs w:val="1"/>
          <w:sz w:val="28"/>
          <w:szCs w:val="28"/>
        </w:rPr>
      </w:pPr>
      <w:r>
        <w:rPr>
          <w:b w:val="1"/>
          <w:bCs w:val="1"/>
          <w:sz w:val="28"/>
          <w:szCs w:val="28"/>
          <w:rtl w:val="0"/>
          <w:lang w:val="en-US"/>
        </w:rPr>
        <w:t xml:space="preserve">Cellular Processes in </w:t>
      </w:r>
      <w:r>
        <w:rPr>
          <w:b w:val="1"/>
          <w:bCs w:val="1"/>
          <w:i w:val="1"/>
          <w:iCs w:val="1"/>
          <w:sz w:val="28"/>
          <w:szCs w:val="28"/>
          <w:rtl w:val="0"/>
          <w:lang w:val="en-US"/>
        </w:rPr>
        <w:t xml:space="preserve">Amoeba proteus </w:t>
      </w: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r>
        <w:rPr>
          <w:b w:val="1"/>
          <w:bCs w:val="1"/>
          <w:rtl w:val="0"/>
          <w:lang w:val="en-US"/>
        </w:rPr>
        <w:t>By: Name</w:t>
      </w:r>
    </w:p>
    <w:p>
      <w:pPr>
        <w:pStyle w:val="Body"/>
        <w:jc w:val="center"/>
        <w:rPr>
          <w:b w:val="1"/>
          <w:bCs w:val="1"/>
        </w:rPr>
      </w:pPr>
      <w:r>
        <w:rPr>
          <w:b w:val="1"/>
          <w:bCs w:val="1"/>
          <w:rtl w:val="0"/>
          <w:lang w:val="en-US"/>
        </w:rPr>
        <w:t>Student Number</w:t>
      </w: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r>
        <w:rPr>
          <w:b w:val="1"/>
          <w:bCs w:val="1"/>
          <w:rtl w:val="0"/>
          <w:lang w:val="en-US"/>
        </w:rPr>
        <w:t>Bio1140 Section B7</w:t>
      </w: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r>
        <w:rPr>
          <w:b w:val="1"/>
          <w:bCs w:val="1"/>
          <w:rtl w:val="0"/>
          <w:lang w:val="en-US"/>
        </w:rPr>
        <w:t>Demonstrators:</w:t>
      </w:r>
    </w:p>
    <w:p>
      <w:pPr>
        <w:pStyle w:val="Body"/>
        <w:jc w:val="center"/>
        <w:rPr>
          <w:b w:val="1"/>
          <w:bCs w:val="1"/>
        </w:rPr>
      </w:pPr>
      <w:r>
        <w:rPr>
          <w:b w:val="1"/>
          <w:bCs w:val="1"/>
          <w:rtl w:val="0"/>
          <w:lang w:val="en-US"/>
        </w:rPr>
        <w:t>Jessica Guezen and</w:t>
      </w:r>
    </w:p>
    <w:p>
      <w:pPr>
        <w:pStyle w:val="Body"/>
        <w:jc w:val="center"/>
        <w:rPr>
          <w:b w:val="1"/>
          <w:bCs w:val="1"/>
        </w:rPr>
      </w:pPr>
      <w:r>
        <w:rPr>
          <w:b w:val="1"/>
          <w:bCs w:val="1"/>
          <w:rtl w:val="0"/>
          <w:lang w:val="en-US"/>
        </w:rPr>
        <w:t>Alex Hare</w:t>
      </w: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r>
        <w:rPr>
          <w:b w:val="1"/>
          <w:bCs w:val="1"/>
          <w:rtl w:val="0"/>
          <w:lang w:val="en-US"/>
        </w:rPr>
        <w:t>February 14, 2017</w:t>
      </w: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r>
        <w:rPr>
          <w:b w:val="1"/>
          <w:bCs w:val="1"/>
          <w:rtl w:val="0"/>
          <w:lang w:val="en-US"/>
        </w:rPr>
        <w:t>Department of Biology</w:t>
      </w:r>
    </w:p>
    <w:p>
      <w:pPr>
        <w:pStyle w:val="Body"/>
        <w:jc w:val="center"/>
        <w:rPr>
          <w:b w:val="1"/>
          <w:bCs w:val="1"/>
        </w:rPr>
      </w:pPr>
    </w:p>
    <w:p>
      <w:pPr>
        <w:pStyle w:val="Body"/>
        <w:jc w:val="center"/>
        <w:rPr>
          <w:b w:val="1"/>
          <w:bCs w:val="1"/>
        </w:rPr>
      </w:pPr>
      <w:r>
        <w:rPr>
          <w:b w:val="1"/>
          <w:bCs w:val="1"/>
          <w:rtl w:val="0"/>
          <w:lang w:val="en-US"/>
        </w:rPr>
        <w:t>University of Ottawa</w:t>
      </w: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tbl>
      <w:tblPr>
        <w:tblW w:w="740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740"/>
        <w:gridCol w:w="1280"/>
        <w:gridCol w:w="1280"/>
        <w:gridCol w:w="1280"/>
        <w:gridCol w:w="720"/>
        <w:gridCol w:w="1100"/>
      </w:tblGrid>
      <w:tr>
        <w:tblPrEx>
          <w:shd w:val="clear" w:color="auto" w:fill="auto"/>
        </w:tblPrEx>
        <w:trPr>
          <w:trHeight w:val="290" w:hRule="atLeast"/>
          <w:tblHeader/>
        </w:trPr>
        <w:tc>
          <w:tcPr>
            <w:tcW w:type="dxa" w:w="7400"/>
            <w:gridSpan w:val="6"/>
            <w:tcBorders>
              <w:top w:val="nil"/>
              <w:left w:val="nil"/>
              <w:bottom w:val="nil"/>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vertAlign w:val="baseline"/>
              </w:rPr>
              <w:t>Table 1: Hemolysis Times</w:t>
            </w:r>
          </w:p>
        </w:tc>
      </w:tr>
      <w:tr>
        <w:tblPrEx>
          <w:shd w:val="clear" w:color="auto" w:fill="bdc0bf"/>
        </w:tblPrEx>
        <w:trPr>
          <w:trHeight w:val="476" w:hRule="atLeast"/>
          <w:tblHeader/>
        </w:trPr>
        <w:tc>
          <w:tcPr>
            <w:tcW w:type="dxa" w:w="1740"/>
            <w:tcBorders>
              <w:top w:val="nil"/>
              <w:left w:val="nil"/>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2"/>
                <w:szCs w:val="22"/>
                <w:u w:val="none"/>
                <w:vertAlign w:val="baseline"/>
                <w:rtl w:val="0"/>
              </w:rPr>
              <w:t>Solution</w:t>
            </w:r>
          </w:p>
        </w:tc>
        <w:tc>
          <w:tcPr>
            <w:tcW w:type="dxa" w:w="1280"/>
            <w:tcBorders>
              <w:top w:val="nil"/>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2"/>
                <w:szCs w:val="22"/>
                <w:u w:val="none"/>
                <w:vertAlign w:val="baseline"/>
                <w:rtl w:val="0"/>
              </w:rPr>
              <w:t>Replicate 1 Time (s)</w:t>
            </w:r>
          </w:p>
        </w:tc>
        <w:tc>
          <w:tcPr>
            <w:tcW w:type="dxa" w:w="1280"/>
            <w:tcBorders>
              <w:top w:val="nil"/>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2"/>
                <w:szCs w:val="22"/>
                <w:u w:val="none"/>
                <w:vertAlign w:val="baseline"/>
                <w:rtl w:val="0"/>
              </w:rPr>
              <w:t>Replicate 2 Time (s)</w:t>
            </w:r>
          </w:p>
        </w:tc>
        <w:tc>
          <w:tcPr>
            <w:tcW w:type="dxa" w:w="1280"/>
            <w:tcBorders>
              <w:top w:val="nil"/>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2"/>
                <w:szCs w:val="22"/>
                <w:u w:val="none"/>
                <w:vertAlign w:val="baseline"/>
                <w:rtl w:val="0"/>
              </w:rPr>
              <w:t>Replicate 3 Time (s)</w:t>
            </w:r>
          </w:p>
        </w:tc>
        <w:tc>
          <w:tcPr>
            <w:tcW w:type="dxa" w:w="720"/>
            <w:tcBorders>
              <w:top w:val="nil"/>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2"/>
                <w:szCs w:val="22"/>
                <w:u w:val="none"/>
                <w:vertAlign w:val="baseline"/>
                <w:rtl w:val="0"/>
              </w:rPr>
              <w:t>Mean</w:t>
            </w:r>
          </w:p>
        </w:tc>
        <w:tc>
          <w:tcPr>
            <w:tcW w:type="dxa" w:w="1100"/>
            <w:tcBorders>
              <w:top w:val="nil"/>
              <w:left w:val="single" w:color="000000" w:sz="2" w:space="0" w:shadow="0" w:frame="0"/>
              <w:bottom w:val="single" w:color="000000" w:sz="4" w:space="0" w:shadow="0" w:frame="0"/>
              <w:right w:val="nil"/>
            </w:tcBorders>
            <w:shd w:val="clear" w:color="auto" w:fill="bdc0bf"/>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2"/>
                <w:szCs w:val="22"/>
                <w:u w:val="none"/>
                <w:vertAlign w:val="baseline"/>
                <w:rtl w:val="0"/>
              </w:rPr>
              <w:t>Standard Error</w:t>
            </w:r>
          </w:p>
        </w:tc>
      </w:tr>
      <w:tr>
        <w:tblPrEx>
          <w:shd w:val="clear" w:color="auto" w:fill="auto"/>
        </w:tblPrEx>
        <w:trPr>
          <w:trHeight w:val="476" w:hRule="atLeast"/>
        </w:trPr>
        <w:tc>
          <w:tcPr>
            <w:tcW w:type="dxa" w:w="1740"/>
            <w:tcBorders>
              <w:top w:val="single" w:color="000000" w:sz="4" w:space="0" w:shadow="0" w:frame="0"/>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vertAlign w:val="baseline"/>
                <w:rtl w:val="0"/>
              </w:rPr>
              <w:t>Triton X-100 2% (v/v)</w:t>
            </w:r>
          </w:p>
        </w:tc>
        <w:tc>
          <w:tcPr>
            <w:tcW w:type="dxa" w:w="1280"/>
            <w:tcBorders>
              <w:top w:val="single" w:color="000000" w:sz="4" w:space="0" w:shadow="0" w:frame="0"/>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vertAlign w:val="baseline"/>
                <w:rtl w:val="0"/>
              </w:rPr>
              <w:t>2</w:t>
            </w:r>
          </w:p>
        </w:tc>
        <w:tc>
          <w:tcPr>
            <w:tcW w:type="dxa" w:w="1280"/>
            <w:tcBorders>
              <w:top w:val="single" w:color="000000" w:sz="4" w:space="0" w:shadow="0" w:frame="0"/>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vertAlign w:val="baseline"/>
                <w:rtl w:val="0"/>
              </w:rPr>
              <w:t>2</w:t>
            </w:r>
          </w:p>
        </w:tc>
        <w:tc>
          <w:tcPr>
            <w:tcW w:type="dxa" w:w="1280"/>
            <w:tcBorders>
              <w:top w:val="single" w:color="000000" w:sz="4" w:space="0" w:shadow="0" w:frame="0"/>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vertAlign w:val="baseline"/>
                <w:rtl w:val="0"/>
              </w:rPr>
              <w:t>2</w:t>
            </w:r>
          </w:p>
        </w:tc>
        <w:tc>
          <w:tcPr>
            <w:tcW w:type="dxa" w:w="720"/>
            <w:tcBorders>
              <w:top w:val="single" w:color="000000" w:sz="4" w:space="0" w:shadow="0" w:frame="0"/>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vertAlign w:val="baseline"/>
                <w:rtl w:val="0"/>
              </w:rPr>
              <w:t>2</w:t>
            </w:r>
          </w:p>
        </w:tc>
        <w:tc>
          <w:tcPr>
            <w:tcW w:type="dxa" w:w="1100"/>
            <w:tcBorders>
              <w:top w:val="single" w:color="000000" w:sz="4" w:space="0" w:shadow="0" w:frame="0"/>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vertAlign w:val="baseline"/>
                <w:rtl w:val="0"/>
              </w:rPr>
              <w:t>0</w:t>
            </w:r>
          </w:p>
        </w:tc>
      </w:tr>
      <w:tr>
        <w:tblPrEx>
          <w:shd w:val="clear" w:color="auto" w:fill="auto"/>
        </w:tblPrEx>
        <w:trPr>
          <w:trHeight w:val="231" w:hRule="atLeast"/>
        </w:trPr>
        <w:tc>
          <w:tcPr>
            <w:tcW w:type="dxa" w:w="1740"/>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vertAlign w:val="baseline"/>
                <w:rtl w:val="0"/>
              </w:rPr>
              <w:t>Ethanol 0.3M</w:t>
            </w:r>
          </w:p>
        </w:tc>
        <w:tc>
          <w:tcPr>
            <w:tcW w:type="dxa" w:w="1280"/>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vertAlign w:val="baseline"/>
                <w:rtl w:val="0"/>
              </w:rPr>
              <w:t>2</w:t>
            </w:r>
          </w:p>
        </w:tc>
        <w:tc>
          <w:tcPr>
            <w:tcW w:type="dxa" w:w="1280"/>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vertAlign w:val="baseline"/>
                <w:rtl w:val="0"/>
              </w:rPr>
              <w:t>2</w:t>
            </w:r>
          </w:p>
        </w:tc>
        <w:tc>
          <w:tcPr>
            <w:tcW w:type="dxa" w:w="1280"/>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vertAlign w:val="baseline"/>
                <w:rtl w:val="0"/>
              </w:rPr>
              <w:t>2</w:t>
            </w:r>
          </w:p>
        </w:tc>
        <w:tc>
          <w:tcPr>
            <w:tcW w:type="dxa" w:w="720"/>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vertAlign w:val="baseline"/>
                <w:rtl w:val="0"/>
              </w:rPr>
              <w:t>2</w:t>
            </w:r>
          </w:p>
        </w:tc>
        <w:tc>
          <w:tcPr>
            <w:tcW w:type="dxa" w:w="1100"/>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vertAlign w:val="baseline"/>
                <w:rtl w:val="0"/>
              </w:rPr>
              <w:t>0</w:t>
            </w:r>
          </w:p>
        </w:tc>
      </w:tr>
      <w:tr>
        <w:tblPrEx>
          <w:shd w:val="clear" w:color="auto" w:fill="auto"/>
        </w:tblPrEx>
        <w:trPr>
          <w:trHeight w:val="231" w:hRule="atLeast"/>
        </w:trPr>
        <w:tc>
          <w:tcPr>
            <w:tcW w:type="dxa" w:w="1740"/>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vertAlign w:val="baseline"/>
                <w:rtl w:val="0"/>
              </w:rPr>
              <w:t>Dextrose 0.3M</w:t>
            </w:r>
          </w:p>
        </w:tc>
        <w:tc>
          <w:tcPr>
            <w:tcW w:type="dxa" w:w="1280"/>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vertAlign w:val="baseline"/>
                <w:rtl w:val="0"/>
              </w:rPr>
              <w:t>1200</w:t>
            </w:r>
          </w:p>
        </w:tc>
        <w:tc>
          <w:tcPr>
            <w:tcW w:type="dxa" w:w="1280"/>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vertAlign w:val="baseline"/>
                <w:rtl w:val="0"/>
              </w:rPr>
              <w:t>1200</w:t>
            </w:r>
          </w:p>
        </w:tc>
        <w:tc>
          <w:tcPr>
            <w:tcW w:type="dxa" w:w="1280"/>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vertAlign w:val="baseline"/>
                <w:rtl w:val="0"/>
              </w:rPr>
              <w:t>1200</w:t>
            </w:r>
          </w:p>
        </w:tc>
        <w:tc>
          <w:tcPr>
            <w:tcW w:type="dxa" w:w="720"/>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vertAlign w:val="baseline"/>
                <w:rtl w:val="0"/>
              </w:rPr>
              <w:t>1200</w:t>
            </w:r>
          </w:p>
        </w:tc>
        <w:tc>
          <w:tcPr>
            <w:tcW w:type="dxa" w:w="1100"/>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vertAlign w:val="baseline"/>
                <w:rtl w:val="0"/>
              </w:rPr>
              <w:t>0</w:t>
            </w:r>
          </w:p>
        </w:tc>
      </w:tr>
      <w:tr>
        <w:tblPrEx>
          <w:shd w:val="clear" w:color="auto" w:fill="auto"/>
        </w:tblPrEx>
        <w:trPr>
          <w:trHeight w:val="231" w:hRule="atLeast"/>
        </w:trPr>
        <w:tc>
          <w:tcPr>
            <w:tcW w:type="dxa" w:w="1740"/>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vertAlign w:val="baseline"/>
                <w:rtl w:val="0"/>
              </w:rPr>
              <w:t>Thiourea 0.3M</w:t>
            </w:r>
          </w:p>
        </w:tc>
        <w:tc>
          <w:tcPr>
            <w:tcW w:type="dxa" w:w="1280"/>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vertAlign w:val="baseline"/>
                <w:rtl w:val="0"/>
              </w:rPr>
              <w:t>74</w:t>
            </w:r>
          </w:p>
        </w:tc>
        <w:tc>
          <w:tcPr>
            <w:tcW w:type="dxa" w:w="1280"/>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vertAlign w:val="baseline"/>
                <w:rtl w:val="0"/>
              </w:rPr>
              <w:t>75</w:t>
            </w:r>
          </w:p>
        </w:tc>
        <w:tc>
          <w:tcPr>
            <w:tcW w:type="dxa" w:w="1280"/>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vertAlign w:val="baseline"/>
                <w:rtl w:val="0"/>
              </w:rPr>
              <w:t>67</w:t>
            </w:r>
          </w:p>
        </w:tc>
        <w:tc>
          <w:tcPr>
            <w:tcW w:type="dxa" w:w="720"/>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vertAlign w:val="baseline"/>
                <w:rtl w:val="0"/>
              </w:rPr>
              <w:t>72</w:t>
            </w:r>
          </w:p>
        </w:tc>
        <w:tc>
          <w:tcPr>
            <w:tcW w:type="dxa" w:w="1100"/>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vertAlign w:val="baseline"/>
                <w:rtl w:val="0"/>
              </w:rPr>
              <w:t>2.516</w:t>
            </w:r>
          </w:p>
        </w:tc>
      </w:tr>
      <w:tr>
        <w:tblPrEx>
          <w:shd w:val="clear" w:color="auto" w:fill="auto"/>
        </w:tblPrEx>
        <w:trPr>
          <w:trHeight w:val="231" w:hRule="atLeast"/>
        </w:trPr>
        <w:tc>
          <w:tcPr>
            <w:tcW w:type="dxa" w:w="1740"/>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vertAlign w:val="baseline"/>
                <w:rtl w:val="0"/>
              </w:rPr>
              <w:t>ddH2O</w:t>
            </w:r>
          </w:p>
        </w:tc>
        <w:tc>
          <w:tcPr>
            <w:tcW w:type="dxa" w:w="1280"/>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vertAlign w:val="baseline"/>
                <w:rtl w:val="0"/>
              </w:rPr>
              <w:t>3</w:t>
            </w:r>
          </w:p>
        </w:tc>
        <w:tc>
          <w:tcPr>
            <w:tcW w:type="dxa" w:w="1280"/>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vertAlign w:val="baseline"/>
                <w:rtl w:val="0"/>
              </w:rPr>
              <w:t>2</w:t>
            </w:r>
          </w:p>
        </w:tc>
        <w:tc>
          <w:tcPr>
            <w:tcW w:type="dxa" w:w="1280"/>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vertAlign w:val="baseline"/>
                <w:rtl w:val="0"/>
              </w:rPr>
              <w:t>2</w:t>
            </w:r>
          </w:p>
        </w:tc>
        <w:tc>
          <w:tcPr>
            <w:tcW w:type="dxa" w:w="720"/>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vertAlign w:val="baseline"/>
                <w:rtl w:val="0"/>
              </w:rPr>
              <w:t>2.33</w:t>
            </w:r>
          </w:p>
        </w:tc>
        <w:tc>
          <w:tcPr>
            <w:tcW w:type="dxa" w:w="1100"/>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vertAlign w:val="baseline"/>
                <w:rtl w:val="0"/>
              </w:rPr>
              <w:t>0.33</w:t>
            </w:r>
          </w:p>
        </w:tc>
      </w:tr>
    </w:tbl>
    <w:p>
      <w:pPr>
        <w:pStyle w:val="Body"/>
        <w:rPr>
          <w:b w:val="1"/>
          <w:bCs w:val="1"/>
        </w:rPr>
      </w:pPr>
    </w:p>
    <w:p>
      <w:pPr>
        <w:pStyle w:val="Body"/>
        <w:bidi w:val="0"/>
      </w:pPr>
      <w:r>
        <w:rPr>
          <w:rtl w:val="0"/>
          <w:lang w:val="en-US"/>
        </w:rPr>
        <w:t xml:space="preserve">Set B was used in this experiment. </w:t>
      </w:r>
      <w:r>
        <w:rPr>
          <w:rFonts w:ascii="Arial Unicode MS" w:cs="Arial Unicode MS" w:hAnsi="Arial Unicode MS" w:eastAsia="Arial Unicode MS"/>
          <w:b w:val="0"/>
          <w:bCs w:val="0"/>
          <w:i w:val="0"/>
          <w:iCs w:val="0"/>
        </w:rPr>
        <w:br w:type="page"/>
      </w:r>
    </w:p>
    <w:p>
      <w:pPr>
        <w:pStyle w:val="Body"/>
        <w:numPr>
          <w:ilvl w:val="0"/>
          <w:numId w:val="2"/>
        </w:numPr>
        <w:bidi w:val="0"/>
      </w:pPr>
      <w:r>
        <w:rPr>
          <w:rtl w:val="0"/>
          <w:lang w:val="en-US"/>
        </w:rPr>
        <w:t>What are the factors that affect the diffusion of the solutes tested in the permeability experiment?</w:t>
      </w:r>
    </w:p>
    <w:p>
      <w:pPr>
        <w:pStyle w:val="Body"/>
        <w:bidi w:val="0"/>
      </w:pPr>
      <w:r>
        <w:rPr>
          <w:rtl w:val="0"/>
          <w:lang w:val="en-US"/>
        </w:rPr>
        <w:t>The permeability experiment tests the rate of hemolysis of red blood cells. The size of the molecules in solution, the polarity of the solute and their concentrations, and the interactions of the molecules with the lipid membrane all affect the rate of hemolysis.</w:t>
      </w:r>
    </w:p>
    <w:p>
      <w:pPr>
        <w:pStyle w:val="Body"/>
        <w:bidi w:val="0"/>
      </w:pPr>
    </w:p>
    <w:p>
      <w:pPr>
        <w:pStyle w:val="Body"/>
        <w:numPr>
          <w:ilvl w:val="0"/>
          <w:numId w:val="2"/>
        </w:numPr>
        <w:bidi w:val="0"/>
      </w:pPr>
      <w:r>
        <w:rPr>
          <w:rtl w:val="0"/>
          <w:lang w:val="en-US"/>
        </w:rPr>
        <w:t>How do these factors affect the diffusion of solutes?</w:t>
      </w:r>
      <w:r>
        <w:rPr>
          <w:rtl w:val="0"/>
          <w:lang w:val="en-US"/>
        </w:rPr>
        <w:t>’</w:t>
      </w:r>
    </w:p>
    <w:p>
      <w:pPr>
        <w:pStyle w:val="Body"/>
        <w:bidi w:val="0"/>
      </w:pPr>
      <w:r>
        <w:rPr>
          <w:rtl w:val="0"/>
          <w:lang w:val="en-US"/>
        </w:rPr>
        <w:t xml:space="preserve">If the solution is of lower solute concentration; ie hypotonic, then the cell will take in more water or solvent to create an equilibrium. This is why ethanol, with its 0.3M concentration has a low time of hemolysis as this is a high concentration compared to what is inside the cell.  Hemolysis occurs when the pressure within the cell becomes extremely high, the cell will burst; releasing its contents into the solvent. Another factor is temperature. If temperature is high, hemolysis occurs quicker as the particles will diffuse faster through the membrane. The final factors, size and polarity, affect  the speed of by hemolysis by slowing down passage through the membrane. Larger particles cannot reach the inside of the cell by simple diffusion and must find a protein to help diffuse. This is the case with thiourea, it is a comparatively large molecule in the experiment and this is the reason for it having a medium time of hemolysis. The same goes to polar molecules. Non-polar molecules readily pass through the bi-lipid membrane, speeding up the rate of hemolysis. This is why dextrose took the longest for hemolysis to occur. Triton-X100 is said to cause the formation of pores in various membrane lipid regions and by releasing vesicles from erythrocytes. This would cause water to rush into the cell much quicker therefore decreasing the time of hemolysis. It is a large and polar molecule. Overall, temperature, concentration, polarity and size all affect the diffusion of solutes. </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rFonts w:ascii="Times New Roman" w:hAnsi="Times New Roman"/>
      </w:rPr>
      <w:tab/>
      <w:tab/>
    </w:r>
    <w:r>
      <w:rPr>
        <w:rFonts w:ascii="Times New Roman" w:hAnsi="Times New Roman"/>
      </w:rPr>
      <w:fldChar w:fldCharType="begin" w:fldLock="0"/>
    </w:r>
    <w:r>
      <w:rPr>
        <w:rFonts w:ascii="Times New Roman" w:hAnsi="Times New Roman"/>
      </w:rPr>
      <w:instrText xml:space="preserve"> PAGE </w:instrText>
    </w:r>
    <w:r>
      <w:rPr>
        <w:rFonts w:ascii="Times New Roman" w:hAnsi="Times New Roman"/>
      </w:rPr>
      <w:fldChar w:fldCharType="separate" w:fldLock="0"/>
    </w:r>
    <w:r>
      <w:rPr>
        <w:rFonts w:ascii="Times New Roman" w:hAnsi="Times New Roman"/>
      </w:rPr>
      <w:t>3</w:t>
    </w:r>
    <w:r>
      <w:rPr>
        <w:rFonts w:ascii="Times New Roman" w:hAnsi="Times New Roman"/>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numbering" w:styleId="Numbered">
    <w:name w:val="Numbered"/>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