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7B1" w:rsidRDefault="00E967B1" w:rsidP="00E967B1">
      <w:pPr>
        <w:jc w:val="center"/>
        <w:rPr>
          <w:rFonts w:ascii="Times New Roman" w:hAnsi="Times New Roman" w:cs="Times New Roman"/>
          <w:sz w:val="24"/>
          <w:szCs w:val="24"/>
        </w:rPr>
      </w:pPr>
      <w:r>
        <w:rPr>
          <w:rFonts w:ascii="Times New Roman" w:hAnsi="Times New Roman" w:cs="Times New Roman"/>
          <w:sz w:val="24"/>
          <w:szCs w:val="24"/>
        </w:rPr>
        <w:t>Permeability of the Red Blood Cell</w:t>
      </w:r>
    </w:p>
    <w:p w:rsidR="00E967B1" w:rsidRPr="00C51048" w:rsidRDefault="00E967B1" w:rsidP="00E967B1">
      <w:pPr>
        <w:jc w:val="center"/>
        <w:rPr>
          <w:rFonts w:ascii="Times New Roman" w:hAnsi="Times New Roman" w:cs="Times New Roman"/>
          <w:sz w:val="24"/>
          <w:szCs w:val="24"/>
        </w:rPr>
      </w:pPr>
      <w:r w:rsidRPr="00C51048">
        <w:rPr>
          <w:rFonts w:ascii="Times New Roman" w:hAnsi="Times New Roman" w:cs="Times New Roman"/>
          <w:sz w:val="24"/>
          <w:szCs w:val="24"/>
        </w:rPr>
        <w:t>By Keshav Goel</w:t>
      </w:r>
    </w:p>
    <w:p w:rsidR="00E967B1" w:rsidRPr="00C51048" w:rsidRDefault="00E967B1" w:rsidP="00E967B1">
      <w:pPr>
        <w:jc w:val="center"/>
        <w:rPr>
          <w:rFonts w:ascii="Times New Roman" w:hAnsi="Times New Roman" w:cs="Times New Roman"/>
          <w:sz w:val="24"/>
          <w:szCs w:val="24"/>
        </w:rPr>
      </w:pPr>
      <w:r w:rsidRPr="00C51048">
        <w:rPr>
          <w:rFonts w:ascii="Times New Roman" w:hAnsi="Times New Roman" w:cs="Times New Roman"/>
          <w:sz w:val="24"/>
          <w:szCs w:val="24"/>
        </w:rPr>
        <w:t>8579273</w:t>
      </w:r>
    </w:p>
    <w:p w:rsidR="00E967B1" w:rsidRPr="00A42968" w:rsidRDefault="00E967B1" w:rsidP="00E967B1">
      <w:pPr>
        <w:jc w:val="center"/>
        <w:rPr>
          <w:rFonts w:ascii="Times New Roman" w:hAnsi="Times New Roman" w:cs="Times New Roman"/>
          <w:sz w:val="24"/>
          <w:szCs w:val="24"/>
        </w:rPr>
      </w:pPr>
      <w:r w:rsidRPr="00C51048">
        <w:rPr>
          <w:rFonts w:ascii="Times New Roman" w:hAnsi="Times New Roman" w:cs="Times New Roman"/>
          <w:sz w:val="24"/>
          <w:szCs w:val="24"/>
        </w:rPr>
        <w:t xml:space="preserve">Lab Partner: </w:t>
      </w:r>
      <w:r>
        <w:rPr>
          <w:rFonts w:ascii="Times New Roman" w:hAnsi="Times New Roman" w:cs="Times New Roman"/>
          <w:sz w:val="24"/>
          <w:szCs w:val="24"/>
        </w:rPr>
        <w:t>Rishi Gupta</w:t>
      </w:r>
      <w:r w:rsidRPr="00C51048">
        <w:rPr>
          <w:rFonts w:ascii="Times New Roman" w:hAnsi="Times New Roman" w:cs="Times New Roman"/>
          <w:sz w:val="24"/>
          <w:szCs w:val="24"/>
        </w:rPr>
        <w:t xml:space="preserve">, </w:t>
      </w:r>
      <w:r>
        <w:rPr>
          <w:rFonts w:ascii="Times New Roman" w:hAnsi="Times New Roman" w:cs="Times New Roman"/>
          <w:sz w:val="24"/>
          <w:szCs w:val="24"/>
        </w:rPr>
        <w:t>8615705</w:t>
      </w:r>
    </w:p>
    <w:p w:rsidR="00E967B1" w:rsidRPr="00C51048" w:rsidRDefault="00E967B1" w:rsidP="00E967B1">
      <w:pPr>
        <w:jc w:val="center"/>
        <w:rPr>
          <w:rFonts w:ascii="Times New Roman" w:hAnsi="Times New Roman" w:cs="Times New Roman"/>
        </w:rPr>
      </w:pPr>
    </w:p>
    <w:p w:rsidR="00E967B1" w:rsidRPr="00C51048" w:rsidRDefault="00E967B1" w:rsidP="00E967B1">
      <w:pPr>
        <w:jc w:val="center"/>
        <w:rPr>
          <w:rFonts w:ascii="Times New Roman" w:hAnsi="Times New Roman" w:cs="Times New Roman"/>
        </w:rPr>
      </w:pPr>
    </w:p>
    <w:p w:rsidR="00E967B1" w:rsidRPr="00C51048" w:rsidRDefault="00E967B1" w:rsidP="00E967B1">
      <w:pPr>
        <w:jc w:val="center"/>
        <w:rPr>
          <w:rFonts w:ascii="Times New Roman" w:hAnsi="Times New Roman" w:cs="Times New Roman"/>
        </w:rPr>
      </w:pPr>
    </w:p>
    <w:p w:rsidR="00E967B1" w:rsidRPr="00C51048" w:rsidRDefault="00E967B1" w:rsidP="00E967B1">
      <w:pPr>
        <w:jc w:val="center"/>
        <w:rPr>
          <w:rFonts w:ascii="Times New Roman" w:hAnsi="Times New Roman" w:cs="Times New Roman"/>
          <w:b/>
          <w:sz w:val="40"/>
          <w:szCs w:val="40"/>
        </w:rPr>
      </w:pPr>
      <w:r>
        <w:rPr>
          <w:rFonts w:ascii="Times New Roman" w:hAnsi="Times New Roman" w:cs="Times New Roman"/>
          <w:b/>
          <w:sz w:val="40"/>
          <w:szCs w:val="40"/>
        </w:rPr>
        <w:t>BIO1140</w:t>
      </w:r>
      <w:r w:rsidRPr="00C51048">
        <w:rPr>
          <w:rFonts w:ascii="Times New Roman" w:hAnsi="Times New Roman" w:cs="Times New Roman"/>
          <w:b/>
          <w:sz w:val="40"/>
          <w:szCs w:val="40"/>
        </w:rPr>
        <w:t xml:space="preserve"> Section A</w:t>
      </w:r>
      <w:r w:rsidR="00F8273D">
        <w:rPr>
          <w:rFonts w:ascii="Times New Roman" w:hAnsi="Times New Roman" w:cs="Times New Roman"/>
          <w:b/>
          <w:sz w:val="40"/>
          <w:szCs w:val="40"/>
        </w:rPr>
        <w:t>5</w:t>
      </w:r>
    </w:p>
    <w:p w:rsidR="00E967B1" w:rsidRPr="00C51048" w:rsidRDefault="00E967B1" w:rsidP="00E967B1">
      <w:pPr>
        <w:jc w:val="center"/>
        <w:rPr>
          <w:rFonts w:ascii="Times New Roman" w:hAnsi="Times New Roman" w:cs="Times New Roman"/>
          <w:sz w:val="24"/>
          <w:szCs w:val="24"/>
        </w:rPr>
      </w:pPr>
    </w:p>
    <w:p w:rsidR="00E967B1" w:rsidRPr="00C51048" w:rsidRDefault="00E967B1" w:rsidP="00E967B1">
      <w:pPr>
        <w:jc w:val="center"/>
        <w:rPr>
          <w:rFonts w:ascii="Times New Roman" w:hAnsi="Times New Roman" w:cs="Times New Roman"/>
          <w:sz w:val="24"/>
          <w:szCs w:val="24"/>
        </w:rPr>
      </w:pPr>
    </w:p>
    <w:p w:rsidR="00E967B1" w:rsidRPr="00C51048" w:rsidRDefault="00E967B1" w:rsidP="00E967B1">
      <w:pPr>
        <w:jc w:val="center"/>
        <w:rPr>
          <w:rFonts w:ascii="Times New Roman" w:hAnsi="Times New Roman" w:cs="Times New Roman"/>
          <w:sz w:val="24"/>
          <w:szCs w:val="24"/>
        </w:rPr>
      </w:pPr>
    </w:p>
    <w:p w:rsidR="00E967B1" w:rsidRPr="00C51048" w:rsidRDefault="00B410F7" w:rsidP="00B410F7">
      <w:pPr>
        <w:jc w:val="center"/>
        <w:rPr>
          <w:rFonts w:ascii="Times New Roman" w:hAnsi="Times New Roman" w:cs="Times New Roman"/>
          <w:b/>
          <w:sz w:val="36"/>
          <w:szCs w:val="36"/>
        </w:rPr>
      </w:pPr>
      <w:r>
        <w:rPr>
          <w:rFonts w:ascii="Times New Roman" w:hAnsi="Times New Roman" w:cs="Times New Roman"/>
          <w:sz w:val="24"/>
          <w:szCs w:val="24"/>
        </w:rPr>
        <w:t>February 10</w:t>
      </w:r>
      <w:r w:rsidRPr="00B410F7">
        <w:rPr>
          <w:rFonts w:ascii="Times New Roman" w:hAnsi="Times New Roman" w:cs="Times New Roman"/>
          <w:sz w:val="24"/>
          <w:szCs w:val="24"/>
          <w:vertAlign w:val="superscript"/>
        </w:rPr>
        <w:t>th</w:t>
      </w:r>
      <w:r>
        <w:rPr>
          <w:rFonts w:ascii="Times New Roman" w:hAnsi="Times New Roman" w:cs="Times New Roman"/>
          <w:sz w:val="24"/>
          <w:szCs w:val="24"/>
        </w:rPr>
        <w:t>, 2017</w:t>
      </w:r>
    </w:p>
    <w:p w:rsidR="00E967B1" w:rsidRPr="00C51048" w:rsidRDefault="00E967B1" w:rsidP="00E967B1">
      <w:pPr>
        <w:jc w:val="center"/>
        <w:rPr>
          <w:rFonts w:ascii="Times New Roman" w:hAnsi="Times New Roman" w:cs="Times New Roman"/>
          <w:b/>
          <w:sz w:val="36"/>
          <w:szCs w:val="36"/>
        </w:rPr>
      </w:pPr>
    </w:p>
    <w:p w:rsidR="00E967B1" w:rsidRPr="00C51048" w:rsidRDefault="00E967B1" w:rsidP="00E967B1">
      <w:pPr>
        <w:jc w:val="center"/>
        <w:rPr>
          <w:rFonts w:ascii="Times New Roman" w:hAnsi="Times New Roman" w:cs="Times New Roman"/>
          <w:sz w:val="24"/>
          <w:szCs w:val="24"/>
        </w:rPr>
      </w:pPr>
      <w:r w:rsidRPr="00C51048">
        <w:rPr>
          <w:rFonts w:ascii="Times New Roman" w:hAnsi="Times New Roman" w:cs="Times New Roman"/>
          <w:sz w:val="24"/>
          <w:szCs w:val="24"/>
        </w:rPr>
        <w:t xml:space="preserve">Demonstrators: </w:t>
      </w:r>
    </w:p>
    <w:p w:rsidR="00E967B1" w:rsidRPr="00C51048" w:rsidRDefault="00B410F7" w:rsidP="00E967B1">
      <w:pPr>
        <w:jc w:val="center"/>
        <w:rPr>
          <w:rFonts w:ascii="Times New Roman" w:hAnsi="Times New Roman" w:cs="Times New Roman"/>
          <w:sz w:val="24"/>
          <w:szCs w:val="24"/>
        </w:rPr>
      </w:pPr>
      <w:proofErr w:type="spellStart"/>
      <w:r>
        <w:rPr>
          <w:rFonts w:ascii="Times New Roman" w:hAnsi="Times New Roman" w:cs="Times New Roman"/>
          <w:sz w:val="24"/>
          <w:szCs w:val="24"/>
        </w:rPr>
        <w:t>Khang</w:t>
      </w:r>
      <w:proofErr w:type="spellEnd"/>
      <w:r>
        <w:rPr>
          <w:rFonts w:ascii="Times New Roman" w:hAnsi="Times New Roman" w:cs="Times New Roman"/>
          <w:sz w:val="24"/>
          <w:szCs w:val="24"/>
        </w:rPr>
        <w:t xml:space="preserve"> Hua and Kim Mitchell</w:t>
      </w:r>
    </w:p>
    <w:p w:rsidR="00E967B1" w:rsidRPr="00C51048" w:rsidRDefault="00E967B1" w:rsidP="00E967B1">
      <w:pPr>
        <w:jc w:val="center"/>
        <w:rPr>
          <w:rFonts w:ascii="Times New Roman" w:hAnsi="Times New Roman" w:cs="Times New Roman"/>
          <w:sz w:val="24"/>
          <w:szCs w:val="24"/>
        </w:rPr>
      </w:pPr>
    </w:p>
    <w:p w:rsidR="00E967B1" w:rsidRPr="00C51048" w:rsidRDefault="00E967B1" w:rsidP="00E967B1">
      <w:pPr>
        <w:jc w:val="center"/>
        <w:rPr>
          <w:rFonts w:ascii="Times New Roman" w:hAnsi="Times New Roman" w:cs="Times New Roman"/>
          <w:sz w:val="24"/>
          <w:szCs w:val="24"/>
        </w:rPr>
      </w:pPr>
    </w:p>
    <w:p w:rsidR="00E967B1" w:rsidRDefault="00E967B1" w:rsidP="00E967B1">
      <w:pPr>
        <w:jc w:val="center"/>
        <w:rPr>
          <w:rFonts w:ascii="Times New Roman" w:hAnsi="Times New Roman" w:cs="Times New Roman"/>
          <w:sz w:val="24"/>
          <w:szCs w:val="24"/>
        </w:rPr>
      </w:pPr>
    </w:p>
    <w:p w:rsidR="00B410F7" w:rsidRPr="00C51048" w:rsidRDefault="00B410F7" w:rsidP="00E967B1">
      <w:pPr>
        <w:jc w:val="center"/>
        <w:rPr>
          <w:rFonts w:ascii="Times New Roman" w:hAnsi="Times New Roman" w:cs="Times New Roman"/>
          <w:sz w:val="24"/>
          <w:szCs w:val="24"/>
        </w:rPr>
      </w:pPr>
    </w:p>
    <w:p w:rsidR="00E967B1" w:rsidRPr="00C51048" w:rsidRDefault="00E967B1" w:rsidP="00E967B1">
      <w:pPr>
        <w:jc w:val="center"/>
        <w:rPr>
          <w:rFonts w:ascii="Times New Roman" w:hAnsi="Times New Roman" w:cs="Times New Roman"/>
          <w:sz w:val="24"/>
          <w:szCs w:val="24"/>
        </w:rPr>
      </w:pPr>
    </w:p>
    <w:p w:rsidR="00E967B1" w:rsidRPr="00C51048" w:rsidRDefault="00E967B1" w:rsidP="00E967B1">
      <w:pPr>
        <w:jc w:val="center"/>
        <w:rPr>
          <w:rFonts w:ascii="Times New Roman" w:hAnsi="Times New Roman" w:cs="Times New Roman"/>
          <w:sz w:val="24"/>
          <w:szCs w:val="24"/>
        </w:rPr>
      </w:pPr>
      <w:r w:rsidRPr="00C51048">
        <w:rPr>
          <w:rFonts w:ascii="Times New Roman" w:hAnsi="Times New Roman" w:cs="Times New Roman"/>
          <w:sz w:val="24"/>
          <w:szCs w:val="24"/>
        </w:rPr>
        <w:t>Department of</w:t>
      </w:r>
      <w:r w:rsidR="00B410F7">
        <w:rPr>
          <w:rFonts w:ascii="Times New Roman" w:hAnsi="Times New Roman" w:cs="Times New Roman"/>
          <w:sz w:val="24"/>
          <w:szCs w:val="24"/>
        </w:rPr>
        <w:t xml:space="preserve"> Biology</w:t>
      </w:r>
      <w:r w:rsidRPr="00C51048">
        <w:rPr>
          <w:rFonts w:ascii="Times New Roman" w:hAnsi="Times New Roman" w:cs="Times New Roman"/>
          <w:sz w:val="24"/>
          <w:szCs w:val="24"/>
        </w:rPr>
        <w:t xml:space="preserve"> </w:t>
      </w:r>
    </w:p>
    <w:p w:rsidR="00E967B1" w:rsidRPr="00C51048" w:rsidRDefault="00E967B1" w:rsidP="00E967B1">
      <w:pPr>
        <w:jc w:val="center"/>
        <w:rPr>
          <w:rFonts w:ascii="Times New Roman" w:hAnsi="Times New Roman" w:cs="Times New Roman"/>
          <w:b/>
          <w:sz w:val="36"/>
          <w:szCs w:val="36"/>
        </w:rPr>
      </w:pPr>
      <w:r w:rsidRPr="00C51048">
        <w:rPr>
          <w:rFonts w:ascii="Times New Roman" w:hAnsi="Times New Roman" w:cs="Times New Roman"/>
          <w:b/>
          <w:sz w:val="36"/>
          <w:szCs w:val="36"/>
        </w:rPr>
        <w:t>University of Ottawa</w:t>
      </w:r>
    </w:p>
    <w:p w:rsidR="00EB10D7" w:rsidRDefault="00EB10D7"/>
    <w:p w:rsidR="00B410F7" w:rsidRDefault="00B410F7"/>
    <w:p w:rsidR="00B410F7" w:rsidRDefault="00B410F7"/>
    <w:p w:rsidR="00B410F7" w:rsidRDefault="00B410F7"/>
    <w:p w:rsidR="00B410F7" w:rsidRDefault="00B410F7"/>
    <w:p w:rsidR="006A4B0F" w:rsidRDefault="00B410F7">
      <w:r>
        <w:rPr>
          <w:b/>
        </w:rPr>
        <w:lastRenderedPageBreak/>
        <w:t xml:space="preserve">Table 1: </w:t>
      </w:r>
      <w:r>
        <w:t>Representation of time (in seconds) it took for each solution mixed with 1 drop of horse blood to reach hemolysi</w:t>
      </w:r>
      <w:r w:rsidR="001261E4">
        <w:t>s after inversion</w:t>
      </w:r>
    </w:p>
    <w:tbl>
      <w:tblPr>
        <w:tblW w:w="6133" w:type="dxa"/>
        <w:tblLook w:val="04A0" w:firstRow="1" w:lastRow="0" w:firstColumn="1" w:lastColumn="0" w:noHBand="0" w:noVBand="1"/>
      </w:tblPr>
      <w:tblGrid>
        <w:gridCol w:w="2274"/>
        <w:gridCol w:w="2136"/>
        <w:gridCol w:w="1723"/>
      </w:tblGrid>
      <w:tr w:rsidR="006A4B0F" w:rsidRPr="006A4B0F" w:rsidTr="006A4B0F">
        <w:trPr>
          <w:trHeight w:val="292"/>
        </w:trPr>
        <w:tc>
          <w:tcPr>
            <w:tcW w:w="2274" w:type="dxa"/>
            <w:tcBorders>
              <w:top w:val="single" w:sz="4" w:space="0" w:color="auto"/>
              <w:left w:val="nil"/>
              <w:bottom w:val="nil"/>
              <w:right w:val="nil"/>
            </w:tcBorders>
            <w:shd w:val="clear" w:color="auto" w:fill="auto"/>
            <w:noWrap/>
            <w:vAlign w:val="bottom"/>
            <w:hideMark/>
          </w:tcPr>
          <w:p w:rsidR="006A4B0F" w:rsidRPr="006A4B0F" w:rsidRDefault="006A4B0F" w:rsidP="006A4B0F">
            <w:pPr>
              <w:spacing w:after="0" w:line="240" w:lineRule="auto"/>
              <w:rPr>
                <w:rFonts w:ascii="Times New Roman" w:eastAsia="Times New Roman" w:hAnsi="Times New Roman" w:cs="Times New Roman"/>
                <w:sz w:val="24"/>
                <w:szCs w:val="24"/>
                <w:lang w:eastAsia="en-CA"/>
              </w:rPr>
            </w:pPr>
          </w:p>
        </w:tc>
        <w:tc>
          <w:tcPr>
            <w:tcW w:w="2136" w:type="dxa"/>
            <w:tcBorders>
              <w:top w:val="single" w:sz="4" w:space="0" w:color="auto"/>
              <w:left w:val="nil"/>
              <w:bottom w:val="single" w:sz="4" w:space="0" w:color="auto"/>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Pr>
                <w:rFonts w:ascii="Calibri" w:eastAsia="Times New Roman" w:hAnsi="Calibri" w:cs="Calibri"/>
                <w:color w:val="000000"/>
                <w:lang w:eastAsia="en-CA"/>
              </w:rPr>
              <w:t xml:space="preserve">         </w:t>
            </w:r>
            <w:r w:rsidRPr="006A4B0F">
              <w:rPr>
                <w:rFonts w:ascii="Calibri" w:eastAsia="Times New Roman" w:hAnsi="Calibri" w:cs="Calibri"/>
                <w:color w:val="000000"/>
                <w:lang w:eastAsia="en-CA"/>
              </w:rPr>
              <w:t>Hemolysis (s)</w:t>
            </w:r>
          </w:p>
        </w:tc>
        <w:tc>
          <w:tcPr>
            <w:tcW w:w="1723" w:type="dxa"/>
            <w:tcBorders>
              <w:top w:val="single" w:sz="4" w:space="0" w:color="auto"/>
              <w:left w:val="nil"/>
              <w:bottom w:val="single" w:sz="4" w:space="0" w:color="auto"/>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p>
        </w:tc>
      </w:tr>
      <w:tr w:rsidR="006A4B0F" w:rsidRPr="006A4B0F" w:rsidTr="006A4B0F">
        <w:trPr>
          <w:trHeight w:val="292"/>
        </w:trPr>
        <w:tc>
          <w:tcPr>
            <w:tcW w:w="2274"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Solutions</w:t>
            </w:r>
          </w:p>
        </w:tc>
        <w:tc>
          <w:tcPr>
            <w:tcW w:w="2136" w:type="dxa"/>
            <w:tcBorders>
              <w:top w:val="single" w:sz="4" w:space="0" w:color="auto"/>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Mean Average (N)</w:t>
            </w:r>
          </w:p>
        </w:tc>
        <w:tc>
          <w:tcPr>
            <w:tcW w:w="1723" w:type="dxa"/>
            <w:tcBorders>
              <w:top w:val="single" w:sz="4" w:space="0" w:color="auto"/>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Standard Error</w:t>
            </w:r>
          </w:p>
        </w:tc>
      </w:tr>
      <w:tr w:rsidR="006A4B0F" w:rsidRPr="006A4B0F" w:rsidTr="006A4B0F">
        <w:trPr>
          <w:trHeight w:val="292"/>
        </w:trPr>
        <w:tc>
          <w:tcPr>
            <w:tcW w:w="2274" w:type="dxa"/>
            <w:tcBorders>
              <w:top w:val="single" w:sz="4" w:space="0" w:color="auto"/>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ddH2O</w:t>
            </w:r>
          </w:p>
        </w:tc>
        <w:tc>
          <w:tcPr>
            <w:tcW w:w="2136" w:type="dxa"/>
            <w:tcBorders>
              <w:top w:val="single" w:sz="4" w:space="0" w:color="auto"/>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vertAlign w:val="superscript"/>
                <w:lang w:eastAsia="en-CA"/>
              </w:rPr>
            </w:pPr>
            <w:r w:rsidRPr="006A4B0F">
              <w:rPr>
                <w:rFonts w:ascii="Calibri" w:eastAsia="Times New Roman" w:hAnsi="Calibri" w:cs="Calibri"/>
                <w:color w:val="000000"/>
                <w:lang w:eastAsia="en-CA"/>
              </w:rPr>
              <w:t>&lt;2</w:t>
            </w:r>
            <w:r>
              <w:rPr>
                <w:rFonts w:ascii="Calibri" w:eastAsia="Times New Roman" w:hAnsi="Calibri" w:cs="Calibri"/>
                <w:color w:val="000000"/>
                <w:vertAlign w:val="superscript"/>
                <w:lang w:eastAsia="en-CA"/>
              </w:rPr>
              <w:t>a</w:t>
            </w:r>
          </w:p>
        </w:tc>
        <w:tc>
          <w:tcPr>
            <w:tcW w:w="1723" w:type="dxa"/>
            <w:tcBorders>
              <w:top w:val="single" w:sz="4" w:space="0" w:color="auto"/>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0</w:t>
            </w:r>
          </w:p>
        </w:tc>
      </w:tr>
      <w:tr w:rsidR="006A4B0F" w:rsidRPr="006A4B0F" w:rsidTr="006A4B0F">
        <w:trPr>
          <w:trHeight w:val="292"/>
        </w:trPr>
        <w:tc>
          <w:tcPr>
            <w:tcW w:w="2274"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Urea</w:t>
            </w:r>
          </w:p>
        </w:tc>
        <w:tc>
          <w:tcPr>
            <w:tcW w:w="2136"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vertAlign w:val="superscript"/>
                <w:lang w:eastAsia="en-CA"/>
              </w:rPr>
            </w:pPr>
            <w:r w:rsidRPr="006A4B0F">
              <w:rPr>
                <w:rFonts w:ascii="Calibri" w:eastAsia="Times New Roman" w:hAnsi="Calibri" w:cs="Calibri"/>
                <w:color w:val="000000"/>
                <w:lang w:eastAsia="en-CA"/>
              </w:rPr>
              <w:t>&lt;2</w:t>
            </w:r>
            <w:r>
              <w:rPr>
                <w:rFonts w:ascii="Calibri" w:eastAsia="Times New Roman" w:hAnsi="Calibri" w:cs="Calibri"/>
                <w:color w:val="000000"/>
                <w:vertAlign w:val="superscript"/>
                <w:lang w:eastAsia="en-CA"/>
              </w:rPr>
              <w:t>a</w:t>
            </w:r>
          </w:p>
        </w:tc>
        <w:tc>
          <w:tcPr>
            <w:tcW w:w="1723"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0</w:t>
            </w:r>
          </w:p>
        </w:tc>
      </w:tr>
      <w:tr w:rsidR="006A4B0F" w:rsidRPr="006A4B0F" w:rsidTr="006A4B0F">
        <w:trPr>
          <w:trHeight w:val="292"/>
        </w:trPr>
        <w:tc>
          <w:tcPr>
            <w:tcW w:w="2274"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Ethylene Glycerol</w:t>
            </w:r>
          </w:p>
        </w:tc>
        <w:tc>
          <w:tcPr>
            <w:tcW w:w="2136"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9.43</w:t>
            </w:r>
          </w:p>
        </w:tc>
        <w:tc>
          <w:tcPr>
            <w:tcW w:w="1723"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1.14</w:t>
            </w:r>
          </w:p>
        </w:tc>
      </w:tr>
      <w:tr w:rsidR="006A4B0F" w:rsidRPr="006A4B0F" w:rsidTr="006A4B0F">
        <w:trPr>
          <w:trHeight w:val="292"/>
        </w:trPr>
        <w:tc>
          <w:tcPr>
            <w:tcW w:w="2274"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Glycerol</w:t>
            </w:r>
          </w:p>
        </w:tc>
        <w:tc>
          <w:tcPr>
            <w:tcW w:w="2136"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920</w:t>
            </w:r>
          </w:p>
        </w:tc>
        <w:tc>
          <w:tcPr>
            <w:tcW w:w="1723" w:type="dxa"/>
            <w:tcBorders>
              <w:top w:val="nil"/>
              <w:left w:val="nil"/>
              <w:bottom w:val="nil"/>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44</w:t>
            </w:r>
          </w:p>
        </w:tc>
      </w:tr>
      <w:tr w:rsidR="006A4B0F" w:rsidRPr="006A4B0F" w:rsidTr="006A4B0F">
        <w:trPr>
          <w:trHeight w:val="292"/>
        </w:trPr>
        <w:tc>
          <w:tcPr>
            <w:tcW w:w="2274" w:type="dxa"/>
            <w:tcBorders>
              <w:top w:val="nil"/>
              <w:left w:val="nil"/>
              <w:bottom w:val="single" w:sz="4" w:space="0" w:color="auto"/>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Sucrose</w:t>
            </w:r>
          </w:p>
        </w:tc>
        <w:tc>
          <w:tcPr>
            <w:tcW w:w="2136" w:type="dxa"/>
            <w:tcBorders>
              <w:top w:val="nil"/>
              <w:left w:val="nil"/>
              <w:bottom w:val="single" w:sz="4" w:space="0" w:color="auto"/>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vertAlign w:val="superscript"/>
                <w:lang w:eastAsia="en-CA"/>
              </w:rPr>
            </w:pPr>
            <w:r w:rsidRPr="006A4B0F">
              <w:rPr>
                <w:rFonts w:ascii="Calibri" w:eastAsia="Times New Roman" w:hAnsi="Calibri" w:cs="Calibri"/>
                <w:color w:val="000000"/>
                <w:lang w:eastAsia="en-CA"/>
              </w:rPr>
              <w:t>&gt;1200</w:t>
            </w:r>
            <w:r>
              <w:rPr>
                <w:rFonts w:ascii="Calibri" w:eastAsia="Times New Roman" w:hAnsi="Calibri" w:cs="Calibri"/>
                <w:color w:val="000000"/>
                <w:vertAlign w:val="superscript"/>
                <w:lang w:eastAsia="en-CA"/>
              </w:rPr>
              <w:t>b</w:t>
            </w:r>
          </w:p>
        </w:tc>
        <w:tc>
          <w:tcPr>
            <w:tcW w:w="1723" w:type="dxa"/>
            <w:tcBorders>
              <w:top w:val="nil"/>
              <w:left w:val="nil"/>
              <w:bottom w:val="single" w:sz="4" w:space="0" w:color="auto"/>
              <w:right w:val="nil"/>
            </w:tcBorders>
            <w:shd w:val="clear" w:color="auto" w:fill="auto"/>
            <w:noWrap/>
            <w:vAlign w:val="bottom"/>
            <w:hideMark/>
          </w:tcPr>
          <w:p w:rsidR="006A4B0F" w:rsidRPr="006A4B0F" w:rsidRDefault="006A4B0F" w:rsidP="006A4B0F">
            <w:pPr>
              <w:spacing w:after="0" w:line="240" w:lineRule="auto"/>
              <w:jc w:val="center"/>
              <w:rPr>
                <w:rFonts w:ascii="Calibri" w:eastAsia="Times New Roman" w:hAnsi="Calibri" w:cs="Calibri"/>
                <w:color w:val="000000"/>
                <w:lang w:eastAsia="en-CA"/>
              </w:rPr>
            </w:pPr>
            <w:r w:rsidRPr="006A4B0F">
              <w:rPr>
                <w:rFonts w:ascii="Calibri" w:eastAsia="Times New Roman" w:hAnsi="Calibri" w:cs="Calibri"/>
                <w:color w:val="000000"/>
                <w:lang w:eastAsia="en-CA"/>
              </w:rPr>
              <w:t>0</w:t>
            </w:r>
          </w:p>
        </w:tc>
      </w:tr>
    </w:tbl>
    <w:p w:rsidR="006A4B0F" w:rsidRDefault="006A4B0F"/>
    <w:p w:rsidR="001261E4" w:rsidRDefault="00256E5C">
      <w:r>
        <w:rPr>
          <w:vertAlign w:val="superscript"/>
        </w:rPr>
        <w:t xml:space="preserve">a </w:t>
      </w:r>
      <w:r w:rsidR="006A4B0F">
        <w:t>Solution turned transparent instantaneously</w:t>
      </w:r>
    </w:p>
    <w:p w:rsidR="00256E5C" w:rsidRDefault="00256E5C">
      <w:r>
        <w:rPr>
          <w:vertAlign w:val="superscript"/>
        </w:rPr>
        <w:t xml:space="preserve">b </w:t>
      </w:r>
      <w:r w:rsidR="006A4B0F">
        <w:t xml:space="preserve">Solution never turned transparent </w:t>
      </w:r>
    </w:p>
    <w:p w:rsidR="00256E5C" w:rsidRDefault="00256E5C"/>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p w:rsidR="00AB5C3E" w:rsidRDefault="00AB5C3E" w:rsidP="00BF0BAE">
      <w:pPr>
        <w:pStyle w:val="ListParagraph"/>
        <w:numPr>
          <w:ilvl w:val="0"/>
          <w:numId w:val="1"/>
        </w:numPr>
        <w:spacing w:line="360" w:lineRule="auto"/>
        <w:rPr>
          <w:b/>
        </w:rPr>
      </w:pPr>
      <w:r w:rsidRPr="00AB5C3E">
        <w:rPr>
          <w:b/>
        </w:rPr>
        <w:lastRenderedPageBreak/>
        <w:t>What are the factors that affect the diffusion of the solutes tested in the permeability experiment?</w:t>
      </w:r>
    </w:p>
    <w:p w:rsidR="00AB5C3E" w:rsidRPr="00AB5C3E" w:rsidRDefault="00AB5C3E" w:rsidP="00BF0BAE">
      <w:pPr>
        <w:spacing w:line="360" w:lineRule="auto"/>
        <w:ind w:left="360"/>
      </w:pPr>
      <w:r>
        <w:t>In the permeability experiment, the size of the molecules in the solute, along with the polarity of these molecules will affect the diffusion of the solutes. However, temperature and concentration of the solutes will also affect the diffusion but these were held constant in this experiment and therefore do not affect the diffusion of the solutes.</w:t>
      </w:r>
    </w:p>
    <w:p w:rsidR="00AB5C3E" w:rsidRDefault="00AB5C3E" w:rsidP="00BF0BAE">
      <w:pPr>
        <w:pStyle w:val="ListParagraph"/>
        <w:numPr>
          <w:ilvl w:val="0"/>
          <w:numId w:val="1"/>
        </w:numPr>
        <w:spacing w:line="360" w:lineRule="auto"/>
        <w:rPr>
          <w:b/>
        </w:rPr>
      </w:pPr>
      <w:r w:rsidRPr="00AB5C3E">
        <w:rPr>
          <w:b/>
        </w:rPr>
        <w:t>How do these factors affect the diffusion of solutes?</w:t>
      </w:r>
    </w:p>
    <w:p w:rsidR="00AB5C3E" w:rsidRPr="00AB5C3E" w:rsidRDefault="00AB5C3E" w:rsidP="00BF0BAE">
      <w:pPr>
        <w:spacing w:line="360" w:lineRule="auto"/>
        <w:ind w:left="360"/>
      </w:pPr>
      <w:r>
        <w:t>In this experiment, it was evident that the polarity and size of the solute had an effect on the permeability of the erythrocyte membrane. As the size of a solute grows, that solute becomes increasingly impermeable to the membrane and therefore hemolysis never occurs. This can be seen with the samples of sucrose, which is the largest molecule and therefore never caused hemolysis. It is also evident t</w:t>
      </w:r>
      <w:r w:rsidR="0031128B">
        <w:t>hat increasingly p</w:t>
      </w:r>
      <w:r>
        <w:t>olar molecules have a</w:t>
      </w:r>
      <w:r w:rsidR="0031128B">
        <w:t xml:space="preserve"> decreased </w:t>
      </w:r>
      <w:r>
        <w:t xml:space="preserve">permeability to the membrane and therefore </w:t>
      </w:r>
      <w:r w:rsidR="0031128B">
        <w:t>hemolysis will never occur. Highly polar molecules such as glycerol and sucrose never had hemolysis as they were large solutes and polar. This can be seen in table 1. Small molecules such as ddH</w:t>
      </w:r>
      <w:r w:rsidR="0031128B">
        <w:rPr>
          <w:vertAlign w:val="subscript"/>
        </w:rPr>
        <w:t>2</w:t>
      </w:r>
      <w:r w:rsidR="0031128B">
        <w:t>O are highly permeable to the lipid bilayer and therefore hemolysis occurs instantaneously.  Therefore, size of solutes has a primary effect on the permeability and time to cause hemolysis and a secondary effect is applied</w:t>
      </w:r>
      <w:bookmarkStart w:id="0" w:name="_GoBack"/>
      <w:bookmarkEnd w:id="0"/>
      <w:r w:rsidR="0031128B">
        <w:t xml:space="preserve"> by the polarity of the solute.</w:t>
      </w:r>
    </w:p>
    <w:sectPr w:rsidR="00AB5C3E" w:rsidRPr="00AB5C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046F1"/>
    <w:multiLevelType w:val="hybridMultilevel"/>
    <w:tmpl w:val="FFE46B7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7B1"/>
    <w:rsid w:val="001261E4"/>
    <w:rsid w:val="00256E5C"/>
    <w:rsid w:val="0031128B"/>
    <w:rsid w:val="006A4B0F"/>
    <w:rsid w:val="0072473F"/>
    <w:rsid w:val="009E6834"/>
    <w:rsid w:val="00AB5C3E"/>
    <w:rsid w:val="00B410F7"/>
    <w:rsid w:val="00BF0BAE"/>
    <w:rsid w:val="00E967B1"/>
    <w:rsid w:val="00EB10D7"/>
    <w:rsid w:val="00EE6009"/>
    <w:rsid w:val="00F8273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DA4F5"/>
  <w15:chartTrackingRefBased/>
  <w15:docId w15:val="{2EFC06C5-A29C-417E-9D21-69A6AAE2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967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1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1">
    <w:name w:val="Calendar 1"/>
    <w:basedOn w:val="TableNormal"/>
    <w:uiPriority w:val="99"/>
    <w:qFormat/>
    <w:rsid w:val="00B410F7"/>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ListParagraph">
    <w:name w:val="List Paragraph"/>
    <w:basedOn w:val="Normal"/>
    <w:uiPriority w:val="34"/>
    <w:qFormat/>
    <w:rsid w:val="00AB5C3E"/>
    <w:pPr>
      <w:ind w:left="720"/>
      <w:contextualSpacing/>
    </w:pPr>
  </w:style>
  <w:style w:type="paragraph" w:styleId="BalloonText">
    <w:name w:val="Balloon Text"/>
    <w:basedOn w:val="Normal"/>
    <w:link w:val="BalloonTextChar"/>
    <w:uiPriority w:val="99"/>
    <w:semiHidden/>
    <w:unhideWhenUsed/>
    <w:rsid w:val="00BF0B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B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270385">
      <w:bodyDiv w:val="1"/>
      <w:marLeft w:val="0"/>
      <w:marRight w:val="0"/>
      <w:marTop w:val="0"/>
      <w:marBottom w:val="0"/>
      <w:divBdr>
        <w:top w:val="none" w:sz="0" w:space="0" w:color="auto"/>
        <w:left w:val="none" w:sz="0" w:space="0" w:color="auto"/>
        <w:bottom w:val="none" w:sz="0" w:space="0" w:color="auto"/>
        <w:right w:val="none" w:sz="0" w:space="0" w:color="auto"/>
      </w:divBdr>
    </w:div>
    <w:div w:id="1025641202">
      <w:bodyDiv w:val="1"/>
      <w:marLeft w:val="0"/>
      <w:marRight w:val="0"/>
      <w:marTop w:val="0"/>
      <w:marBottom w:val="0"/>
      <w:divBdr>
        <w:top w:val="none" w:sz="0" w:space="0" w:color="auto"/>
        <w:left w:val="none" w:sz="0" w:space="0" w:color="auto"/>
        <w:bottom w:val="none" w:sz="0" w:space="0" w:color="auto"/>
        <w:right w:val="none" w:sz="0" w:space="0" w:color="auto"/>
      </w:divBdr>
    </w:div>
    <w:div w:id="1779329688">
      <w:bodyDiv w:val="1"/>
      <w:marLeft w:val="0"/>
      <w:marRight w:val="0"/>
      <w:marTop w:val="0"/>
      <w:marBottom w:val="0"/>
      <w:divBdr>
        <w:top w:val="none" w:sz="0" w:space="0" w:color="auto"/>
        <w:left w:val="none" w:sz="0" w:space="0" w:color="auto"/>
        <w:bottom w:val="none" w:sz="0" w:space="0" w:color="auto"/>
        <w:right w:val="none" w:sz="0" w:space="0" w:color="auto"/>
      </w:divBdr>
    </w:div>
    <w:div w:id="200404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3</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Keshav Goel</dc:creator>
  <cp:keywords/>
  <dc:description/>
  <cp:lastModifiedBy>Keshav Goel</cp:lastModifiedBy>
  <cp:revision>5</cp:revision>
  <cp:lastPrinted>2017-02-10T14:59:00Z</cp:lastPrinted>
  <dcterms:created xsi:type="dcterms:W3CDTF">2017-02-09T15:43:00Z</dcterms:created>
  <dcterms:modified xsi:type="dcterms:W3CDTF">2017-02-10T15:01:00Z</dcterms:modified>
</cp:coreProperties>
</file>