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B1FFC2" w14:textId="77777777" w:rsidR="0031451F" w:rsidRPr="00F20C15" w:rsidRDefault="0031451F" w:rsidP="0031451F">
      <w:pPr>
        <w:spacing w:after="0" w:line="360" w:lineRule="auto"/>
        <w:jc w:val="center"/>
        <w:rPr>
          <w:rFonts w:asciiTheme="majorBidi" w:eastAsia="Times New Roman" w:hAnsiTheme="majorBidi" w:cstheme="majorBidi"/>
          <w:sz w:val="24"/>
          <w:szCs w:val="24"/>
          <w:u w:val="single"/>
          <w:lang w:eastAsia="en-CA"/>
        </w:rPr>
      </w:pPr>
      <w:r w:rsidRPr="00F20C15">
        <w:rPr>
          <w:rFonts w:asciiTheme="majorBidi" w:eastAsia="Times New Roman" w:hAnsiTheme="majorBidi" w:cstheme="majorBidi"/>
          <w:b/>
          <w:bCs/>
          <w:color w:val="000000"/>
          <w:sz w:val="24"/>
          <w:szCs w:val="24"/>
          <w:u w:val="single"/>
          <w:lang w:eastAsia="en-CA"/>
        </w:rPr>
        <w:t>BUTLER LUMBER COMPANY</w:t>
      </w:r>
    </w:p>
    <w:p w14:paraId="1173594E" w14:textId="77777777" w:rsidR="0031451F" w:rsidRPr="00497093" w:rsidRDefault="0031451F" w:rsidP="0031451F">
      <w:pPr>
        <w:spacing w:after="0" w:line="360" w:lineRule="auto"/>
        <w:rPr>
          <w:rFonts w:asciiTheme="majorBidi" w:eastAsia="Times New Roman" w:hAnsiTheme="majorBidi" w:cstheme="majorBidi"/>
          <w:b/>
          <w:color w:val="000000"/>
          <w:lang w:eastAsia="en-CA"/>
        </w:rPr>
      </w:pPr>
    </w:p>
    <w:p w14:paraId="6E4AA171" w14:textId="6BAE81F5" w:rsidR="0031451F" w:rsidRDefault="006A09B3" w:rsidP="00244BFD">
      <w:pPr>
        <w:spacing w:after="0" w:line="360" w:lineRule="auto"/>
        <w:rPr>
          <w:rFonts w:asciiTheme="majorBidi" w:eastAsia="Times New Roman" w:hAnsiTheme="majorBidi" w:cstheme="majorBidi"/>
          <w:color w:val="000000"/>
          <w:sz w:val="23"/>
          <w:szCs w:val="23"/>
          <w:lang w:eastAsia="en-CA"/>
        </w:rPr>
      </w:pPr>
      <w:r w:rsidRPr="001D66E0">
        <w:rPr>
          <w:rFonts w:asciiTheme="majorBidi" w:eastAsia="Times New Roman" w:hAnsiTheme="majorBidi" w:cstheme="majorBidi"/>
          <w:b/>
          <w:color w:val="000000"/>
          <w:sz w:val="23"/>
          <w:szCs w:val="23"/>
          <w:lang w:eastAsia="en-CA"/>
        </w:rPr>
        <w:t>Memo from</w:t>
      </w:r>
      <w:r w:rsidR="0031451F" w:rsidRPr="001D66E0">
        <w:rPr>
          <w:rFonts w:asciiTheme="majorBidi" w:eastAsia="Times New Roman" w:hAnsiTheme="majorBidi" w:cstheme="majorBidi"/>
          <w:b/>
          <w:color w:val="000000"/>
          <w:sz w:val="23"/>
          <w:szCs w:val="23"/>
          <w:lang w:eastAsia="en-CA"/>
        </w:rPr>
        <w:t>:</w:t>
      </w:r>
      <w:r w:rsidR="0031451F" w:rsidRPr="001D66E0">
        <w:rPr>
          <w:rFonts w:asciiTheme="majorBidi" w:eastAsia="Times New Roman" w:hAnsiTheme="majorBidi" w:cstheme="majorBidi"/>
          <w:b/>
          <w:color w:val="000000"/>
          <w:sz w:val="23"/>
          <w:szCs w:val="23"/>
          <w:lang w:eastAsia="en-CA"/>
        </w:rPr>
        <w:tab/>
      </w:r>
      <w:r w:rsidR="0031451F" w:rsidRPr="001D66E0">
        <w:rPr>
          <w:rFonts w:asciiTheme="majorBidi" w:eastAsia="Times New Roman" w:hAnsiTheme="majorBidi" w:cstheme="majorBidi"/>
          <w:b/>
          <w:color w:val="000000"/>
          <w:sz w:val="23"/>
          <w:szCs w:val="23"/>
          <w:lang w:eastAsia="en-CA"/>
        </w:rPr>
        <w:tab/>
      </w:r>
      <w:r w:rsidRPr="001D66E0">
        <w:rPr>
          <w:rFonts w:asciiTheme="majorBidi" w:eastAsia="Times New Roman" w:hAnsiTheme="majorBidi" w:cstheme="majorBidi"/>
          <w:b/>
          <w:color w:val="000000"/>
          <w:sz w:val="23"/>
          <w:szCs w:val="23"/>
          <w:lang w:eastAsia="en-CA"/>
        </w:rPr>
        <w:tab/>
      </w:r>
    </w:p>
    <w:p w14:paraId="20BC7F01" w14:textId="7803FC6D" w:rsidR="00244BFD" w:rsidRDefault="00244BFD" w:rsidP="00244BFD">
      <w:pPr>
        <w:spacing w:after="0" w:line="360" w:lineRule="auto"/>
        <w:rPr>
          <w:rFonts w:asciiTheme="majorBidi" w:eastAsia="Times New Roman" w:hAnsiTheme="majorBidi" w:cstheme="majorBidi"/>
          <w:color w:val="000000"/>
          <w:sz w:val="23"/>
          <w:szCs w:val="23"/>
          <w:lang w:eastAsia="en-CA"/>
        </w:rPr>
      </w:pPr>
      <w:r>
        <w:rPr>
          <w:rFonts w:asciiTheme="majorBidi" w:eastAsia="Times New Roman" w:hAnsiTheme="majorBidi" w:cstheme="majorBidi"/>
          <w:color w:val="000000"/>
          <w:sz w:val="23"/>
          <w:szCs w:val="23"/>
          <w:lang w:eastAsia="en-CA"/>
        </w:rPr>
        <w:t xml:space="preserve">  </w:t>
      </w:r>
    </w:p>
    <w:p w14:paraId="7A610B86" w14:textId="77777777" w:rsidR="00244BFD" w:rsidRDefault="00244BFD" w:rsidP="00244BFD">
      <w:pPr>
        <w:spacing w:after="0" w:line="360" w:lineRule="auto"/>
        <w:rPr>
          <w:rFonts w:asciiTheme="majorBidi" w:eastAsia="Times New Roman" w:hAnsiTheme="majorBidi" w:cstheme="majorBidi"/>
          <w:color w:val="000000"/>
          <w:sz w:val="23"/>
          <w:szCs w:val="23"/>
          <w:lang w:eastAsia="en-CA"/>
        </w:rPr>
      </w:pPr>
    </w:p>
    <w:p w14:paraId="4BF7DF67" w14:textId="77777777" w:rsidR="00244BFD" w:rsidRPr="001D66E0" w:rsidRDefault="00244BFD" w:rsidP="00244BFD">
      <w:pPr>
        <w:spacing w:after="0" w:line="360" w:lineRule="auto"/>
        <w:rPr>
          <w:rFonts w:asciiTheme="majorBidi" w:eastAsia="Times New Roman" w:hAnsiTheme="majorBidi" w:cstheme="majorBidi"/>
          <w:b/>
          <w:color w:val="000000"/>
          <w:sz w:val="23"/>
          <w:szCs w:val="23"/>
          <w:u w:val="single"/>
          <w:lang w:eastAsia="en-CA"/>
        </w:rPr>
      </w:pPr>
      <w:bookmarkStart w:id="0" w:name="_GoBack"/>
      <w:bookmarkEnd w:id="0"/>
    </w:p>
    <w:p w14:paraId="402070D3" w14:textId="318E269C" w:rsidR="0031451F" w:rsidRPr="001D66E0" w:rsidRDefault="006A09B3" w:rsidP="0031451F">
      <w:pPr>
        <w:spacing w:line="360" w:lineRule="auto"/>
        <w:rPr>
          <w:rFonts w:asciiTheme="majorBidi" w:eastAsia="Times New Roman" w:hAnsiTheme="majorBidi" w:cstheme="majorBidi"/>
          <w:b/>
          <w:color w:val="000000"/>
          <w:sz w:val="23"/>
          <w:szCs w:val="23"/>
          <w:lang w:eastAsia="en-CA"/>
        </w:rPr>
      </w:pPr>
      <w:r w:rsidRPr="001D66E0">
        <w:rPr>
          <w:rFonts w:asciiTheme="majorBidi" w:eastAsia="Times New Roman" w:hAnsiTheme="majorBidi" w:cstheme="majorBidi"/>
          <w:b/>
          <w:color w:val="000000"/>
          <w:sz w:val="23"/>
          <w:szCs w:val="23"/>
          <w:lang w:eastAsia="en-CA"/>
        </w:rPr>
        <w:t>Subject</w:t>
      </w:r>
      <w:r w:rsidR="0031451F" w:rsidRPr="001D66E0">
        <w:rPr>
          <w:rFonts w:asciiTheme="majorBidi" w:eastAsia="Times New Roman" w:hAnsiTheme="majorBidi" w:cstheme="majorBidi"/>
          <w:b/>
          <w:color w:val="000000"/>
          <w:sz w:val="23"/>
          <w:szCs w:val="23"/>
          <w:lang w:eastAsia="en-CA"/>
        </w:rPr>
        <w:t>: Butler Lumber Company</w:t>
      </w:r>
    </w:p>
    <w:p w14:paraId="37952366" w14:textId="77777777" w:rsidR="0031451F" w:rsidRPr="001D66E0" w:rsidRDefault="0031451F" w:rsidP="0031451F">
      <w:pPr>
        <w:spacing w:after="0" w:line="360" w:lineRule="auto"/>
        <w:rPr>
          <w:rFonts w:asciiTheme="majorBidi" w:eastAsia="Times New Roman" w:hAnsiTheme="majorBidi" w:cstheme="majorBidi"/>
          <w:b/>
          <w:color w:val="000000"/>
          <w:sz w:val="23"/>
          <w:szCs w:val="23"/>
          <w:lang w:eastAsia="en-CA"/>
        </w:rPr>
      </w:pPr>
    </w:p>
    <w:p w14:paraId="6F7BC43D" w14:textId="5837F1F2" w:rsidR="0031451F" w:rsidRPr="001D66E0" w:rsidRDefault="006A09B3" w:rsidP="0031451F">
      <w:pPr>
        <w:spacing w:line="360" w:lineRule="auto"/>
        <w:rPr>
          <w:rFonts w:asciiTheme="majorBidi" w:eastAsia="Times New Roman" w:hAnsiTheme="majorBidi" w:cstheme="majorBidi"/>
          <w:sz w:val="23"/>
          <w:szCs w:val="23"/>
          <w:lang w:eastAsia="en-CA"/>
        </w:rPr>
      </w:pPr>
      <w:r w:rsidRPr="001D66E0">
        <w:rPr>
          <w:rFonts w:asciiTheme="majorBidi" w:eastAsia="Times New Roman" w:hAnsiTheme="majorBidi" w:cstheme="majorBidi"/>
          <w:b/>
          <w:color w:val="000000"/>
          <w:sz w:val="23"/>
          <w:szCs w:val="23"/>
          <w:lang w:eastAsia="en-CA"/>
        </w:rPr>
        <w:t>Problem Summary</w:t>
      </w:r>
      <w:r w:rsidR="0031451F" w:rsidRPr="001D66E0">
        <w:rPr>
          <w:rFonts w:asciiTheme="majorBidi" w:eastAsia="Times New Roman" w:hAnsiTheme="majorBidi" w:cstheme="majorBidi"/>
          <w:color w:val="000000"/>
          <w:sz w:val="23"/>
          <w:szCs w:val="23"/>
          <w:lang w:eastAsia="en-CA"/>
        </w:rPr>
        <w:t>                            </w:t>
      </w:r>
      <w:r w:rsidR="0031451F" w:rsidRPr="001D66E0">
        <w:rPr>
          <w:rFonts w:asciiTheme="majorBidi" w:eastAsia="Times New Roman" w:hAnsiTheme="majorBidi" w:cstheme="majorBidi"/>
          <w:color w:val="000000"/>
          <w:sz w:val="23"/>
          <w:szCs w:val="23"/>
          <w:lang w:eastAsia="en-CA"/>
        </w:rPr>
        <w:tab/>
      </w:r>
    </w:p>
    <w:p w14:paraId="374843E0" w14:textId="77777777" w:rsidR="00473001" w:rsidRPr="001D66E0" w:rsidRDefault="00473001" w:rsidP="00473001">
      <w:pPr>
        <w:spacing w:after="0" w:line="360" w:lineRule="auto"/>
        <w:rPr>
          <w:rFonts w:asciiTheme="majorBidi" w:eastAsia="Times New Roman" w:hAnsiTheme="majorBidi" w:cstheme="majorBidi"/>
          <w:sz w:val="23"/>
          <w:szCs w:val="23"/>
          <w:lang w:eastAsia="en-CA"/>
        </w:rPr>
      </w:pPr>
      <w:r w:rsidRPr="001D66E0">
        <w:rPr>
          <w:rFonts w:asciiTheme="majorBidi" w:eastAsia="Times New Roman" w:hAnsiTheme="majorBidi" w:cstheme="majorBidi"/>
          <w:color w:val="000000"/>
          <w:sz w:val="23"/>
          <w:szCs w:val="23"/>
          <w:lang w:eastAsia="en-CA"/>
        </w:rPr>
        <w:t>Butler Lumber Company, a retailer of lumber products, is experiencing a shortage of cash due to a number of the firm’s policies and strategy. Over the last few years, the company has exhibited decreasing profit margins. Nonetheless, Butler Lumber’s revenue has been growing rapidly, and the company expects it to grow even faster in the coming year. However, the lending restrictions set by the company’s current bank, Suburban National, do not provide Mr. Butler with enough funds to finance his anticipated growth. Butler Lumber is looking at a different funding source as a possible solution: the tentative talks between Northrop Bank and Mark Butler have been in regards to a revolving, secured 90-day note not to exceed $465,000, double the amount offered by Butler’s current lender. The extra cash would allow for more flexibility and growth opportunities. We are to access which alternative is best given the company’s current situation.</w:t>
      </w:r>
    </w:p>
    <w:p w14:paraId="5B4E2859" w14:textId="77777777" w:rsidR="0031451F" w:rsidRPr="001D66E0" w:rsidRDefault="0031451F" w:rsidP="0031451F">
      <w:pPr>
        <w:spacing w:after="0" w:line="360" w:lineRule="auto"/>
        <w:rPr>
          <w:rFonts w:asciiTheme="majorBidi" w:eastAsia="Times New Roman" w:hAnsiTheme="majorBidi" w:cstheme="majorBidi"/>
          <w:sz w:val="23"/>
          <w:szCs w:val="23"/>
          <w:lang w:eastAsia="en-CA"/>
        </w:rPr>
      </w:pPr>
    </w:p>
    <w:p w14:paraId="606EBA6B" w14:textId="6025C175" w:rsidR="0031451F" w:rsidRPr="001D66E0" w:rsidRDefault="006A09B3" w:rsidP="0031451F">
      <w:pPr>
        <w:spacing w:line="360" w:lineRule="auto"/>
        <w:rPr>
          <w:rFonts w:asciiTheme="majorBidi" w:eastAsia="Times New Roman" w:hAnsiTheme="majorBidi" w:cstheme="majorBidi"/>
          <w:b/>
          <w:sz w:val="23"/>
          <w:szCs w:val="23"/>
          <w:lang w:eastAsia="en-CA"/>
        </w:rPr>
      </w:pPr>
      <w:r w:rsidRPr="001D66E0">
        <w:rPr>
          <w:rFonts w:asciiTheme="majorBidi" w:eastAsia="Times New Roman" w:hAnsiTheme="majorBidi" w:cstheme="majorBidi"/>
          <w:b/>
          <w:color w:val="000000"/>
          <w:sz w:val="23"/>
          <w:szCs w:val="23"/>
          <w:lang w:eastAsia="en-CA"/>
        </w:rPr>
        <w:t>Options</w:t>
      </w:r>
    </w:p>
    <w:p w14:paraId="78C6118B" w14:textId="77777777" w:rsidR="0031451F" w:rsidRPr="001D66E0" w:rsidRDefault="0031451F" w:rsidP="0031451F">
      <w:pPr>
        <w:spacing w:after="0" w:line="360" w:lineRule="auto"/>
        <w:rPr>
          <w:rFonts w:asciiTheme="majorBidi" w:eastAsia="Times New Roman" w:hAnsiTheme="majorBidi" w:cstheme="majorBidi"/>
          <w:color w:val="000000"/>
          <w:sz w:val="23"/>
          <w:szCs w:val="23"/>
          <w:lang w:eastAsia="en-CA"/>
        </w:rPr>
      </w:pPr>
      <w:r w:rsidRPr="001D66E0">
        <w:rPr>
          <w:rFonts w:asciiTheme="majorBidi" w:eastAsia="Times New Roman" w:hAnsiTheme="majorBidi" w:cstheme="majorBidi"/>
          <w:color w:val="000000"/>
          <w:sz w:val="23"/>
          <w:szCs w:val="23"/>
          <w:lang w:eastAsia="en-CA"/>
        </w:rPr>
        <w:t>1. Keep the Suburban National Bank Loan</w:t>
      </w:r>
    </w:p>
    <w:p w14:paraId="12F27DC8" w14:textId="395BBD61" w:rsidR="0031451F" w:rsidRPr="001D66E0" w:rsidRDefault="0031451F" w:rsidP="0031451F">
      <w:pPr>
        <w:spacing w:after="0" w:line="360" w:lineRule="auto"/>
        <w:rPr>
          <w:rFonts w:asciiTheme="majorBidi" w:eastAsia="Times New Roman" w:hAnsiTheme="majorBidi" w:cstheme="majorBidi"/>
          <w:sz w:val="23"/>
          <w:szCs w:val="23"/>
          <w:lang w:eastAsia="en-CA"/>
        </w:rPr>
      </w:pPr>
      <w:r w:rsidRPr="001D66E0">
        <w:rPr>
          <w:rFonts w:asciiTheme="majorBidi" w:eastAsia="Times New Roman" w:hAnsiTheme="majorBidi" w:cstheme="majorBidi"/>
          <w:color w:val="000000"/>
          <w:sz w:val="23"/>
          <w:szCs w:val="23"/>
          <w:lang w:eastAsia="en-CA"/>
        </w:rPr>
        <w:t>2. Keep the Suburban National Bank Loan and secure assets for lower rate                </w:t>
      </w:r>
      <w:r w:rsidRPr="001D66E0">
        <w:rPr>
          <w:rFonts w:asciiTheme="majorBidi" w:eastAsia="Times New Roman" w:hAnsiTheme="majorBidi" w:cstheme="majorBidi"/>
          <w:color w:val="000000"/>
          <w:sz w:val="23"/>
          <w:szCs w:val="23"/>
          <w:lang w:eastAsia="en-CA"/>
        </w:rPr>
        <w:tab/>
      </w:r>
    </w:p>
    <w:p w14:paraId="51E9A195" w14:textId="0F958458" w:rsidR="0031451F" w:rsidRPr="001D66E0" w:rsidRDefault="0031451F" w:rsidP="0031451F">
      <w:pPr>
        <w:spacing w:after="0" w:line="360" w:lineRule="auto"/>
        <w:rPr>
          <w:rFonts w:asciiTheme="majorBidi" w:eastAsia="Times New Roman" w:hAnsiTheme="majorBidi" w:cstheme="majorBidi"/>
          <w:color w:val="000000"/>
          <w:sz w:val="23"/>
          <w:szCs w:val="23"/>
          <w:lang w:eastAsia="en-CA"/>
        </w:rPr>
      </w:pPr>
      <w:r w:rsidRPr="001D66E0">
        <w:rPr>
          <w:rFonts w:asciiTheme="majorBidi" w:eastAsia="Times New Roman" w:hAnsiTheme="majorBidi" w:cstheme="majorBidi"/>
          <w:color w:val="000000"/>
          <w:sz w:val="23"/>
          <w:szCs w:val="23"/>
          <w:lang w:eastAsia="en-CA"/>
        </w:rPr>
        <w:t>3. Take the Northrop Bank Revolving Note</w:t>
      </w:r>
    </w:p>
    <w:p w14:paraId="776E9A8A" w14:textId="584920FD" w:rsidR="0031451F" w:rsidRPr="001D66E0" w:rsidRDefault="0031451F" w:rsidP="0031451F">
      <w:pPr>
        <w:spacing w:after="0" w:line="360" w:lineRule="auto"/>
        <w:rPr>
          <w:rFonts w:asciiTheme="majorBidi" w:eastAsia="Times New Roman" w:hAnsiTheme="majorBidi" w:cstheme="majorBidi"/>
          <w:b/>
          <w:sz w:val="23"/>
          <w:szCs w:val="23"/>
          <w:lang w:eastAsia="en-CA"/>
        </w:rPr>
      </w:pPr>
      <w:r w:rsidRPr="001D66E0">
        <w:rPr>
          <w:rFonts w:asciiTheme="majorBidi" w:eastAsia="Times New Roman" w:hAnsiTheme="majorBidi" w:cstheme="majorBidi"/>
          <w:b/>
          <w:color w:val="000000"/>
          <w:sz w:val="23"/>
          <w:szCs w:val="23"/>
          <w:lang w:eastAsia="en-CA"/>
        </w:rPr>
        <w:t>                      </w:t>
      </w:r>
    </w:p>
    <w:p w14:paraId="692B9BD6" w14:textId="58688B79" w:rsidR="0031451F" w:rsidRPr="001D66E0" w:rsidRDefault="006A09B3" w:rsidP="0031451F">
      <w:pPr>
        <w:spacing w:line="360" w:lineRule="auto"/>
        <w:rPr>
          <w:rFonts w:asciiTheme="majorBidi" w:eastAsia="Times New Roman" w:hAnsiTheme="majorBidi" w:cstheme="majorBidi"/>
          <w:b/>
          <w:sz w:val="23"/>
          <w:szCs w:val="23"/>
          <w:lang w:eastAsia="en-CA"/>
        </w:rPr>
      </w:pPr>
      <w:r w:rsidRPr="001D66E0">
        <w:rPr>
          <w:rFonts w:asciiTheme="majorBidi" w:eastAsia="Times New Roman" w:hAnsiTheme="majorBidi" w:cstheme="majorBidi"/>
          <w:b/>
          <w:color w:val="000000"/>
          <w:sz w:val="23"/>
          <w:szCs w:val="23"/>
          <w:lang w:eastAsia="en-CA"/>
        </w:rPr>
        <w:t>Recommendation</w:t>
      </w:r>
    </w:p>
    <w:p w14:paraId="71F66D0C" w14:textId="77777777" w:rsidR="001D66E0" w:rsidRDefault="0031451F" w:rsidP="00503CF6">
      <w:pPr>
        <w:spacing w:after="0" w:line="360" w:lineRule="auto"/>
        <w:rPr>
          <w:rFonts w:asciiTheme="majorBidi" w:eastAsia="Times New Roman" w:hAnsiTheme="majorBidi" w:cstheme="majorBidi"/>
          <w:sz w:val="23"/>
          <w:szCs w:val="23"/>
          <w:lang w:eastAsia="en-CA"/>
        </w:rPr>
      </w:pPr>
      <w:r w:rsidRPr="001D66E0">
        <w:rPr>
          <w:rFonts w:asciiTheme="majorBidi" w:eastAsia="Times New Roman" w:hAnsiTheme="majorBidi" w:cstheme="majorBidi"/>
          <w:color w:val="000000"/>
          <w:sz w:val="23"/>
          <w:szCs w:val="23"/>
          <w:lang w:eastAsia="en-CA"/>
        </w:rPr>
        <w:t>We recommend that Butler Lumber end its relationship with Suburban National Bank and draw from the $465,000 revolving note from Northrop Bank.</w:t>
      </w:r>
    </w:p>
    <w:p w14:paraId="6593D47F" w14:textId="15C267F6" w:rsidR="00497093" w:rsidRPr="001D66E0" w:rsidRDefault="006A09B3" w:rsidP="00503CF6">
      <w:pPr>
        <w:spacing w:after="0" w:line="360" w:lineRule="auto"/>
        <w:rPr>
          <w:rFonts w:asciiTheme="majorBidi" w:eastAsia="Times New Roman" w:hAnsiTheme="majorBidi" w:cstheme="majorBidi"/>
          <w:sz w:val="23"/>
          <w:szCs w:val="23"/>
          <w:lang w:eastAsia="en-CA"/>
        </w:rPr>
      </w:pPr>
      <w:r w:rsidRPr="001D66E0">
        <w:rPr>
          <w:rFonts w:ascii="Times New Roman" w:eastAsia="Times New Roman" w:hAnsi="Times New Roman" w:cs="Times New Roman"/>
          <w:b/>
          <w:sz w:val="23"/>
          <w:szCs w:val="23"/>
          <w:lang w:eastAsia="en-CA"/>
        </w:rPr>
        <w:t>Analysis</w:t>
      </w:r>
    </w:p>
    <w:p w14:paraId="0E77D996" w14:textId="58F37AF6" w:rsidR="00F20C15" w:rsidRDefault="006A09B3" w:rsidP="001D66E0">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lastRenderedPageBreak/>
        <w:t>Butler Lumber Company, a business facing rapid growth but massive cash shortages, must decide on keeping their loan from Suburban National Bank or entering a new agreement with Northrop National Bank. The current loan is capped at $250,000, which is forcing Butler Lumber Company to increasingly rely on trade credit to finance its working capital requirements. In summary, Butler Lum</w:t>
      </w:r>
      <w:r w:rsidR="00503CF6" w:rsidRPr="001D66E0">
        <w:rPr>
          <w:rFonts w:ascii="Times New Roman" w:eastAsia="Times New Roman" w:hAnsi="Times New Roman" w:cs="Times New Roman"/>
          <w:sz w:val="23"/>
          <w:szCs w:val="23"/>
          <w:lang w:eastAsia="en-CA"/>
        </w:rPr>
        <w:t>ber Company cannot continue to grow and rely on the Suburban National Bank loan, secured or unsecured, without drastically changing either it’s a) profit margin, b) asset to sales ratio, c) cash conversion cycle. Pushing more of the burden onto suppliers in the form of trade credit is much more expensive than the 10.5% revolver and could also strain supplier relationships. While it is recommended that Butler Lumber Company reduce its days inventory and days receivable outstanding, the company desperately requires external funding needs in the short term.</w:t>
      </w:r>
    </w:p>
    <w:p w14:paraId="0FC12109" w14:textId="77777777" w:rsidR="001D66E0" w:rsidRPr="001D66E0" w:rsidRDefault="001D66E0" w:rsidP="001D66E0">
      <w:pPr>
        <w:spacing w:after="0" w:line="360" w:lineRule="auto"/>
        <w:jc w:val="both"/>
        <w:rPr>
          <w:rFonts w:ascii="Times New Roman" w:eastAsia="Times New Roman" w:hAnsi="Times New Roman" w:cs="Times New Roman"/>
          <w:sz w:val="23"/>
          <w:szCs w:val="23"/>
          <w:lang w:eastAsia="en-CA"/>
        </w:rPr>
      </w:pPr>
    </w:p>
    <w:p w14:paraId="311AFF89" w14:textId="77777777" w:rsidR="00497093" w:rsidRPr="001D66E0" w:rsidRDefault="006A09B3" w:rsidP="0031451F">
      <w:pPr>
        <w:spacing w:line="360" w:lineRule="auto"/>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Advantages</w:t>
      </w:r>
      <w:r w:rsidR="000F18A1" w:rsidRPr="001D66E0">
        <w:rPr>
          <w:rFonts w:ascii="Times New Roman" w:eastAsia="Times New Roman" w:hAnsi="Times New Roman" w:cs="Times New Roman"/>
          <w:b/>
          <w:sz w:val="23"/>
          <w:szCs w:val="23"/>
          <w:lang w:eastAsia="en-CA"/>
        </w:rPr>
        <w:t xml:space="preserve"> of the </w:t>
      </w:r>
      <w:r w:rsidRPr="001D66E0">
        <w:rPr>
          <w:rFonts w:ascii="Times New Roman" w:eastAsia="Times New Roman" w:hAnsi="Times New Roman" w:cs="Times New Roman"/>
          <w:b/>
          <w:sz w:val="23"/>
          <w:szCs w:val="23"/>
          <w:lang w:eastAsia="en-CA"/>
        </w:rPr>
        <w:t>Northrop Loan</w:t>
      </w:r>
    </w:p>
    <w:p w14:paraId="7D281C13" w14:textId="2703D447" w:rsidR="00F167BF" w:rsidRPr="001D66E0" w:rsidRDefault="005375E6"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sz w:val="23"/>
          <w:szCs w:val="23"/>
          <w:lang w:eastAsia="en-CA"/>
        </w:rPr>
        <w:t xml:space="preserve">Butler Lumber Company is facing constricting financial leverage, as it lacks the financial resources to maximize firm value. The main advantage of the Northrop National Bank loan is that it allows Butler Lumber Company to keep up with the firm’s internal growth and meet its </w:t>
      </w:r>
      <w:r w:rsidR="001D66E0">
        <w:rPr>
          <w:rFonts w:ascii="Times New Roman" w:eastAsia="Times New Roman" w:hAnsi="Times New Roman" w:cs="Times New Roman"/>
          <w:sz w:val="23"/>
          <w:szCs w:val="23"/>
          <w:lang w:eastAsia="en-CA"/>
        </w:rPr>
        <w:t xml:space="preserve">growing external funding needs. </w:t>
      </w:r>
      <w:r w:rsidR="00F167BF" w:rsidRPr="001D66E0">
        <w:rPr>
          <w:rFonts w:ascii="Times New Roman" w:eastAsia="Times New Roman" w:hAnsi="Times New Roman" w:cs="Times New Roman"/>
          <w:sz w:val="23"/>
          <w:szCs w:val="23"/>
          <w:lang w:eastAsia="en-CA"/>
        </w:rPr>
        <w:t xml:space="preserve">The bank loan’s advantages are twofold: it provides additional capital for the firm to pursue growth with and it allows the firm to replace some of the high-cost trade credit it has been forced to use for working capital needs. In </w:t>
      </w:r>
      <w:r w:rsidR="00DF79E9" w:rsidRPr="001D66E0">
        <w:rPr>
          <w:rFonts w:ascii="Times New Roman" w:eastAsia="Times New Roman" w:hAnsi="Times New Roman" w:cs="Times New Roman"/>
          <w:sz w:val="23"/>
          <w:szCs w:val="23"/>
          <w:lang w:eastAsia="en-CA"/>
        </w:rPr>
        <w:t xml:space="preserve">every </w:t>
      </w:r>
      <w:r w:rsidR="00F167BF" w:rsidRPr="001D66E0">
        <w:rPr>
          <w:rFonts w:ascii="Times New Roman" w:eastAsia="Times New Roman" w:hAnsi="Times New Roman" w:cs="Times New Roman"/>
          <w:sz w:val="23"/>
          <w:szCs w:val="23"/>
          <w:lang w:eastAsia="en-CA"/>
        </w:rPr>
        <w:t xml:space="preserve">tested interest rate scenario, </w:t>
      </w:r>
      <w:r w:rsidR="00DF79E9" w:rsidRPr="001D66E0">
        <w:rPr>
          <w:rFonts w:ascii="Times New Roman" w:eastAsia="Times New Roman" w:hAnsi="Times New Roman" w:cs="Times New Roman"/>
          <w:sz w:val="23"/>
          <w:szCs w:val="23"/>
          <w:lang w:eastAsia="en-CA"/>
        </w:rPr>
        <w:t xml:space="preserve">use of the </w:t>
      </w:r>
      <w:proofErr w:type="spellStart"/>
      <w:r w:rsidR="00DF79E9" w:rsidRPr="001D66E0">
        <w:rPr>
          <w:rFonts w:ascii="Times New Roman" w:eastAsia="Times New Roman" w:hAnsi="Times New Roman" w:cs="Times New Roman"/>
          <w:sz w:val="23"/>
          <w:szCs w:val="23"/>
          <w:lang w:eastAsia="en-CA"/>
        </w:rPr>
        <w:t>Northop</w:t>
      </w:r>
      <w:proofErr w:type="spellEnd"/>
      <w:r w:rsidR="00DF79E9" w:rsidRPr="001D66E0">
        <w:rPr>
          <w:rFonts w:ascii="Times New Roman" w:eastAsia="Times New Roman" w:hAnsi="Times New Roman" w:cs="Times New Roman"/>
          <w:sz w:val="23"/>
          <w:szCs w:val="23"/>
          <w:lang w:eastAsia="en-CA"/>
        </w:rPr>
        <w:t xml:space="preserve"> revolver decreased interest rates and increased net income against use of the Suburban line of credit.</w:t>
      </w:r>
      <w:r w:rsidR="00497093" w:rsidRPr="001D66E0">
        <w:rPr>
          <w:rFonts w:ascii="Times New Roman" w:eastAsia="Times New Roman" w:hAnsi="Times New Roman" w:cs="Times New Roman"/>
          <w:sz w:val="23"/>
          <w:szCs w:val="23"/>
          <w:lang w:eastAsia="en-CA"/>
        </w:rPr>
        <w:t xml:space="preserve"> Please refer to exhibits 1a, 1b, and 2b.</w:t>
      </w:r>
    </w:p>
    <w:p w14:paraId="23FB6C6C" w14:textId="1C3CA896" w:rsidR="005375E6" w:rsidRPr="001D66E0" w:rsidRDefault="005375E6" w:rsidP="00F20C15">
      <w:pPr>
        <w:spacing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Due to the revolving nature of the loan, Butler Lumber Company can draw on funds at any time over the life of the credit. Thus, the inherent flexibility of this debt instrument is an additional advantage to the Company.</w:t>
      </w:r>
    </w:p>
    <w:p w14:paraId="26957AEC" w14:textId="77777777" w:rsidR="00F20C15" w:rsidRPr="001D66E0" w:rsidRDefault="006A09B3"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Disadvantages</w:t>
      </w:r>
      <w:r w:rsidR="000F18A1" w:rsidRPr="001D66E0">
        <w:rPr>
          <w:rFonts w:ascii="Times New Roman" w:eastAsia="Times New Roman" w:hAnsi="Times New Roman" w:cs="Times New Roman"/>
          <w:b/>
          <w:sz w:val="23"/>
          <w:szCs w:val="23"/>
          <w:lang w:eastAsia="en-CA"/>
        </w:rPr>
        <w:t xml:space="preserve"> of the</w:t>
      </w:r>
      <w:r w:rsidRPr="001D66E0">
        <w:rPr>
          <w:rFonts w:ascii="Times New Roman" w:eastAsia="Times New Roman" w:hAnsi="Times New Roman" w:cs="Times New Roman"/>
          <w:b/>
          <w:sz w:val="23"/>
          <w:szCs w:val="23"/>
          <w:lang w:eastAsia="en-CA"/>
        </w:rPr>
        <w:t xml:space="preserve"> Northrop</w:t>
      </w:r>
      <w:r w:rsidR="00F20C15" w:rsidRPr="001D66E0">
        <w:rPr>
          <w:rFonts w:ascii="Times New Roman" w:eastAsia="Times New Roman" w:hAnsi="Times New Roman" w:cs="Times New Roman"/>
          <w:b/>
          <w:sz w:val="23"/>
          <w:szCs w:val="23"/>
          <w:lang w:eastAsia="en-CA"/>
        </w:rPr>
        <w:t xml:space="preserve"> loan</w:t>
      </w:r>
    </w:p>
    <w:p w14:paraId="2FF7E211" w14:textId="7032EFB1" w:rsidR="0031451F" w:rsidRPr="001D66E0" w:rsidRDefault="000F18A1"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sz w:val="23"/>
          <w:szCs w:val="23"/>
          <w:lang w:eastAsia="en-CA"/>
        </w:rPr>
        <w:t xml:space="preserve">By entering into the specified loan agreement with Northrop National Bank, Mark Butler would lose significant autonomy due to restrictive covenants. The most impactful restriction would be the loss of autonomy in investment and working capital decisions; rigid control mechanisms would limit the variability in these accounts. These covenants could limit the internal growth potential of Butler Lumber Company. Additionally, Mark Butler’s salary could be impacted </w:t>
      </w:r>
      <w:r w:rsidRPr="001D66E0">
        <w:rPr>
          <w:rFonts w:ascii="Times New Roman" w:eastAsia="Times New Roman" w:hAnsi="Times New Roman" w:cs="Times New Roman"/>
          <w:sz w:val="23"/>
          <w:szCs w:val="23"/>
          <w:lang w:eastAsia="en-CA"/>
        </w:rPr>
        <w:lastRenderedPageBreak/>
        <w:t>due to withdrawal limitations. Finally, the loan would be issued at a variable interest rate, exposing Butler Lumber Comp</w:t>
      </w:r>
      <w:r w:rsidR="006A09B3" w:rsidRPr="001D66E0">
        <w:rPr>
          <w:rFonts w:ascii="Times New Roman" w:eastAsia="Times New Roman" w:hAnsi="Times New Roman" w:cs="Times New Roman"/>
          <w:sz w:val="23"/>
          <w:szCs w:val="23"/>
          <w:lang w:eastAsia="en-CA"/>
        </w:rPr>
        <w:t>any to interest rate volatility</w:t>
      </w:r>
      <w:r w:rsidR="00C665C9" w:rsidRPr="001D66E0">
        <w:rPr>
          <w:rFonts w:ascii="Times New Roman" w:eastAsia="Times New Roman" w:hAnsi="Times New Roman" w:cs="Times New Roman"/>
          <w:sz w:val="23"/>
          <w:szCs w:val="23"/>
          <w:lang w:eastAsia="en-CA"/>
        </w:rPr>
        <w:t xml:space="preserve"> as seen in exhibits 3a and 3b.</w:t>
      </w:r>
    </w:p>
    <w:p w14:paraId="16424431" w14:textId="77777777" w:rsidR="00F20C15" w:rsidRPr="001D66E0" w:rsidRDefault="00F20C15"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External Financing Needs</w:t>
      </w:r>
      <w:r w:rsidR="00503CF6" w:rsidRPr="001D66E0">
        <w:rPr>
          <w:rFonts w:ascii="Times New Roman" w:eastAsia="Times New Roman" w:hAnsi="Times New Roman" w:cs="Times New Roman"/>
          <w:b/>
          <w:sz w:val="23"/>
          <w:szCs w:val="23"/>
          <w:lang w:eastAsia="en-CA"/>
        </w:rPr>
        <w:t xml:space="preserve"> </w:t>
      </w:r>
    </w:p>
    <w:p w14:paraId="56C3EDD8" w14:textId="3AEFD718" w:rsidR="00A53817" w:rsidRPr="001D66E0" w:rsidRDefault="00A53817"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sz w:val="23"/>
          <w:szCs w:val="23"/>
          <w:lang w:eastAsia="en-CA"/>
        </w:rPr>
        <w:t>Due to the constrictions of the Suburban National Bank loan, Butler Lumber Company has had to increasingly rely on trade credit to finance its working capital. This trade financing comes with a substantial cost. Butler Lumber Company, by relying on trade credit, loses the opportunity to gain a 2% discount offered by suppliers on purchases paid within 10 days. The opportunity cost of this discount amounts to an effective annual rate of 44.59%, a cost much higher than the 10.5% interest rate due on the proposed Northrop loan</w:t>
      </w:r>
      <w:r w:rsidR="00F20C15" w:rsidRPr="001D66E0">
        <w:rPr>
          <w:rFonts w:ascii="Times New Roman" w:eastAsia="Times New Roman" w:hAnsi="Times New Roman" w:cs="Times New Roman"/>
          <w:sz w:val="23"/>
          <w:szCs w:val="23"/>
          <w:lang w:eastAsia="en-CA"/>
        </w:rPr>
        <w:t>. In addition, this</w:t>
      </w:r>
      <w:r w:rsidR="00F20C15" w:rsidRPr="001D66E0">
        <w:rPr>
          <w:rFonts w:asciiTheme="majorBidi" w:eastAsia="Times New Roman" w:hAnsiTheme="majorBidi" w:cstheme="majorBidi"/>
          <w:sz w:val="23"/>
          <w:szCs w:val="23"/>
          <w:lang w:eastAsia="en-CA"/>
        </w:rPr>
        <w:t xml:space="preserve"> would require Butler to continue to rely heavily on trade credit, potentially damaging the company’s relationship with its suppliers.</w:t>
      </w:r>
    </w:p>
    <w:p w14:paraId="312C574D" w14:textId="28A52FD3" w:rsidR="00A53817" w:rsidRPr="001D66E0" w:rsidRDefault="00A53817" w:rsidP="00F20C15">
      <w:pPr>
        <w:spacing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EAR</w:t>
      </w:r>
      <w:proofErr w:type="gramStart"/>
      <w:r w:rsidRPr="001D66E0">
        <w:rPr>
          <w:rFonts w:ascii="Times New Roman" w:eastAsia="Times New Roman" w:hAnsi="Times New Roman" w:cs="Times New Roman"/>
          <w:sz w:val="23"/>
          <w:szCs w:val="23"/>
          <w:lang w:eastAsia="en-CA"/>
        </w:rPr>
        <w:t>=(</w:t>
      </w:r>
      <w:proofErr w:type="gramEnd"/>
      <w:r w:rsidRPr="001D66E0">
        <w:rPr>
          <w:rFonts w:ascii="Times New Roman" w:eastAsia="Times New Roman" w:hAnsi="Times New Roman" w:cs="Times New Roman"/>
          <w:sz w:val="23"/>
          <w:szCs w:val="23"/>
          <w:lang w:eastAsia="en-CA"/>
        </w:rPr>
        <w:t>1+0.02/0.98)^(365/20)-1=44.6%</w:t>
      </w:r>
      <w:r w:rsidR="00F167BF" w:rsidRPr="001D66E0">
        <w:rPr>
          <w:rFonts w:ascii="Times New Roman" w:eastAsia="Times New Roman" w:hAnsi="Times New Roman" w:cs="Times New Roman"/>
          <w:sz w:val="23"/>
          <w:szCs w:val="23"/>
          <w:lang w:eastAsia="en-CA"/>
        </w:rPr>
        <w:t>.</w:t>
      </w:r>
    </w:p>
    <w:p w14:paraId="7F55A6C2" w14:textId="77777777" w:rsidR="00497093" w:rsidRPr="001D66E0" w:rsidRDefault="00F167BF" w:rsidP="00F20C15">
      <w:pPr>
        <w:spacing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External financing needs vary from $54 - $145 depending on the operating assumptions used and whether Butler chooses to keep their banking relationship with Suburban or move to </w:t>
      </w:r>
      <w:proofErr w:type="spellStart"/>
      <w:r w:rsidRPr="001D66E0">
        <w:rPr>
          <w:rFonts w:ascii="Times New Roman" w:eastAsia="Times New Roman" w:hAnsi="Times New Roman" w:cs="Times New Roman"/>
          <w:sz w:val="23"/>
          <w:szCs w:val="23"/>
          <w:lang w:eastAsia="en-CA"/>
        </w:rPr>
        <w:t>Northop</w:t>
      </w:r>
      <w:proofErr w:type="spellEnd"/>
      <w:r w:rsidRPr="001D66E0">
        <w:rPr>
          <w:rFonts w:ascii="Times New Roman" w:eastAsia="Times New Roman" w:hAnsi="Times New Roman" w:cs="Times New Roman"/>
          <w:sz w:val="23"/>
          <w:szCs w:val="23"/>
          <w:lang w:eastAsia="en-CA"/>
        </w:rPr>
        <w:t>. This changes because of the interaction between net income and the financing used; this interaction comes about because of different interest rates between the two banks and trade credit options. In addition to the current need for external financing, it is preferable for Butler to replace some its trade credit with the lower-cost financing provided by bank loans.</w:t>
      </w:r>
      <w:r w:rsidR="00497093" w:rsidRPr="001D66E0">
        <w:rPr>
          <w:rFonts w:ascii="Times New Roman" w:eastAsia="Times New Roman" w:hAnsi="Times New Roman" w:cs="Times New Roman"/>
          <w:sz w:val="23"/>
          <w:szCs w:val="23"/>
          <w:lang w:eastAsia="en-CA"/>
        </w:rPr>
        <w:t xml:space="preserve"> Please refer to exhibits 1b and 2a.</w:t>
      </w:r>
    </w:p>
    <w:p w14:paraId="52466B35" w14:textId="77777777" w:rsidR="00F20C15" w:rsidRPr="001D66E0" w:rsidRDefault="00F20C15"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Sustainable Growth Rate</w:t>
      </w:r>
    </w:p>
    <w:p w14:paraId="6B597DB7" w14:textId="74E656EB" w:rsidR="00503CF6" w:rsidRPr="001D66E0" w:rsidRDefault="0031451F" w:rsidP="00F20C15">
      <w:pPr>
        <w:spacing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The sustainable growth rate (g) can be broken down into the three components of return on equity. Butler Lumber Company, in order to increase its sustainable growth rate, can either strengthen profit margins, operate more effectively by decreasing assets as percentage of sales, or employ more leverage.  Clearly, Butler Lumber Company’s actual growth rate is forcing the Company to depend on leverage. Management should enact a financial strategy that focuses on decreasing the </w:t>
      </w:r>
      <w:r w:rsidR="000F18A1" w:rsidRPr="001D66E0">
        <w:rPr>
          <w:rFonts w:ascii="Times New Roman" w:eastAsia="Times New Roman" w:hAnsi="Times New Roman" w:cs="Times New Roman"/>
          <w:sz w:val="23"/>
          <w:szCs w:val="23"/>
          <w:lang w:eastAsia="en-CA"/>
        </w:rPr>
        <w:t xml:space="preserve">percentage of assets to sales. </w:t>
      </w:r>
    </w:p>
    <w:p w14:paraId="506EBC87" w14:textId="6338D349" w:rsidR="00D0062F" w:rsidRPr="001D66E0" w:rsidRDefault="00D0062F" w:rsidP="00D0062F">
      <w:pPr>
        <w:spacing w:line="360" w:lineRule="auto"/>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Cash Collection Cycle Analysis</w:t>
      </w:r>
    </w:p>
    <w:tbl>
      <w:tblPr>
        <w:tblW w:w="8597" w:type="dxa"/>
        <w:tblInd w:w="108" w:type="dxa"/>
        <w:tblLook w:val="04A0" w:firstRow="1" w:lastRow="0" w:firstColumn="1" w:lastColumn="0" w:noHBand="0" w:noVBand="1"/>
      </w:tblPr>
      <w:tblGrid>
        <w:gridCol w:w="4139"/>
        <w:gridCol w:w="1088"/>
        <w:gridCol w:w="1088"/>
        <w:gridCol w:w="1088"/>
        <w:gridCol w:w="1194"/>
      </w:tblGrid>
      <w:tr w:rsidR="006A09B3" w:rsidRPr="001D66E0" w14:paraId="53976A63" w14:textId="77777777" w:rsidTr="006A09B3">
        <w:trPr>
          <w:trHeight w:val="280"/>
        </w:trPr>
        <w:tc>
          <w:tcPr>
            <w:tcW w:w="8597" w:type="dxa"/>
            <w:gridSpan w:val="5"/>
            <w:tcBorders>
              <w:top w:val="nil"/>
              <w:left w:val="nil"/>
              <w:bottom w:val="nil"/>
              <w:right w:val="nil"/>
            </w:tcBorders>
            <w:shd w:val="clear" w:color="000000" w:fill="D7F9FD"/>
            <w:noWrap/>
            <w:vAlign w:val="bottom"/>
            <w:hideMark/>
          </w:tcPr>
          <w:p w14:paraId="3873F554" w14:textId="77777777" w:rsidR="006A09B3" w:rsidRPr="001D66E0" w:rsidRDefault="006A09B3" w:rsidP="006A09B3">
            <w:pPr>
              <w:spacing w:after="0" w:line="240" w:lineRule="auto"/>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 xml:space="preserve">1) % of Sales Method with $3.6mm 1991 sales from guidance </w:t>
            </w:r>
          </w:p>
        </w:tc>
      </w:tr>
      <w:tr w:rsidR="006A09B3" w:rsidRPr="001D66E0" w14:paraId="13743BC5" w14:textId="77777777" w:rsidTr="006A09B3">
        <w:trPr>
          <w:trHeight w:val="280"/>
        </w:trPr>
        <w:tc>
          <w:tcPr>
            <w:tcW w:w="4139" w:type="dxa"/>
            <w:tcBorders>
              <w:top w:val="nil"/>
              <w:left w:val="nil"/>
              <w:bottom w:val="nil"/>
              <w:right w:val="nil"/>
            </w:tcBorders>
            <w:shd w:val="clear" w:color="000000" w:fill="E2EFDA"/>
            <w:noWrap/>
            <w:vAlign w:val="bottom"/>
            <w:hideMark/>
          </w:tcPr>
          <w:p w14:paraId="72D92DC1" w14:textId="77777777" w:rsidR="006A09B3" w:rsidRPr="001D66E0" w:rsidRDefault="006A09B3" w:rsidP="006A09B3">
            <w:pPr>
              <w:spacing w:after="0" w:line="240" w:lineRule="auto"/>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 </w:t>
            </w:r>
          </w:p>
        </w:tc>
        <w:tc>
          <w:tcPr>
            <w:tcW w:w="1088" w:type="dxa"/>
            <w:tcBorders>
              <w:top w:val="nil"/>
              <w:left w:val="nil"/>
              <w:bottom w:val="nil"/>
              <w:right w:val="nil"/>
            </w:tcBorders>
            <w:shd w:val="clear" w:color="000000" w:fill="E2EFDA"/>
            <w:noWrap/>
            <w:vAlign w:val="center"/>
            <w:hideMark/>
          </w:tcPr>
          <w:p w14:paraId="10BD447F" w14:textId="77777777" w:rsidR="006A09B3" w:rsidRPr="001D66E0" w:rsidRDefault="006A09B3" w:rsidP="006A09B3">
            <w:pPr>
              <w:spacing w:after="0" w:line="240" w:lineRule="auto"/>
              <w:jc w:val="center"/>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1988</w:t>
            </w:r>
          </w:p>
        </w:tc>
        <w:tc>
          <w:tcPr>
            <w:tcW w:w="1088" w:type="dxa"/>
            <w:tcBorders>
              <w:top w:val="nil"/>
              <w:left w:val="nil"/>
              <w:bottom w:val="nil"/>
              <w:right w:val="nil"/>
            </w:tcBorders>
            <w:shd w:val="clear" w:color="000000" w:fill="E2EFDA"/>
            <w:noWrap/>
            <w:vAlign w:val="center"/>
            <w:hideMark/>
          </w:tcPr>
          <w:p w14:paraId="47F96785" w14:textId="77777777" w:rsidR="006A09B3" w:rsidRPr="001D66E0" w:rsidRDefault="006A09B3" w:rsidP="006A09B3">
            <w:pPr>
              <w:spacing w:after="0" w:line="240" w:lineRule="auto"/>
              <w:jc w:val="center"/>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1989</w:t>
            </w:r>
          </w:p>
        </w:tc>
        <w:tc>
          <w:tcPr>
            <w:tcW w:w="1088" w:type="dxa"/>
            <w:tcBorders>
              <w:top w:val="nil"/>
              <w:left w:val="nil"/>
              <w:bottom w:val="nil"/>
              <w:right w:val="nil"/>
            </w:tcBorders>
            <w:shd w:val="clear" w:color="000000" w:fill="E2EFDA"/>
            <w:noWrap/>
            <w:vAlign w:val="center"/>
            <w:hideMark/>
          </w:tcPr>
          <w:p w14:paraId="460539AD" w14:textId="77777777" w:rsidR="006A09B3" w:rsidRPr="001D66E0" w:rsidRDefault="006A09B3" w:rsidP="006A09B3">
            <w:pPr>
              <w:spacing w:after="0" w:line="240" w:lineRule="auto"/>
              <w:jc w:val="center"/>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1990</w:t>
            </w:r>
          </w:p>
        </w:tc>
        <w:tc>
          <w:tcPr>
            <w:tcW w:w="1194" w:type="dxa"/>
            <w:tcBorders>
              <w:top w:val="nil"/>
              <w:left w:val="nil"/>
              <w:bottom w:val="nil"/>
              <w:right w:val="nil"/>
            </w:tcBorders>
            <w:shd w:val="clear" w:color="000000" w:fill="E2EFDA"/>
            <w:noWrap/>
            <w:vAlign w:val="center"/>
            <w:hideMark/>
          </w:tcPr>
          <w:p w14:paraId="51826BF3" w14:textId="77777777" w:rsidR="006A09B3" w:rsidRPr="001D66E0" w:rsidRDefault="006A09B3" w:rsidP="006A09B3">
            <w:pPr>
              <w:spacing w:after="0" w:line="240" w:lineRule="auto"/>
              <w:jc w:val="center"/>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1991E</w:t>
            </w:r>
          </w:p>
        </w:tc>
      </w:tr>
      <w:tr w:rsidR="006A09B3" w:rsidRPr="001D66E0" w14:paraId="498C6966" w14:textId="77777777" w:rsidTr="006A09B3">
        <w:trPr>
          <w:trHeight w:val="280"/>
        </w:trPr>
        <w:tc>
          <w:tcPr>
            <w:tcW w:w="4139" w:type="dxa"/>
            <w:tcBorders>
              <w:top w:val="nil"/>
              <w:left w:val="nil"/>
              <w:bottom w:val="nil"/>
              <w:right w:val="nil"/>
            </w:tcBorders>
            <w:shd w:val="clear" w:color="000000" w:fill="E7E6E6"/>
            <w:noWrap/>
            <w:vAlign w:val="bottom"/>
            <w:hideMark/>
          </w:tcPr>
          <w:p w14:paraId="6D25BD05" w14:textId="77777777" w:rsidR="006A09B3" w:rsidRPr="001D66E0" w:rsidRDefault="006A09B3" w:rsidP="006A09B3">
            <w:pPr>
              <w:spacing w:after="0" w:line="240" w:lineRule="auto"/>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Cash Collection Cycle</w:t>
            </w:r>
          </w:p>
        </w:tc>
        <w:tc>
          <w:tcPr>
            <w:tcW w:w="1088" w:type="dxa"/>
            <w:tcBorders>
              <w:top w:val="nil"/>
              <w:left w:val="nil"/>
              <w:bottom w:val="nil"/>
              <w:right w:val="nil"/>
            </w:tcBorders>
            <w:shd w:val="clear" w:color="auto" w:fill="auto"/>
            <w:noWrap/>
            <w:vAlign w:val="bottom"/>
            <w:hideMark/>
          </w:tcPr>
          <w:p w14:paraId="5BD15B75"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64.39</w:t>
            </w:r>
          </w:p>
        </w:tc>
        <w:tc>
          <w:tcPr>
            <w:tcW w:w="1088" w:type="dxa"/>
            <w:tcBorders>
              <w:top w:val="nil"/>
              <w:left w:val="nil"/>
              <w:bottom w:val="nil"/>
              <w:right w:val="nil"/>
            </w:tcBorders>
            <w:shd w:val="clear" w:color="auto" w:fill="auto"/>
            <w:noWrap/>
            <w:vAlign w:val="bottom"/>
            <w:hideMark/>
          </w:tcPr>
          <w:p w14:paraId="09AE6E0D"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69.54</w:t>
            </w:r>
          </w:p>
        </w:tc>
        <w:tc>
          <w:tcPr>
            <w:tcW w:w="1088" w:type="dxa"/>
            <w:tcBorders>
              <w:top w:val="nil"/>
              <w:left w:val="nil"/>
              <w:bottom w:val="nil"/>
              <w:right w:val="nil"/>
            </w:tcBorders>
            <w:shd w:val="clear" w:color="auto" w:fill="auto"/>
            <w:noWrap/>
            <w:vAlign w:val="bottom"/>
            <w:hideMark/>
          </w:tcPr>
          <w:p w14:paraId="03C09456"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66.11</w:t>
            </w:r>
          </w:p>
        </w:tc>
        <w:tc>
          <w:tcPr>
            <w:tcW w:w="1194" w:type="dxa"/>
            <w:tcBorders>
              <w:top w:val="nil"/>
              <w:left w:val="nil"/>
              <w:bottom w:val="nil"/>
              <w:right w:val="nil"/>
            </w:tcBorders>
            <w:shd w:val="clear" w:color="auto" w:fill="auto"/>
            <w:noWrap/>
            <w:vAlign w:val="bottom"/>
            <w:hideMark/>
          </w:tcPr>
          <w:p w14:paraId="0E074FC8"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50.30</w:t>
            </w:r>
          </w:p>
        </w:tc>
      </w:tr>
      <w:tr w:rsidR="006A09B3" w:rsidRPr="001D66E0" w14:paraId="5F540397" w14:textId="77777777" w:rsidTr="006A09B3">
        <w:trPr>
          <w:trHeight w:val="280"/>
        </w:trPr>
        <w:tc>
          <w:tcPr>
            <w:tcW w:w="8597" w:type="dxa"/>
            <w:gridSpan w:val="5"/>
            <w:tcBorders>
              <w:top w:val="nil"/>
              <w:left w:val="nil"/>
              <w:bottom w:val="nil"/>
              <w:right w:val="nil"/>
            </w:tcBorders>
            <w:shd w:val="clear" w:color="000000" w:fill="DDEBF7"/>
            <w:noWrap/>
            <w:vAlign w:val="bottom"/>
            <w:hideMark/>
          </w:tcPr>
          <w:p w14:paraId="2AB43B4F" w14:textId="77777777" w:rsidR="006A09B3" w:rsidRPr="001D66E0" w:rsidRDefault="006A09B3" w:rsidP="006A09B3">
            <w:pPr>
              <w:spacing w:after="0" w:line="240" w:lineRule="auto"/>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lastRenderedPageBreak/>
              <w:t>2) % Sales Method with average historical growth</w:t>
            </w:r>
          </w:p>
        </w:tc>
      </w:tr>
      <w:tr w:rsidR="006A09B3" w:rsidRPr="001D66E0" w14:paraId="5A20431C" w14:textId="77777777" w:rsidTr="006A09B3">
        <w:trPr>
          <w:trHeight w:val="280"/>
        </w:trPr>
        <w:tc>
          <w:tcPr>
            <w:tcW w:w="4139" w:type="dxa"/>
            <w:tcBorders>
              <w:top w:val="nil"/>
              <w:left w:val="nil"/>
              <w:bottom w:val="nil"/>
              <w:right w:val="nil"/>
            </w:tcBorders>
            <w:shd w:val="clear" w:color="000000" w:fill="EDEDED"/>
            <w:noWrap/>
            <w:vAlign w:val="bottom"/>
            <w:hideMark/>
          </w:tcPr>
          <w:p w14:paraId="351A930B" w14:textId="77777777" w:rsidR="006A09B3" w:rsidRPr="001D66E0" w:rsidRDefault="006A09B3" w:rsidP="006A09B3">
            <w:pPr>
              <w:spacing w:after="0" w:line="240" w:lineRule="auto"/>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Cash Collection Cycle</w:t>
            </w:r>
          </w:p>
        </w:tc>
        <w:tc>
          <w:tcPr>
            <w:tcW w:w="1088" w:type="dxa"/>
            <w:tcBorders>
              <w:top w:val="nil"/>
              <w:left w:val="nil"/>
              <w:bottom w:val="nil"/>
              <w:right w:val="nil"/>
            </w:tcBorders>
            <w:shd w:val="clear" w:color="auto" w:fill="auto"/>
            <w:noWrap/>
            <w:vAlign w:val="bottom"/>
            <w:hideMark/>
          </w:tcPr>
          <w:p w14:paraId="5787E902"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64.4</w:t>
            </w:r>
          </w:p>
        </w:tc>
        <w:tc>
          <w:tcPr>
            <w:tcW w:w="1088" w:type="dxa"/>
            <w:tcBorders>
              <w:top w:val="nil"/>
              <w:left w:val="nil"/>
              <w:bottom w:val="nil"/>
              <w:right w:val="nil"/>
            </w:tcBorders>
            <w:shd w:val="clear" w:color="auto" w:fill="auto"/>
            <w:noWrap/>
            <w:vAlign w:val="bottom"/>
            <w:hideMark/>
          </w:tcPr>
          <w:p w14:paraId="1402CDAB"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69.5</w:t>
            </w:r>
          </w:p>
        </w:tc>
        <w:tc>
          <w:tcPr>
            <w:tcW w:w="1088" w:type="dxa"/>
            <w:tcBorders>
              <w:top w:val="nil"/>
              <w:left w:val="nil"/>
              <w:bottom w:val="nil"/>
              <w:right w:val="nil"/>
            </w:tcBorders>
            <w:shd w:val="clear" w:color="auto" w:fill="auto"/>
            <w:noWrap/>
            <w:vAlign w:val="bottom"/>
            <w:hideMark/>
          </w:tcPr>
          <w:p w14:paraId="4A98C7BA"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66.1</w:t>
            </w:r>
          </w:p>
        </w:tc>
        <w:tc>
          <w:tcPr>
            <w:tcW w:w="1194" w:type="dxa"/>
            <w:tcBorders>
              <w:top w:val="nil"/>
              <w:left w:val="nil"/>
              <w:bottom w:val="nil"/>
              <w:right w:val="nil"/>
            </w:tcBorders>
            <w:shd w:val="clear" w:color="auto" w:fill="auto"/>
            <w:noWrap/>
            <w:vAlign w:val="bottom"/>
            <w:hideMark/>
          </w:tcPr>
          <w:p w14:paraId="623303A9" w14:textId="77777777" w:rsidR="006A09B3" w:rsidRPr="001D66E0" w:rsidRDefault="006A09B3" w:rsidP="006A09B3">
            <w:pPr>
              <w:spacing w:after="0" w:line="240" w:lineRule="auto"/>
              <w:jc w:val="right"/>
              <w:rPr>
                <w:rFonts w:ascii="Times New Roman" w:eastAsia="Times New Roman" w:hAnsi="Times New Roman" w:cs="Times New Roman"/>
                <w:b/>
                <w:bCs/>
                <w:color w:val="000000"/>
                <w:sz w:val="23"/>
                <w:szCs w:val="23"/>
                <w:lang w:val="en-US" w:bidi="ar-SA"/>
              </w:rPr>
            </w:pPr>
            <w:r w:rsidRPr="001D66E0">
              <w:rPr>
                <w:rFonts w:ascii="Times New Roman" w:eastAsia="Times New Roman" w:hAnsi="Times New Roman" w:cs="Times New Roman"/>
                <w:b/>
                <w:bCs/>
                <w:color w:val="000000"/>
                <w:sz w:val="23"/>
                <w:szCs w:val="23"/>
                <w:lang w:val="en-US" w:bidi="ar-SA"/>
              </w:rPr>
              <w:t>71.5</w:t>
            </w:r>
          </w:p>
        </w:tc>
      </w:tr>
    </w:tbl>
    <w:p w14:paraId="74080377" w14:textId="77777777" w:rsidR="006A09B3" w:rsidRPr="001D66E0" w:rsidRDefault="006A09B3" w:rsidP="00D0062F">
      <w:pPr>
        <w:spacing w:line="360" w:lineRule="auto"/>
        <w:rPr>
          <w:rFonts w:ascii="Times New Roman" w:eastAsia="Times New Roman" w:hAnsi="Times New Roman" w:cs="Times New Roman"/>
          <w:sz w:val="23"/>
          <w:szCs w:val="23"/>
          <w:lang w:eastAsia="en-CA"/>
        </w:rPr>
      </w:pPr>
    </w:p>
    <w:p w14:paraId="62546209" w14:textId="1042045B" w:rsidR="006A762B" w:rsidRPr="001D66E0" w:rsidRDefault="00D0062F" w:rsidP="00F20C15">
      <w:pPr>
        <w:spacing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Butler’s Cash Collection Cycle looks healthy despite a recent increase. Mark Butler will have to be careful if he decides to take on the Northrop loan and start benefitting from the discount by reducing days AP to within 10, as that will cause the cash collection cycle to increase </w:t>
      </w:r>
      <w:r w:rsidR="006A09B3" w:rsidRPr="001D66E0">
        <w:rPr>
          <w:rFonts w:ascii="Times New Roman" w:eastAsia="Times New Roman" w:hAnsi="Times New Roman" w:cs="Times New Roman"/>
          <w:sz w:val="23"/>
          <w:szCs w:val="23"/>
          <w:lang w:eastAsia="en-CA"/>
        </w:rPr>
        <w:t xml:space="preserve">close </w:t>
      </w:r>
      <w:r w:rsidRPr="001D66E0">
        <w:rPr>
          <w:rFonts w:ascii="Times New Roman" w:eastAsia="Times New Roman" w:hAnsi="Times New Roman" w:cs="Times New Roman"/>
          <w:sz w:val="23"/>
          <w:szCs w:val="23"/>
          <w:lang w:eastAsia="en-CA"/>
        </w:rPr>
        <w:t xml:space="preserve">to 90 </w:t>
      </w:r>
      <w:r w:rsidR="006A09B3" w:rsidRPr="001D66E0">
        <w:rPr>
          <w:rFonts w:ascii="Times New Roman" w:eastAsia="Times New Roman" w:hAnsi="Times New Roman" w:cs="Times New Roman"/>
          <w:sz w:val="23"/>
          <w:szCs w:val="23"/>
          <w:lang w:eastAsia="en-CA"/>
        </w:rPr>
        <w:t>days, which</w:t>
      </w:r>
      <w:r w:rsidRPr="001D66E0">
        <w:rPr>
          <w:rFonts w:ascii="Times New Roman" w:eastAsia="Times New Roman" w:hAnsi="Times New Roman" w:cs="Times New Roman"/>
          <w:sz w:val="23"/>
          <w:szCs w:val="23"/>
          <w:lang w:eastAsia="en-CA"/>
        </w:rPr>
        <w:t xml:space="preserve"> is also the duration of the revolver. In fact, with the numbers from 1990, decrease days AP to 10 will cause the cash collection cycle to shoot above 90 days. Going forward</w:t>
      </w:r>
      <w:r w:rsidR="006A09B3" w:rsidRPr="001D66E0">
        <w:rPr>
          <w:rFonts w:ascii="Times New Roman" w:eastAsia="Times New Roman" w:hAnsi="Times New Roman" w:cs="Times New Roman"/>
          <w:sz w:val="23"/>
          <w:szCs w:val="23"/>
          <w:lang w:eastAsia="en-CA"/>
        </w:rPr>
        <w:t>,</w:t>
      </w:r>
      <w:r w:rsidRPr="001D66E0">
        <w:rPr>
          <w:rFonts w:ascii="Times New Roman" w:eastAsia="Times New Roman" w:hAnsi="Times New Roman" w:cs="Times New Roman"/>
          <w:sz w:val="23"/>
          <w:szCs w:val="23"/>
          <w:lang w:eastAsia="en-CA"/>
        </w:rPr>
        <w:t xml:space="preserve"> as Butler continues to grow it might be hard pressed to both benefit from the discount rate and maintain the cash cycle below 90 days.</w:t>
      </w:r>
    </w:p>
    <w:p w14:paraId="61F8C9CD" w14:textId="77777777" w:rsidR="0023113C" w:rsidRPr="001D66E0" w:rsidRDefault="0023113C" w:rsidP="00F20C15">
      <w:pPr>
        <w:pStyle w:val="ListParagraph"/>
        <w:numPr>
          <w:ilvl w:val="0"/>
          <w:numId w:val="2"/>
        </w:numPr>
        <w:spacing w:after="0" w:line="360" w:lineRule="auto"/>
        <w:ind w:left="284" w:hanging="284"/>
        <w:jc w:val="both"/>
        <w:textAlignment w:val="baseline"/>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Liquidity Ratios</w:t>
      </w:r>
    </w:p>
    <w:p w14:paraId="2AF22E8C" w14:textId="7F1D1ECC" w:rsidR="00497093" w:rsidRDefault="0023113C" w:rsidP="001D66E0">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From 1988 to 1990, the company’s quick ratio declined from 0.88 to 0.67, and its current ratio decreased from 1.80 to 1.45. These values should signal a red flag because they are below the rule-of-thumb values of 1 and 2 respectively and they are consistently decreasing. The loan that Butler is considering is a 90-day revolving note, which means the debt will be included in the current liabilities section of the balance sheet. If the firm choses to take out this 90-day revolving loan, it will immediately impact short term liquidity ratios, which would further decrease the company’s current and quick ratios. </w:t>
      </w:r>
    </w:p>
    <w:p w14:paraId="1B3371B8" w14:textId="77777777" w:rsidR="001D66E0" w:rsidRPr="001D66E0" w:rsidRDefault="001D66E0" w:rsidP="001D66E0">
      <w:pPr>
        <w:spacing w:after="0" w:line="360" w:lineRule="auto"/>
        <w:jc w:val="both"/>
        <w:rPr>
          <w:rFonts w:ascii="Times New Roman" w:eastAsia="Times New Roman" w:hAnsi="Times New Roman" w:cs="Times New Roman"/>
          <w:sz w:val="23"/>
          <w:szCs w:val="23"/>
          <w:lang w:eastAsia="en-CA"/>
        </w:rPr>
      </w:pPr>
    </w:p>
    <w:p w14:paraId="038A4EC1" w14:textId="77777777" w:rsidR="0023113C" w:rsidRPr="001D66E0" w:rsidRDefault="0023113C" w:rsidP="00F20C15">
      <w:pPr>
        <w:numPr>
          <w:ilvl w:val="0"/>
          <w:numId w:val="1"/>
        </w:numPr>
        <w:tabs>
          <w:tab w:val="left" w:pos="284"/>
        </w:tabs>
        <w:spacing w:after="0" w:line="360" w:lineRule="auto"/>
        <w:jc w:val="both"/>
        <w:textAlignment w:val="baseline"/>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Financial Leverage</w:t>
      </w:r>
    </w:p>
    <w:p w14:paraId="250E4FCE" w14:textId="6C4D6545" w:rsidR="00F20C15" w:rsidRDefault="0023113C" w:rsidP="001D66E0">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Our analysis of Butler’s liquidity ratios (Exhibit 4) reveals that the company has relied on debt financing to drive its growth. From 1988 to 1990, the company’s debt-equity ratio grew from 1.2 to 1.68. The company’s debt-assets ratio grew from 0.55 to 0.63. Debt provides the firm with a tax shield, which is beneficial, however such a large increase in the debt-equity ratio in a short period of time will significantly increase the firms bankruptcy cost along with the cost of debt. The magnitude of the increase in debt may be a signal that the firm is unable to create cash to finance new projects, which will likely become a serious concern in the future. That being said, the firm has been able to generate positive financial leverage, the ROE has increased from 11.48% to 12.64% between 1988 and 1990. The TIE multiple also declined from 3.85x to 2.61x from 1988 to 1990. This represents a significant decline in the firm’s capability to pay off yearly interest expense.</w:t>
      </w:r>
      <w:r w:rsidR="001D66E0">
        <w:rPr>
          <w:rFonts w:ascii="Times New Roman" w:eastAsia="Times New Roman" w:hAnsi="Times New Roman" w:cs="Times New Roman"/>
          <w:sz w:val="23"/>
          <w:szCs w:val="23"/>
          <w:lang w:eastAsia="en-CA"/>
        </w:rPr>
        <w:t xml:space="preserve"> Please refer to exhibit 5a.</w:t>
      </w:r>
    </w:p>
    <w:p w14:paraId="6FD227CA" w14:textId="77777777" w:rsidR="001D66E0" w:rsidRPr="001D66E0" w:rsidRDefault="001D66E0" w:rsidP="001D66E0">
      <w:pPr>
        <w:spacing w:after="0" w:line="360" w:lineRule="auto"/>
        <w:jc w:val="both"/>
        <w:rPr>
          <w:rFonts w:ascii="Times New Roman" w:eastAsia="Times New Roman" w:hAnsi="Times New Roman" w:cs="Times New Roman"/>
          <w:sz w:val="23"/>
          <w:szCs w:val="23"/>
          <w:lang w:eastAsia="en-CA"/>
        </w:rPr>
      </w:pPr>
    </w:p>
    <w:p w14:paraId="19F44F23" w14:textId="77777777" w:rsidR="0023113C" w:rsidRPr="001D66E0" w:rsidRDefault="0023113C" w:rsidP="00F20C15">
      <w:pPr>
        <w:spacing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lastRenderedPageBreak/>
        <w:t>3. Negotiating Favourable Terms for the Loan</w:t>
      </w:r>
    </w:p>
    <w:p w14:paraId="4C8CAF9B" w14:textId="77777777" w:rsidR="0023113C" w:rsidRPr="001D66E0" w:rsidRDefault="0023113C" w:rsidP="00F20C15">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Since the loan has not yet been signed, the owners still have the opportunity to negotiate favourable terms for the loan. Some covenants may avoid the disadvantages noted earlier in the report and they include the following. </w:t>
      </w:r>
    </w:p>
    <w:p w14:paraId="4C39A87F" w14:textId="77777777" w:rsidR="0023113C" w:rsidRPr="001D66E0" w:rsidRDefault="0023113C" w:rsidP="00F20C15">
      <w:pPr>
        <w:pStyle w:val="ListParagraph"/>
        <w:numPr>
          <w:ilvl w:val="0"/>
          <w:numId w:val="3"/>
        </w:numPr>
        <w:spacing w:after="0" w:line="360" w:lineRule="auto"/>
        <w:jc w:val="both"/>
        <w:textAlignment w:val="baseline"/>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Negotiate for an unsecured loan. This would enable the firm to lever up in the future with a secured loan, yielding a lower interest rate.</w:t>
      </w:r>
    </w:p>
    <w:p w14:paraId="5B01EC26" w14:textId="77777777" w:rsidR="0023113C" w:rsidRPr="001D66E0" w:rsidRDefault="0023113C" w:rsidP="00F20C15">
      <w:pPr>
        <w:pStyle w:val="ListParagraph"/>
        <w:numPr>
          <w:ilvl w:val="0"/>
          <w:numId w:val="3"/>
        </w:numPr>
        <w:spacing w:after="0" w:line="360" w:lineRule="auto"/>
        <w:jc w:val="both"/>
        <w:textAlignment w:val="baseline"/>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Request a new interest rate at slightly above the prime rate, which is currently at 2%, because the firm has proved to be somewhat credit worthy.</w:t>
      </w:r>
    </w:p>
    <w:p w14:paraId="2592D2FE" w14:textId="2F8EB2D3" w:rsidR="0023113C" w:rsidRPr="001D66E0" w:rsidRDefault="0023113C" w:rsidP="00F20C15">
      <w:pPr>
        <w:pStyle w:val="ListParagraph"/>
        <w:numPr>
          <w:ilvl w:val="0"/>
          <w:numId w:val="3"/>
        </w:numPr>
        <w:spacing w:after="0" w:line="360" w:lineRule="auto"/>
        <w:jc w:val="both"/>
        <w:textAlignment w:val="baseline"/>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Request a relaxation on the current covenants. One in specific limited the investments in fixed assets. If the firm is interested in growing in the near future, they will need to make investments and this covenant may hold them back. </w:t>
      </w:r>
    </w:p>
    <w:p w14:paraId="61876190" w14:textId="77777777" w:rsidR="00497093" w:rsidRPr="001D66E0" w:rsidRDefault="00497093" w:rsidP="00F20C15">
      <w:pPr>
        <w:pStyle w:val="ListParagraph"/>
        <w:spacing w:after="0" w:line="360" w:lineRule="auto"/>
        <w:ind w:left="227"/>
        <w:jc w:val="both"/>
        <w:textAlignment w:val="baseline"/>
        <w:rPr>
          <w:rFonts w:ascii="Times New Roman" w:eastAsia="Times New Roman" w:hAnsi="Times New Roman" w:cs="Times New Roman"/>
          <w:b/>
          <w:sz w:val="23"/>
          <w:szCs w:val="23"/>
          <w:lang w:eastAsia="en-CA"/>
        </w:rPr>
      </w:pPr>
    </w:p>
    <w:p w14:paraId="0CB53384" w14:textId="77777777" w:rsidR="0023113C" w:rsidRPr="001D66E0" w:rsidRDefault="0023113C" w:rsidP="00F20C15">
      <w:pPr>
        <w:pStyle w:val="ListParagraph"/>
        <w:numPr>
          <w:ilvl w:val="0"/>
          <w:numId w:val="4"/>
        </w:numPr>
        <w:spacing w:after="0" w:line="360" w:lineRule="auto"/>
        <w:jc w:val="both"/>
        <w:textAlignment w:val="baseline"/>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 xml:space="preserve"> Accounts Receivable Collection </w:t>
      </w:r>
    </w:p>
    <w:p w14:paraId="18039185" w14:textId="15AC1A9C" w:rsidR="0023113C" w:rsidRPr="001D66E0" w:rsidRDefault="0023113C" w:rsidP="00F20C15">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Another point to indicate is the company’s Accounts Receivables collection (Exhibit </w:t>
      </w:r>
      <w:r w:rsidR="00C665C9" w:rsidRPr="001D66E0">
        <w:rPr>
          <w:rFonts w:ascii="Times New Roman" w:eastAsia="Times New Roman" w:hAnsi="Times New Roman" w:cs="Times New Roman"/>
          <w:sz w:val="23"/>
          <w:szCs w:val="23"/>
          <w:lang w:eastAsia="en-CA"/>
        </w:rPr>
        <w:t>5a</w:t>
      </w:r>
      <w:r w:rsidRPr="001D66E0">
        <w:rPr>
          <w:rFonts w:ascii="Times New Roman" w:eastAsia="Times New Roman" w:hAnsi="Times New Roman" w:cs="Times New Roman"/>
          <w:sz w:val="23"/>
          <w:szCs w:val="23"/>
          <w:lang w:eastAsia="en-CA"/>
        </w:rPr>
        <w:t xml:space="preserve">). The company’s days in A/R decreased from 36.78 days in 1988, to 36.51 days in 1990. This change is an indication that the company is not having issues collecting on its A/R because of the fact that revenues increased by approximately 60% in the same time period. The net operating cycle has also decreased from 72.75 days to 66.11 days </w:t>
      </w:r>
      <w:proofErr w:type="gramStart"/>
      <w:r w:rsidRPr="001D66E0">
        <w:rPr>
          <w:rFonts w:ascii="Times New Roman" w:eastAsia="Times New Roman" w:hAnsi="Times New Roman" w:cs="Times New Roman"/>
          <w:sz w:val="23"/>
          <w:szCs w:val="23"/>
          <w:lang w:eastAsia="en-CA"/>
        </w:rPr>
        <w:t>between 1988-1990, displaying the firms increased capabilities to turn an initial investment into cash</w:t>
      </w:r>
      <w:proofErr w:type="gramEnd"/>
      <w:r w:rsidRPr="001D66E0">
        <w:rPr>
          <w:rFonts w:ascii="Times New Roman" w:eastAsia="Times New Roman" w:hAnsi="Times New Roman" w:cs="Times New Roman"/>
          <w:sz w:val="23"/>
          <w:szCs w:val="23"/>
          <w:lang w:eastAsia="en-CA"/>
        </w:rPr>
        <w:t xml:space="preserve">. </w:t>
      </w:r>
      <w:r w:rsidR="00497093" w:rsidRPr="001D66E0">
        <w:rPr>
          <w:rFonts w:ascii="Times New Roman" w:eastAsia="Times New Roman" w:hAnsi="Times New Roman" w:cs="Times New Roman"/>
          <w:sz w:val="23"/>
          <w:szCs w:val="23"/>
          <w:lang w:eastAsia="en-CA"/>
        </w:rPr>
        <w:t xml:space="preserve"> Please refer to exhibits 4a, 4b, and 5a.</w:t>
      </w:r>
    </w:p>
    <w:p w14:paraId="0685857A" w14:textId="77777777" w:rsidR="00497093" w:rsidRPr="001D66E0" w:rsidRDefault="00497093" w:rsidP="00F20C15">
      <w:pPr>
        <w:spacing w:after="0" w:line="360" w:lineRule="auto"/>
        <w:jc w:val="both"/>
        <w:rPr>
          <w:rFonts w:ascii="Times New Roman" w:eastAsia="Times New Roman" w:hAnsi="Times New Roman" w:cs="Times New Roman"/>
          <w:sz w:val="23"/>
          <w:szCs w:val="23"/>
          <w:lang w:eastAsia="en-CA"/>
        </w:rPr>
      </w:pPr>
    </w:p>
    <w:p w14:paraId="5BF2668B" w14:textId="77777777" w:rsidR="0023113C" w:rsidRPr="001D66E0" w:rsidRDefault="0023113C" w:rsidP="00F20C15">
      <w:pPr>
        <w:pStyle w:val="ListParagraph"/>
        <w:numPr>
          <w:ilvl w:val="0"/>
          <w:numId w:val="4"/>
        </w:numPr>
        <w:tabs>
          <w:tab w:val="left" w:pos="426"/>
        </w:tabs>
        <w:spacing w:after="0" w:line="360" w:lineRule="auto"/>
        <w:ind w:left="284" w:hanging="284"/>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Provide Collateral</w:t>
      </w:r>
    </w:p>
    <w:p w14:paraId="7D54CA6B" w14:textId="77B18B9E" w:rsidR="0023113C" w:rsidRPr="001D66E0" w:rsidRDefault="0023113C" w:rsidP="00F20C15">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As noted earlier, the </w:t>
      </w:r>
      <w:r w:rsidR="00A762F2" w:rsidRPr="001D66E0">
        <w:rPr>
          <w:rFonts w:ascii="Times New Roman" w:eastAsia="Times New Roman" w:hAnsi="Times New Roman" w:cs="Times New Roman"/>
          <w:sz w:val="23"/>
          <w:szCs w:val="23"/>
          <w:lang w:eastAsia="en-CA"/>
        </w:rPr>
        <w:t>discussions between Northrop Bank and the firm have</w:t>
      </w:r>
      <w:r w:rsidRPr="001D66E0">
        <w:rPr>
          <w:rFonts w:ascii="Times New Roman" w:eastAsia="Times New Roman" w:hAnsi="Times New Roman" w:cs="Times New Roman"/>
          <w:sz w:val="23"/>
          <w:szCs w:val="23"/>
          <w:lang w:eastAsia="en-CA"/>
        </w:rPr>
        <w:t xml:space="preserve"> been</w:t>
      </w:r>
      <w:r w:rsidR="006B323F" w:rsidRPr="001D66E0">
        <w:rPr>
          <w:rFonts w:ascii="Times New Roman" w:eastAsia="Times New Roman" w:hAnsi="Times New Roman" w:cs="Times New Roman"/>
          <w:sz w:val="23"/>
          <w:szCs w:val="23"/>
          <w:lang w:eastAsia="en-CA"/>
        </w:rPr>
        <w:t xml:space="preserve"> about a secured loan. This may be an</w:t>
      </w:r>
      <w:r w:rsidRPr="001D66E0">
        <w:rPr>
          <w:rFonts w:ascii="Times New Roman" w:eastAsia="Times New Roman" w:hAnsi="Times New Roman" w:cs="Times New Roman"/>
          <w:sz w:val="23"/>
          <w:szCs w:val="23"/>
          <w:lang w:eastAsia="en-CA"/>
        </w:rPr>
        <w:t xml:space="preserve"> issue because Butler Lumber’s only fixed asset is the property, which </w:t>
      </w:r>
      <w:r w:rsidR="006B323F" w:rsidRPr="001D66E0">
        <w:rPr>
          <w:rFonts w:ascii="Times New Roman" w:eastAsia="Times New Roman" w:hAnsi="Times New Roman" w:cs="Times New Roman"/>
          <w:sz w:val="23"/>
          <w:szCs w:val="23"/>
          <w:lang w:eastAsia="en-CA"/>
        </w:rPr>
        <w:t xml:space="preserve">is not enough </w:t>
      </w:r>
      <w:r w:rsidRPr="001D66E0">
        <w:rPr>
          <w:rFonts w:ascii="Times New Roman" w:eastAsia="Times New Roman" w:hAnsi="Times New Roman" w:cs="Times New Roman"/>
          <w:sz w:val="23"/>
          <w:szCs w:val="23"/>
          <w:lang w:eastAsia="en-CA"/>
        </w:rPr>
        <w:t>collatera</w:t>
      </w:r>
      <w:r w:rsidR="00D55335" w:rsidRPr="001D66E0">
        <w:rPr>
          <w:rFonts w:ascii="Times New Roman" w:eastAsia="Times New Roman" w:hAnsi="Times New Roman" w:cs="Times New Roman"/>
          <w:sz w:val="23"/>
          <w:szCs w:val="23"/>
          <w:lang w:eastAsia="en-CA"/>
        </w:rPr>
        <w:t>l for a $465,000 loan. Butler Lumber</w:t>
      </w:r>
      <w:r w:rsidRPr="001D66E0">
        <w:rPr>
          <w:rFonts w:ascii="Times New Roman" w:eastAsia="Times New Roman" w:hAnsi="Times New Roman" w:cs="Times New Roman"/>
          <w:sz w:val="23"/>
          <w:szCs w:val="23"/>
          <w:lang w:eastAsia="en-CA"/>
        </w:rPr>
        <w:t xml:space="preserve"> does have </w:t>
      </w:r>
      <w:r w:rsidR="00C83530" w:rsidRPr="001D66E0">
        <w:rPr>
          <w:rFonts w:ascii="Times New Roman" w:eastAsia="Times New Roman" w:hAnsi="Times New Roman" w:cs="Times New Roman"/>
          <w:sz w:val="23"/>
          <w:szCs w:val="23"/>
          <w:lang w:eastAsia="en-CA"/>
        </w:rPr>
        <w:t>a significant amount of</w:t>
      </w:r>
      <w:r w:rsidRPr="001D66E0">
        <w:rPr>
          <w:rFonts w:ascii="Times New Roman" w:eastAsia="Times New Roman" w:hAnsi="Times New Roman" w:cs="Times New Roman"/>
          <w:sz w:val="23"/>
          <w:szCs w:val="23"/>
          <w:lang w:eastAsia="en-CA"/>
        </w:rPr>
        <w:t xml:space="preserve"> inventory and accounts receivable. In 1990, its current assets amounted to $776,000</w:t>
      </w:r>
      <w:r w:rsidR="00C83530" w:rsidRPr="001D66E0">
        <w:rPr>
          <w:rFonts w:ascii="Times New Roman" w:eastAsia="Times New Roman" w:hAnsi="Times New Roman" w:cs="Times New Roman"/>
          <w:sz w:val="23"/>
          <w:szCs w:val="23"/>
          <w:lang w:eastAsia="en-CA"/>
        </w:rPr>
        <w:t>, which</w:t>
      </w:r>
      <w:r w:rsidRPr="001D66E0">
        <w:rPr>
          <w:rFonts w:ascii="Times New Roman" w:eastAsia="Times New Roman" w:hAnsi="Times New Roman" w:cs="Times New Roman"/>
          <w:sz w:val="23"/>
          <w:szCs w:val="23"/>
          <w:lang w:eastAsia="en-CA"/>
        </w:rPr>
        <w:t xml:space="preserve"> is enou</w:t>
      </w:r>
      <w:r w:rsidR="00C83530" w:rsidRPr="001D66E0">
        <w:rPr>
          <w:rFonts w:ascii="Times New Roman" w:eastAsia="Times New Roman" w:hAnsi="Times New Roman" w:cs="Times New Roman"/>
          <w:sz w:val="23"/>
          <w:szCs w:val="23"/>
          <w:lang w:eastAsia="en-CA"/>
        </w:rPr>
        <w:t xml:space="preserve">gh to secure the loan. </w:t>
      </w:r>
      <w:r w:rsidRPr="001D66E0">
        <w:rPr>
          <w:rFonts w:ascii="Times New Roman" w:eastAsia="Times New Roman" w:hAnsi="Times New Roman" w:cs="Times New Roman"/>
          <w:sz w:val="23"/>
          <w:szCs w:val="23"/>
          <w:lang w:eastAsia="en-CA"/>
        </w:rPr>
        <w:t xml:space="preserve">Butler Lumber may have to rely on accounts receivable financing or </w:t>
      </w:r>
      <w:r w:rsidR="0098044E" w:rsidRPr="001D66E0">
        <w:rPr>
          <w:rFonts w:ascii="Times New Roman" w:eastAsia="Times New Roman" w:hAnsi="Times New Roman" w:cs="Times New Roman"/>
          <w:sz w:val="23"/>
          <w:szCs w:val="23"/>
          <w:lang w:eastAsia="en-CA"/>
        </w:rPr>
        <w:t>use its</w:t>
      </w:r>
      <w:r w:rsidRPr="001D66E0">
        <w:rPr>
          <w:rFonts w:ascii="Times New Roman" w:eastAsia="Times New Roman" w:hAnsi="Times New Roman" w:cs="Times New Roman"/>
          <w:sz w:val="23"/>
          <w:szCs w:val="23"/>
          <w:lang w:eastAsia="en-CA"/>
        </w:rPr>
        <w:t xml:space="preserve"> inventory as collateral for the loan. </w:t>
      </w:r>
    </w:p>
    <w:p w14:paraId="4FADE043" w14:textId="77777777" w:rsidR="006A09B3" w:rsidRPr="001D66E0" w:rsidRDefault="006A09B3" w:rsidP="00F20C15">
      <w:pPr>
        <w:spacing w:after="0" w:line="360" w:lineRule="auto"/>
        <w:jc w:val="both"/>
        <w:rPr>
          <w:rFonts w:ascii="Times New Roman" w:eastAsia="Times New Roman" w:hAnsi="Times New Roman" w:cs="Times New Roman"/>
          <w:sz w:val="23"/>
          <w:szCs w:val="23"/>
          <w:lang w:eastAsia="en-CA"/>
        </w:rPr>
      </w:pPr>
    </w:p>
    <w:p w14:paraId="5C8155EF" w14:textId="542C49F9" w:rsidR="006A09B3" w:rsidRPr="001D66E0" w:rsidRDefault="00473001" w:rsidP="00F20C15">
      <w:pPr>
        <w:spacing w:after="0" w:line="360" w:lineRule="auto"/>
        <w:jc w:val="both"/>
        <w:rPr>
          <w:rFonts w:ascii="Times New Roman" w:eastAsia="Times New Roman" w:hAnsi="Times New Roman" w:cs="Times New Roman"/>
          <w:b/>
          <w:sz w:val="23"/>
          <w:szCs w:val="23"/>
          <w:lang w:eastAsia="en-CA"/>
        </w:rPr>
      </w:pPr>
      <w:r w:rsidRPr="001D66E0">
        <w:rPr>
          <w:rFonts w:ascii="Times New Roman" w:eastAsia="Times New Roman" w:hAnsi="Times New Roman" w:cs="Times New Roman"/>
          <w:b/>
          <w:sz w:val="23"/>
          <w:szCs w:val="23"/>
          <w:lang w:eastAsia="en-CA"/>
        </w:rPr>
        <w:t>Conclusion</w:t>
      </w:r>
    </w:p>
    <w:p w14:paraId="1C8F8D2E" w14:textId="77777777" w:rsidR="001D66E0" w:rsidRDefault="00473001" w:rsidP="001D66E0">
      <w:pPr>
        <w:spacing w:after="0" w:line="360" w:lineRule="auto"/>
        <w:jc w:val="both"/>
        <w:rPr>
          <w:rFonts w:ascii="Times New Roman" w:eastAsia="Times New Roman" w:hAnsi="Times New Roman" w:cs="Times New Roman"/>
          <w:sz w:val="23"/>
          <w:szCs w:val="23"/>
          <w:lang w:eastAsia="en-CA"/>
        </w:rPr>
      </w:pPr>
      <w:r w:rsidRPr="001D66E0">
        <w:rPr>
          <w:rFonts w:ascii="Times New Roman" w:eastAsia="Times New Roman" w:hAnsi="Times New Roman" w:cs="Times New Roman"/>
          <w:sz w:val="23"/>
          <w:szCs w:val="23"/>
          <w:lang w:eastAsia="en-CA"/>
        </w:rPr>
        <w:t xml:space="preserve">In summary, we recommend the Butler Lumber Company to pursue </w:t>
      </w:r>
      <w:r w:rsidRPr="001D66E0">
        <w:rPr>
          <w:rFonts w:ascii="Times New Roman" w:eastAsia="Times New Roman" w:hAnsi="Times New Roman" w:cs="Times New Roman"/>
          <w:color w:val="000000"/>
          <w:sz w:val="23"/>
          <w:szCs w:val="23"/>
          <w:lang w:eastAsia="en-CA"/>
        </w:rPr>
        <w:t>the $465,000 revolving note from Northrop Bank for future financing needs.</w:t>
      </w:r>
    </w:p>
    <w:p w14:paraId="5A8DCA9F" w14:textId="4A27ED36" w:rsidR="006A762B" w:rsidRPr="001D66E0" w:rsidRDefault="006A09B3" w:rsidP="001D66E0">
      <w:pPr>
        <w:spacing w:after="0" w:line="360" w:lineRule="auto"/>
        <w:jc w:val="both"/>
        <w:rPr>
          <w:rFonts w:ascii="Times New Roman" w:eastAsia="Times New Roman" w:hAnsi="Times New Roman" w:cs="Times New Roman"/>
          <w:sz w:val="23"/>
          <w:szCs w:val="23"/>
          <w:lang w:eastAsia="en-CA"/>
        </w:rPr>
      </w:pPr>
      <w:r w:rsidRPr="006A09B3">
        <w:rPr>
          <w:rFonts w:asciiTheme="majorBidi" w:eastAsia="Times New Roman" w:hAnsiTheme="majorBidi" w:cstheme="majorBidi"/>
          <w:b/>
          <w:sz w:val="24"/>
          <w:szCs w:val="24"/>
          <w:lang w:eastAsia="en-CA"/>
        </w:rPr>
        <w:lastRenderedPageBreak/>
        <w:t>Appendix:</w:t>
      </w:r>
    </w:p>
    <w:p w14:paraId="6E139E9F" w14:textId="683B516A" w:rsidR="00473001" w:rsidRPr="00473001" w:rsidRDefault="00C665C9" w:rsidP="006A09B3">
      <w:pPr>
        <w:spacing w:after="0" w:line="360" w:lineRule="auto"/>
        <w:rPr>
          <w:rFonts w:asciiTheme="majorBidi" w:eastAsia="Times New Roman" w:hAnsiTheme="majorBidi" w:cstheme="majorBidi"/>
          <w:sz w:val="24"/>
          <w:szCs w:val="24"/>
          <w:lang w:eastAsia="en-CA"/>
        </w:rPr>
      </w:pPr>
      <w:r>
        <w:rPr>
          <w:noProof/>
          <w:lang w:eastAsia="en-CA" w:bidi="ar-SA"/>
        </w:rPr>
        <w:drawing>
          <wp:anchor distT="0" distB="0" distL="114300" distR="114300" simplePos="0" relativeHeight="251565568" behindDoc="0" locked="0" layoutInCell="1" allowOverlap="1" wp14:anchorId="105D12DB" wp14:editId="4B223DD4">
            <wp:simplePos x="0" y="0"/>
            <wp:positionH relativeFrom="column">
              <wp:posOffset>220980</wp:posOffset>
            </wp:positionH>
            <wp:positionV relativeFrom="paragraph">
              <wp:posOffset>13335</wp:posOffset>
            </wp:positionV>
            <wp:extent cx="5490210" cy="31718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90210" cy="3171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3001">
        <w:rPr>
          <w:rFonts w:asciiTheme="majorBidi" w:eastAsia="Times New Roman" w:hAnsiTheme="majorBidi" w:cstheme="majorBidi"/>
          <w:sz w:val="24"/>
          <w:szCs w:val="24"/>
          <w:lang w:eastAsia="en-CA"/>
        </w:rPr>
        <w:t>1a)</w:t>
      </w:r>
    </w:p>
    <w:p w14:paraId="0CA32CE7" w14:textId="3F564F80" w:rsidR="00DE28A6" w:rsidRDefault="00DE28A6"/>
    <w:p w14:paraId="37ACE49A" w14:textId="1E9D6EFD" w:rsidR="00473001" w:rsidRDefault="00473001"/>
    <w:p w14:paraId="58958F65" w14:textId="6D9CCEF1" w:rsidR="00C665C9" w:rsidRDefault="00C665C9"/>
    <w:p w14:paraId="7CAAEF27" w14:textId="20F4A838" w:rsidR="00C665C9" w:rsidRDefault="00C665C9"/>
    <w:p w14:paraId="44A5A6BA" w14:textId="554A2FB2" w:rsidR="00C665C9" w:rsidRDefault="00C665C9"/>
    <w:p w14:paraId="21F9F547" w14:textId="6E19549A" w:rsidR="00C665C9" w:rsidRDefault="00C665C9"/>
    <w:p w14:paraId="0D43781E" w14:textId="50ECDE74" w:rsidR="00C665C9" w:rsidRDefault="00C665C9"/>
    <w:p w14:paraId="7063C9C6" w14:textId="160F85AE" w:rsidR="00C665C9" w:rsidRDefault="00C665C9"/>
    <w:p w14:paraId="3F409795" w14:textId="33EA4680" w:rsidR="00C665C9" w:rsidRDefault="00C665C9"/>
    <w:p w14:paraId="25E285B6" w14:textId="3AA6D987" w:rsidR="00C665C9" w:rsidRDefault="00C665C9"/>
    <w:p w14:paraId="7E305CB9" w14:textId="07E8A475" w:rsidR="00C665C9" w:rsidRDefault="00C665C9"/>
    <w:p w14:paraId="6EC96FC1" w14:textId="38CF5A4B" w:rsidR="00C665C9" w:rsidRDefault="00C665C9">
      <w:r w:rsidRPr="00C665C9">
        <w:rPr>
          <w:noProof/>
          <w:lang w:eastAsia="en-CA" w:bidi="ar-SA"/>
        </w:rPr>
        <w:drawing>
          <wp:anchor distT="0" distB="0" distL="114300" distR="114300" simplePos="0" relativeHeight="251609600" behindDoc="0" locked="0" layoutInCell="1" allowOverlap="1" wp14:anchorId="17D676FD" wp14:editId="2997563A">
            <wp:simplePos x="0" y="0"/>
            <wp:positionH relativeFrom="column">
              <wp:posOffset>240030</wp:posOffset>
            </wp:positionH>
            <wp:positionV relativeFrom="paragraph">
              <wp:posOffset>12700</wp:posOffset>
            </wp:positionV>
            <wp:extent cx="5438775" cy="51816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775" cy="5181600"/>
                    </a:xfrm>
                    <a:prstGeom prst="rect">
                      <a:avLst/>
                    </a:prstGeom>
                    <a:noFill/>
                    <a:ln>
                      <a:noFill/>
                    </a:ln>
                  </pic:spPr>
                </pic:pic>
              </a:graphicData>
            </a:graphic>
            <wp14:sizeRelH relativeFrom="page">
              <wp14:pctWidth>0</wp14:pctWidth>
            </wp14:sizeRelH>
            <wp14:sizeRelV relativeFrom="page">
              <wp14:pctHeight>0</wp14:pctHeight>
            </wp14:sizeRelV>
          </wp:anchor>
        </w:drawing>
      </w:r>
      <w:r>
        <w:t>1b)</w:t>
      </w:r>
    </w:p>
    <w:p w14:paraId="1DB35155" w14:textId="6008D958" w:rsidR="00DF79E9" w:rsidRDefault="00C665C9">
      <w:pPr>
        <w:rPr>
          <w:noProof/>
          <w:lang w:eastAsia="en-CA" w:bidi="ar-SA"/>
        </w:rPr>
      </w:pPr>
      <w:r>
        <w:rPr>
          <w:noProof/>
          <w:lang w:eastAsia="en-CA" w:bidi="ar-SA"/>
        </w:rPr>
        <w:drawing>
          <wp:anchor distT="0" distB="0" distL="114300" distR="114300" simplePos="0" relativeHeight="251674112" behindDoc="0" locked="0" layoutInCell="1" allowOverlap="1" wp14:anchorId="04435231" wp14:editId="28B3CAA3">
            <wp:simplePos x="0" y="0"/>
            <wp:positionH relativeFrom="column">
              <wp:posOffset>-255270</wp:posOffset>
            </wp:positionH>
            <wp:positionV relativeFrom="paragraph">
              <wp:posOffset>5495925</wp:posOffset>
            </wp:positionV>
            <wp:extent cx="5490210" cy="36023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0210" cy="3602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B28BF1" w14:textId="499A2020" w:rsidR="00326A83" w:rsidRDefault="00326A83">
      <w:pPr>
        <w:rPr>
          <w:noProof/>
          <w:lang w:eastAsia="en-CA" w:bidi="ar-SA"/>
        </w:rPr>
      </w:pPr>
    </w:p>
    <w:p w14:paraId="03F0C451" w14:textId="6DF136BF" w:rsidR="00C665C9" w:rsidRDefault="00C665C9">
      <w:pPr>
        <w:rPr>
          <w:noProof/>
          <w:lang w:eastAsia="en-CA" w:bidi="ar-SA"/>
        </w:rPr>
      </w:pPr>
    </w:p>
    <w:p w14:paraId="78BE1D1D" w14:textId="1CF5EC59" w:rsidR="00C665C9" w:rsidRDefault="00C665C9">
      <w:pPr>
        <w:rPr>
          <w:noProof/>
          <w:lang w:eastAsia="en-CA" w:bidi="ar-SA"/>
        </w:rPr>
      </w:pPr>
    </w:p>
    <w:p w14:paraId="306FD899" w14:textId="7D48EF98" w:rsidR="00C665C9" w:rsidRDefault="00C665C9">
      <w:pPr>
        <w:rPr>
          <w:noProof/>
          <w:lang w:eastAsia="en-CA" w:bidi="ar-SA"/>
        </w:rPr>
      </w:pPr>
    </w:p>
    <w:p w14:paraId="4DD5312F" w14:textId="4DBA6168" w:rsidR="00C665C9" w:rsidRDefault="00C665C9">
      <w:pPr>
        <w:rPr>
          <w:noProof/>
          <w:lang w:eastAsia="en-CA" w:bidi="ar-SA"/>
        </w:rPr>
      </w:pPr>
    </w:p>
    <w:p w14:paraId="06CCBC7B" w14:textId="4C149E4C" w:rsidR="00C665C9" w:rsidRDefault="00C665C9">
      <w:pPr>
        <w:rPr>
          <w:noProof/>
          <w:lang w:eastAsia="en-CA" w:bidi="ar-SA"/>
        </w:rPr>
      </w:pPr>
    </w:p>
    <w:p w14:paraId="77677D71" w14:textId="3CF995B2" w:rsidR="00C665C9" w:rsidRDefault="00C665C9">
      <w:pPr>
        <w:rPr>
          <w:noProof/>
          <w:lang w:eastAsia="en-CA" w:bidi="ar-SA"/>
        </w:rPr>
      </w:pPr>
    </w:p>
    <w:p w14:paraId="5844522F" w14:textId="1D61AFF3" w:rsidR="00C665C9" w:rsidRDefault="00C665C9">
      <w:pPr>
        <w:rPr>
          <w:noProof/>
          <w:lang w:eastAsia="en-CA" w:bidi="ar-SA"/>
        </w:rPr>
      </w:pPr>
    </w:p>
    <w:p w14:paraId="5011B1E9" w14:textId="4F75D356" w:rsidR="00C665C9" w:rsidRDefault="00C665C9">
      <w:pPr>
        <w:rPr>
          <w:noProof/>
          <w:lang w:eastAsia="en-CA" w:bidi="ar-SA"/>
        </w:rPr>
      </w:pPr>
    </w:p>
    <w:p w14:paraId="51E31381" w14:textId="3C9BF49F" w:rsidR="00C665C9" w:rsidRDefault="00C665C9">
      <w:pPr>
        <w:rPr>
          <w:noProof/>
          <w:lang w:eastAsia="en-CA" w:bidi="ar-SA"/>
        </w:rPr>
      </w:pPr>
    </w:p>
    <w:p w14:paraId="0F70303B" w14:textId="0EB86853" w:rsidR="00C665C9" w:rsidRDefault="00C665C9">
      <w:pPr>
        <w:rPr>
          <w:noProof/>
          <w:lang w:eastAsia="en-CA" w:bidi="ar-SA"/>
        </w:rPr>
      </w:pPr>
    </w:p>
    <w:p w14:paraId="6C5B4972" w14:textId="77777777" w:rsidR="00C665C9" w:rsidRDefault="00C665C9">
      <w:pPr>
        <w:rPr>
          <w:noProof/>
          <w:lang w:eastAsia="en-CA" w:bidi="ar-SA"/>
        </w:rPr>
      </w:pPr>
    </w:p>
    <w:p w14:paraId="6B251DE2" w14:textId="77777777" w:rsidR="00497093" w:rsidRDefault="00497093">
      <w:pPr>
        <w:rPr>
          <w:noProof/>
          <w:lang w:eastAsia="en-CA" w:bidi="ar-SA"/>
        </w:rPr>
      </w:pPr>
    </w:p>
    <w:p w14:paraId="09D0C187" w14:textId="051D82A5" w:rsidR="00C665C9" w:rsidRDefault="00C665C9">
      <w:pPr>
        <w:rPr>
          <w:noProof/>
          <w:lang w:eastAsia="en-CA" w:bidi="ar-SA"/>
        </w:rPr>
      </w:pPr>
      <w:r>
        <w:rPr>
          <w:noProof/>
          <w:lang w:eastAsia="en-CA" w:bidi="ar-SA"/>
        </w:rPr>
        <w:drawing>
          <wp:anchor distT="0" distB="0" distL="114300" distR="114300" simplePos="0" relativeHeight="251708928" behindDoc="0" locked="0" layoutInCell="1" allowOverlap="1" wp14:anchorId="225DFD85" wp14:editId="0C1E7FB4">
            <wp:simplePos x="0" y="0"/>
            <wp:positionH relativeFrom="column">
              <wp:posOffset>344805</wp:posOffset>
            </wp:positionH>
            <wp:positionV relativeFrom="paragraph">
              <wp:posOffset>0</wp:posOffset>
            </wp:positionV>
            <wp:extent cx="5276850" cy="4857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r="9959"/>
                    <a:stretch/>
                  </pic:blipFill>
                  <pic:spPr bwMode="auto">
                    <a:xfrm>
                      <a:off x="0" y="0"/>
                      <a:ext cx="5276850" cy="4857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CA" w:bidi="ar-SA"/>
        </w:rPr>
        <w:t>2a)</w:t>
      </w:r>
    </w:p>
    <w:p w14:paraId="289D1D81" w14:textId="09A39AB8" w:rsidR="00C665C9" w:rsidRDefault="00C665C9">
      <w:pPr>
        <w:rPr>
          <w:noProof/>
          <w:lang w:eastAsia="en-CA" w:bidi="ar-SA"/>
        </w:rPr>
      </w:pPr>
    </w:p>
    <w:p w14:paraId="2E819FF4" w14:textId="65D360EF" w:rsidR="00C665C9" w:rsidRDefault="00C665C9">
      <w:pPr>
        <w:rPr>
          <w:noProof/>
          <w:lang w:eastAsia="en-CA" w:bidi="ar-SA"/>
        </w:rPr>
      </w:pPr>
    </w:p>
    <w:p w14:paraId="3DE20F0F" w14:textId="3DD5AA54" w:rsidR="00C665C9" w:rsidRDefault="00C665C9">
      <w:pPr>
        <w:rPr>
          <w:noProof/>
          <w:lang w:eastAsia="en-CA" w:bidi="ar-SA"/>
        </w:rPr>
      </w:pPr>
    </w:p>
    <w:p w14:paraId="24688DDD" w14:textId="177BDD21" w:rsidR="00C665C9" w:rsidRDefault="00C665C9">
      <w:pPr>
        <w:rPr>
          <w:noProof/>
          <w:lang w:eastAsia="en-CA" w:bidi="ar-SA"/>
        </w:rPr>
      </w:pPr>
    </w:p>
    <w:p w14:paraId="5A1721D6" w14:textId="322E50C5" w:rsidR="00C665C9" w:rsidRDefault="00C665C9">
      <w:pPr>
        <w:rPr>
          <w:noProof/>
          <w:lang w:eastAsia="en-CA" w:bidi="ar-SA"/>
        </w:rPr>
      </w:pPr>
    </w:p>
    <w:p w14:paraId="447A04AE" w14:textId="5B0E5130" w:rsidR="00C665C9" w:rsidRDefault="00C665C9">
      <w:pPr>
        <w:rPr>
          <w:noProof/>
          <w:lang w:eastAsia="en-CA" w:bidi="ar-SA"/>
        </w:rPr>
      </w:pPr>
    </w:p>
    <w:p w14:paraId="18125D4E" w14:textId="4C14FC95" w:rsidR="00C665C9" w:rsidRDefault="00C665C9">
      <w:pPr>
        <w:rPr>
          <w:noProof/>
          <w:lang w:eastAsia="en-CA" w:bidi="ar-SA"/>
        </w:rPr>
      </w:pPr>
    </w:p>
    <w:p w14:paraId="139247DD" w14:textId="458F4247" w:rsidR="00C665C9" w:rsidRDefault="00C665C9">
      <w:pPr>
        <w:rPr>
          <w:noProof/>
          <w:lang w:eastAsia="en-CA" w:bidi="ar-SA"/>
        </w:rPr>
      </w:pPr>
    </w:p>
    <w:p w14:paraId="6DDBAA8C" w14:textId="39A56B4D" w:rsidR="00C665C9" w:rsidRDefault="00C665C9">
      <w:pPr>
        <w:rPr>
          <w:noProof/>
          <w:lang w:eastAsia="en-CA" w:bidi="ar-SA"/>
        </w:rPr>
      </w:pPr>
    </w:p>
    <w:p w14:paraId="1F2A9EB8" w14:textId="3EF4EDD7" w:rsidR="00C665C9" w:rsidRDefault="00C665C9">
      <w:pPr>
        <w:rPr>
          <w:noProof/>
          <w:lang w:eastAsia="en-CA" w:bidi="ar-SA"/>
        </w:rPr>
      </w:pPr>
    </w:p>
    <w:p w14:paraId="4117B503" w14:textId="40ADD105" w:rsidR="00C665C9" w:rsidRDefault="00C665C9">
      <w:pPr>
        <w:rPr>
          <w:noProof/>
          <w:lang w:eastAsia="en-CA" w:bidi="ar-SA"/>
        </w:rPr>
      </w:pPr>
    </w:p>
    <w:p w14:paraId="45880876" w14:textId="73DCA475" w:rsidR="00C665C9" w:rsidRDefault="00C665C9">
      <w:pPr>
        <w:rPr>
          <w:noProof/>
          <w:lang w:eastAsia="en-CA" w:bidi="ar-SA"/>
        </w:rPr>
      </w:pPr>
    </w:p>
    <w:p w14:paraId="0EB95E94" w14:textId="72A95977" w:rsidR="00C665C9" w:rsidRDefault="00C665C9">
      <w:pPr>
        <w:rPr>
          <w:noProof/>
          <w:lang w:eastAsia="en-CA" w:bidi="ar-SA"/>
        </w:rPr>
      </w:pPr>
    </w:p>
    <w:p w14:paraId="786E00B8" w14:textId="77777777" w:rsidR="00C665C9" w:rsidRDefault="00C665C9">
      <w:pPr>
        <w:rPr>
          <w:noProof/>
          <w:lang w:eastAsia="en-CA" w:bidi="ar-SA"/>
        </w:rPr>
      </w:pPr>
    </w:p>
    <w:p w14:paraId="2F1E9273" w14:textId="4261C2B7" w:rsidR="00C665C9" w:rsidRDefault="00C665C9">
      <w:pPr>
        <w:rPr>
          <w:noProof/>
          <w:lang w:eastAsia="en-CA" w:bidi="ar-SA"/>
        </w:rPr>
      </w:pPr>
    </w:p>
    <w:p w14:paraId="5F45EED5" w14:textId="02BA3FC5" w:rsidR="00C665C9" w:rsidRDefault="00C665C9">
      <w:pPr>
        <w:rPr>
          <w:noProof/>
          <w:lang w:eastAsia="en-CA" w:bidi="ar-SA"/>
        </w:rPr>
      </w:pPr>
    </w:p>
    <w:p w14:paraId="750E469F" w14:textId="50B81FCF" w:rsidR="00C665C9" w:rsidRDefault="00C665C9">
      <w:pPr>
        <w:rPr>
          <w:noProof/>
          <w:lang w:eastAsia="en-CA" w:bidi="ar-SA"/>
        </w:rPr>
      </w:pPr>
      <w:r>
        <w:rPr>
          <w:noProof/>
          <w:lang w:eastAsia="en-CA" w:bidi="ar-SA"/>
        </w:rPr>
        <w:drawing>
          <wp:anchor distT="0" distB="0" distL="114300" distR="114300" simplePos="0" relativeHeight="251662848" behindDoc="0" locked="0" layoutInCell="1" allowOverlap="1" wp14:anchorId="5A500301" wp14:editId="009CE769">
            <wp:simplePos x="0" y="0"/>
            <wp:positionH relativeFrom="column">
              <wp:posOffset>373380</wp:posOffset>
            </wp:positionH>
            <wp:positionV relativeFrom="paragraph">
              <wp:posOffset>163830</wp:posOffset>
            </wp:positionV>
            <wp:extent cx="5286375" cy="36576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375"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B84556" w14:textId="1E6667A9" w:rsidR="00C665C9" w:rsidRDefault="00C665C9">
      <w:pPr>
        <w:rPr>
          <w:noProof/>
          <w:lang w:eastAsia="en-CA" w:bidi="ar-SA"/>
        </w:rPr>
      </w:pPr>
      <w:r>
        <w:rPr>
          <w:noProof/>
          <w:lang w:eastAsia="en-CA" w:bidi="ar-SA"/>
        </w:rPr>
        <w:t>2b)</w:t>
      </w:r>
    </w:p>
    <w:p w14:paraId="1B48CC96" w14:textId="7AA61813" w:rsidR="00C665C9" w:rsidRDefault="00C665C9">
      <w:pPr>
        <w:rPr>
          <w:noProof/>
          <w:lang w:eastAsia="en-CA" w:bidi="ar-SA"/>
        </w:rPr>
      </w:pPr>
    </w:p>
    <w:p w14:paraId="52DD4FE3" w14:textId="7BE3F82B" w:rsidR="00C665C9" w:rsidRDefault="00C665C9">
      <w:pPr>
        <w:rPr>
          <w:noProof/>
          <w:lang w:eastAsia="en-CA" w:bidi="ar-SA"/>
        </w:rPr>
      </w:pPr>
    </w:p>
    <w:p w14:paraId="0F4E968D" w14:textId="2AE8D871" w:rsidR="00C665C9" w:rsidRDefault="00C665C9">
      <w:pPr>
        <w:rPr>
          <w:noProof/>
          <w:lang w:eastAsia="en-CA" w:bidi="ar-SA"/>
        </w:rPr>
      </w:pPr>
    </w:p>
    <w:p w14:paraId="54F265F4" w14:textId="4954203C" w:rsidR="00C665C9" w:rsidRDefault="00C665C9">
      <w:pPr>
        <w:rPr>
          <w:noProof/>
          <w:lang w:eastAsia="en-CA" w:bidi="ar-SA"/>
        </w:rPr>
      </w:pPr>
    </w:p>
    <w:p w14:paraId="723E2D76" w14:textId="018445ED" w:rsidR="00C665C9" w:rsidRDefault="00C665C9">
      <w:pPr>
        <w:rPr>
          <w:noProof/>
          <w:lang w:eastAsia="en-CA" w:bidi="ar-SA"/>
        </w:rPr>
      </w:pPr>
    </w:p>
    <w:p w14:paraId="2A4DF775" w14:textId="77777777" w:rsidR="00C665C9" w:rsidRDefault="00C665C9">
      <w:pPr>
        <w:rPr>
          <w:noProof/>
          <w:lang w:eastAsia="en-CA" w:bidi="ar-SA"/>
        </w:rPr>
      </w:pPr>
    </w:p>
    <w:p w14:paraId="6BB3C8A4" w14:textId="77777777" w:rsidR="00497093" w:rsidRDefault="00497093">
      <w:pPr>
        <w:rPr>
          <w:noProof/>
          <w:lang w:eastAsia="en-CA" w:bidi="ar-SA"/>
        </w:rPr>
      </w:pPr>
    </w:p>
    <w:p w14:paraId="0C1B13D5" w14:textId="77777777" w:rsidR="00C665C9" w:rsidRDefault="00C665C9">
      <w:pPr>
        <w:rPr>
          <w:noProof/>
          <w:lang w:eastAsia="en-CA" w:bidi="ar-SA"/>
        </w:rPr>
      </w:pPr>
    </w:p>
    <w:p w14:paraId="05D47B12" w14:textId="3152C333" w:rsidR="00C665C9" w:rsidRDefault="00C665C9">
      <w:pPr>
        <w:rPr>
          <w:noProof/>
          <w:lang w:eastAsia="en-CA" w:bidi="ar-SA"/>
        </w:rPr>
      </w:pPr>
      <w:r>
        <w:rPr>
          <w:noProof/>
          <w:lang w:eastAsia="en-CA" w:bidi="ar-SA"/>
        </w:rPr>
        <w:drawing>
          <wp:anchor distT="0" distB="0" distL="114300" distR="114300" simplePos="0" relativeHeight="251746816" behindDoc="0" locked="0" layoutInCell="1" allowOverlap="1" wp14:anchorId="252DB04A" wp14:editId="3D3C8822">
            <wp:simplePos x="0" y="0"/>
            <wp:positionH relativeFrom="column">
              <wp:posOffset>363855</wp:posOffset>
            </wp:positionH>
            <wp:positionV relativeFrom="paragraph">
              <wp:posOffset>9525</wp:posOffset>
            </wp:positionV>
            <wp:extent cx="5490210" cy="36429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0210" cy="3642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CA" w:bidi="ar-SA"/>
        </w:rPr>
        <w:t>3a)</w:t>
      </w:r>
    </w:p>
    <w:p w14:paraId="438206DA" w14:textId="77777777" w:rsidR="00C665C9" w:rsidRDefault="00C665C9">
      <w:pPr>
        <w:rPr>
          <w:noProof/>
          <w:lang w:eastAsia="en-CA" w:bidi="ar-SA"/>
        </w:rPr>
      </w:pPr>
    </w:p>
    <w:p w14:paraId="6E4DC491" w14:textId="77777777" w:rsidR="00C665C9" w:rsidRDefault="00C665C9">
      <w:pPr>
        <w:rPr>
          <w:noProof/>
          <w:lang w:eastAsia="en-CA" w:bidi="ar-SA"/>
        </w:rPr>
      </w:pPr>
    </w:p>
    <w:p w14:paraId="387AD3AE" w14:textId="77777777" w:rsidR="00C665C9" w:rsidRDefault="00C665C9">
      <w:pPr>
        <w:rPr>
          <w:noProof/>
          <w:lang w:eastAsia="en-CA" w:bidi="ar-SA"/>
        </w:rPr>
      </w:pPr>
    </w:p>
    <w:p w14:paraId="5B178E5B" w14:textId="77777777" w:rsidR="00C665C9" w:rsidRDefault="00C665C9">
      <w:pPr>
        <w:rPr>
          <w:noProof/>
          <w:lang w:eastAsia="en-CA" w:bidi="ar-SA"/>
        </w:rPr>
      </w:pPr>
    </w:p>
    <w:p w14:paraId="31BD1239" w14:textId="77777777" w:rsidR="00C665C9" w:rsidRDefault="00C665C9">
      <w:pPr>
        <w:rPr>
          <w:noProof/>
          <w:lang w:eastAsia="en-CA" w:bidi="ar-SA"/>
        </w:rPr>
      </w:pPr>
    </w:p>
    <w:p w14:paraId="3D70F464" w14:textId="77777777" w:rsidR="00C665C9" w:rsidRDefault="00C665C9">
      <w:pPr>
        <w:rPr>
          <w:noProof/>
          <w:lang w:eastAsia="en-CA" w:bidi="ar-SA"/>
        </w:rPr>
      </w:pPr>
    </w:p>
    <w:p w14:paraId="315C7872" w14:textId="77777777" w:rsidR="00C665C9" w:rsidRDefault="00C665C9">
      <w:pPr>
        <w:rPr>
          <w:noProof/>
          <w:lang w:eastAsia="en-CA" w:bidi="ar-SA"/>
        </w:rPr>
      </w:pPr>
    </w:p>
    <w:p w14:paraId="43857844" w14:textId="77777777" w:rsidR="00C665C9" w:rsidRDefault="00C665C9">
      <w:pPr>
        <w:rPr>
          <w:noProof/>
          <w:lang w:eastAsia="en-CA" w:bidi="ar-SA"/>
        </w:rPr>
      </w:pPr>
    </w:p>
    <w:p w14:paraId="552C8DB8" w14:textId="7BA793B4" w:rsidR="00DF79E9" w:rsidRDefault="00DF79E9"/>
    <w:p w14:paraId="28AF7D82" w14:textId="77777777" w:rsidR="00326A83" w:rsidRDefault="00326A83"/>
    <w:p w14:paraId="7F1DDFE4" w14:textId="77777777" w:rsidR="00C665C9" w:rsidRDefault="00C665C9">
      <w:pPr>
        <w:rPr>
          <w:noProof/>
          <w:lang w:val="en-US" w:bidi="ar-SA"/>
        </w:rPr>
      </w:pPr>
    </w:p>
    <w:p w14:paraId="70D5CEDF" w14:textId="77777777" w:rsidR="00C665C9" w:rsidRDefault="00C665C9">
      <w:pPr>
        <w:rPr>
          <w:noProof/>
          <w:lang w:val="en-US" w:bidi="ar-SA"/>
        </w:rPr>
      </w:pPr>
    </w:p>
    <w:p w14:paraId="7810F45E" w14:textId="3A4D4CF2" w:rsidR="00C665C9" w:rsidRDefault="00C665C9">
      <w:pPr>
        <w:rPr>
          <w:noProof/>
          <w:lang w:val="en-US" w:bidi="ar-SA"/>
        </w:rPr>
      </w:pPr>
      <w:r>
        <w:rPr>
          <w:noProof/>
          <w:lang w:eastAsia="en-CA" w:bidi="ar-SA"/>
        </w:rPr>
        <w:drawing>
          <wp:anchor distT="0" distB="0" distL="114300" distR="114300" simplePos="0" relativeHeight="251753984" behindDoc="1" locked="0" layoutInCell="1" allowOverlap="1" wp14:anchorId="378DCD04" wp14:editId="65E34F4C">
            <wp:simplePos x="0" y="0"/>
            <wp:positionH relativeFrom="column">
              <wp:posOffset>430530</wp:posOffset>
            </wp:positionH>
            <wp:positionV relativeFrom="paragraph">
              <wp:posOffset>182245</wp:posOffset>
            </wp:positionV>
            <wp:extent cx="5400675" cy="2228850"/>
            <wp:effectExtent l="0" t="0" r="9525" b="0"/>
            <wp:wrapTight wrapText="bothSides">
              <wp:wrapPolygon edited="0">
                <wp:start x="0" y="0"/>
                <wp:lineTo x="0" y="21415"/>
                <wp:lineTo x="21562" y="21415"/>
                <wp:lineTo x="2156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222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6F4C5" w14:textId="250D942C" w:rsidR="00326A83" w:rsidRDefault="00C665C9">
      <w:r>
        <w:t>3b)</w:t>
      </w:r>
    </w:p>
    <w:p w14:paraId="47A75E89" w14:textId="6DCDD610" w:rsidR="00C665C9" w:rsidRDefault="00C665C9"/>
    <w:p w14:paraId="571F006A" w14:textId="1E1EDACE" w:rsidR="00C665C9" w:rsidRDefault="00C665C9"/>
    <w:p w14:paraId="5B5FC2B7" w14:textId="0A9FA59A" w:rsidR="00C665C9" w:rsidRDefault="00C665C9"/>
    <w:p w14:paraId="03BDC904" w14:textId="313BA1D5" w:rsidR="00C665C9" w:rsidRDefault="00C665C9"/>
    <w:p w14:paraId="22D54C76" w14:textId="103E3AA5" w:rsidR="00C665C9" w:rsidRDefault="00C665C9"/>
    <w:p w14:paraId="6BE31292" w14:textId="422E143C" w:rsidR="00C665C9" w:rsidRDefault="00C665C9"/>
    <w:p w14:paraId="014C64BA" w14:textId="38A07B0A" w:rsidR="00C665C9" w:rsidRDefault="00C665C9"/>
    <w:p w14:paraId="6AC0E672" w14:textId="7667C6C6" w:rsidR="00C665C9" w:rsidRDefault="00C665C9">
      <w:r>
        <w:rPr>
          <w:noProof/>
          <w:lang w:eastAsia="en-CA" w:bidi="ar-SA"/>
        </w:rPr>
        <w:drawing>
          <wp:anchor distT="0" distB="0" distL="114300" distR="114300" simplePos="0" relativeHeight="251776512" behindDoc="1" locked="0" layoutInCell="1" allowOverlap="1" wp14:anchorId="77C436E2" wp14:editId="2B805C75">
            <wp:simplePos x="0" y="0"/>
            <wp:positionH relativeFrom="column">
              <wp:posOffset>459105</wp:posOffset>
            </wp:positionH>
            <wp:positionV relativeFrom="paragraph">
              <wp:posOffset>10795</wp:posOffset>
            </wp:positionV>
            <wp:extent cx="5353050" cy="2276475"/>
            <wp:effectExtent l="0" t="0" r="0" b="9525"/>
            <wp:wrapTight wrapText="bothSides">
              <wp:wrapPolygon edited="0">
                <wp:start x="0" y="0"/>
                <wp:lineTo x="0" y="21510"/>
                <wp:lineTo x="21523" y="21510"/>
                <wp:lineTo x="2152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305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t>3c)</w:t>
      </w:r>
    </w:p>
    <w:p w14:paraId="05558A12" w14:textId="472FBDD5" w:rsidR="00C665C9" w:rsidRDefault="00C665C9"/>
    <w:p w14:paraId="3D9E8DA3" w14:textId="0BD9B94C" w:rsidR="00C665C9" w:rsidRDefault="00C665C9"/>
    <w:p w14:paraId="0B1A0EA4" w14:textId="5CB9CB28" w:rsidR="00C665C9" w:rsidRDefault="00C665C9"/>
    <w:p w14:paraId="2375726F" w14:textId="77777777" w:rsidR="00497093" w:rsidRDefault="00497093"/>
    <w:p w14:paraId="5CC689F5" w14:textId="064184B5" w:rsidR="00C665C9" w:rsidRDefault="00C665C9">
      <w:r>
        <w:t>4a)</w:t>
      </w:r>
    </w:p>
    <w:p w14:paraId="5744C59A" w14:textId="67224B60" w:rsidR="00326A83" w:rsidRDefault="00326A83">
      <w:r>
        <w:rPr>
          <w:noProof/>
          <w:lang w:eastAsia="en-CA" w:bidi="ar-SA"/>
        </w:rPr>
        <w:lastRenderedPageBreak/>
        <w:drawing>
          <wp:inline distT="0" distB="0" distL="0" distR="0" wp14:anchorId="55310B63" wp14:editId="060ACB34">
            <wp:extent cx="5135880" cy="37033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35880" cy="3703320"/>
                    </a:xfrm>
                    <a:prstGeom prst="rect">
                      <a:avLst/>
                    </a:prstGeom>
                    <a:noFill/>
                    <a:ln>
                      <a:noFill/>
                    </a:ln>
                  </pic:spPr>
                </pic:pic>
              </a:graphicData>
            </a:graphic>
          </wp:inline>
        </w:drawing>
      </w:r>
    </w:p>
    <w:p w14:paraId="048F1A1F" w14:textId="00E9CE6A" w:rsidR="00497093" w:rsidRDefault="00497093">
      <w:r>
        <w:t>4b)</w:t>
      </w:r>
    </w:p>
    <w:p w14:paraId="036F3D1D" w14:textId="24A05FFF" w:rsidR="00C665C9" w:rsidRDefault="00326A83">
      <w:r>
        <w:rPr>
          <w:noProof/>
          <w:lang w:eastAsia="en-CA" w:bidi="ar-SA"/>
        </w:rPr>
        <w:drawing>
          <wp:inline distT="0" distB="0" distL="0" distR="0" wp14:anchorId="73B6ACAE" wp14:editId="05A5DAC3">
            <wp:extent cx="5135880" cy="370332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5880" cy="3703320"/>
                    </a:xfrm>
                    <a:prstGeom prst="rect">
                      <a:avLst/>
                    </a:prstGeom>
                    <a:noFill/>
                    <a:ln>
                      <a:noFill/>
                    </a:ln>
                  </pic:spPr>
                </pic:pic>
              </a:graphicData>
            </a:graphic>
          </wp:inline>
        </w:drawing>
      </w:r>
    </w:p>
    <w:p w14:paraId="5D882593" w14:textId="4B166067" w:rsidR="00C665C9" w:rsidRDefault="00C665C9">
      <w:r>
        <w:t>5a)</w:t>
      </w:r>
    </w:p>
    <w:p w14:paraId="70D5B50A" w14:textId="518F221D" w:rsidR="0023113C" w:rsidRDefault="0023113C">
      <w:r>
        <w:rPr>
          <w:noProof/>
          <w:lang w:eastAsia="en-CA" w:bidi="ar-SA"/>
        </w:rPr>
        <w:lastRenderedPageBreak/>
        <w:drawing>
          <wp:inline distT="0" distB="0" distL="0" distR="0" wp14:anchorId="7B1C9882" wp14:editId="1313BB99">
            <wp:extent cx="4155440" cy="4399280"/>
            <wp:effectExtent l="0" t="0" r="1016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5440" cy="4399280"/>
                    </a:xfrm>
                    <a:prstGeom prst="rect">
                      <a:avLst/>
                    </a:prstGeom>
                    <a:noFill/>
                    <a:ln>
                      <a:noFill/>
                    </a:ln>
                  </pic:spPr>
                </pic:pic>
              </a:graphicData>
            </a:graphic>
          </wp:inline>
        </w:drawing>
      </w:r>
    </w:p>
    <w:sectPr w:rsidR="0023113C" w:rsidSect="008911B0">
      <w:pgSz w:w="12240" w:h="15840"/>
      <w:pgMar w:top="1440" w:right="1797" w:bottom="1440" w:left="179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2A03CC"/>
    <w:multiLevelType w:val="hybridMultilevel"/>
    <w:tmpl w:val="D45C49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B15244"/>
    <w:multiLevelType w:val="hybridMultilevel"/>
    <w:tmpl w:val="AF04B308"/>
    <w:lvl w:ilvl="0" w:tplc="EFD08BBC">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A7D5C89"/>
    <w:multiLevelType w:val="hybridMultilevel"/>
    <w:tmpl w:val="60AE5C2C"/>
    <w:lvl w:ilvl="0" w:tplc="745EA7AA">
      <w:start w:val="4"/>
      <w:numFmt w:val="decimal"/>
      <w:lvlText w:val="%1."/>
      <w:lvlJc w:val="left"/>
      <w:pPr>
        <w:ind w:left="227" w:hanging="227"/>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C52AF"/>
    <w:multiLevelType w:val="multilevel"/>
    <w:tmpl w:val="35882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7208FD"/>
    <w:multiLevelType w:val="hybridMultilevel"/>
    <w:tmpl w:val="21840F26"/>
    <w:lvl w:ilvl="0" w:tplc="9F28531E">
      <w:start w:val="1"/>
      <w:numFmt w:val="bullet"/>
      <w:lvlText w:val=""/>
      <w:lvlJc w:val="left"/>
      <w:pPr>
        <w:tabs>
          <w:tab w:val="num" w:pos="720"/>
        </w:tabs>
        <w:ind w:left="720" w:hanging="360"/>
      </w:pPr>
      <w:rPr>
        <w:rFonts w:ascii="Wingdings 2" w:hAnsi="Wingdings 2" w:hint="default"/>
      </w:rPr>
    </w:lvl>
    <w:lvl w:ilvl="1" w:tplc="16484CA0" w:tentative="1">
      <w:start w:val="1"/>
      <w:numFmt w:val="bullet"/>
      <w:lvlText w:val=""/>
      <w:lvlJc w:val="left"/>
      <w:pPr>
        <w:tabs>
          <w:tab w:val="num" w:pos="1440"/>
        </w:tabs>
        <w:ind w:left="1440" w:hanging="360"/>
      </w:pPr>
      <w:rPr>
        <w:rFonts w:ascii="Wingdings 2" w:hAnsi="Wingdings 2" w:hint="default"/>
      </w:rPr>
    </w:lvl>
    <w:lvl w:ilvl="2" w:tplc="265ACD9C" w:tentative="1">
      <w:start w:val="1"/>
      <w:numFmt w:val="bullet"/>
      <w:lvlText w:val=""/>
      <w:lvlJc w:val="left"/>
      <w:pPr>
        <w:tabs>
          <w:tab w:val="num" w:pos="2160"/>
        </w:tabs>
        <w:ind w:left="2160" w:hanging="360"/>
      </w:pPr>
      <w:rPr>
        <w:rFonts w:ascii="Wingdings 2" w:hAnsi="Wingdings 2" w:hint="default"/>
      </w:rPr>
    </w:lvl>
    <w:lvl w:ilvl="3" w:tplc="9A147EDE" w:tentative="1">
      <w:start w:val="1"/>
      <w:numFmt w:val="bullet"/>
      <w:lvlText w:val=""/>
      <w:lvlJc w:val="left"/>
      <w:pPr>
        <w:tabs>
          <w:tab w:val="num" w:pos="2880"/>
        </w:tabs>
        <w:ind w:left="2880" w:hanging="360"/>
      </w:pPr>
      <w:rPr>
        <w:rFonts w:ascii="Wingdings 2" w:hAnsi="Wingdings 2" w:hint="default"/>
      </w:rPr>
    </w:lvl>
    <w:lvl w:ilvl="4" w:tplc="9516EB70" w:tentative="1">
      <w:start w:val="1"/>
      <w:numFmt w:val="bullet"/>
      <w:lvlText w:val=""/>
      <w:lvlJc w:val="left"/>
      <w:pPr>
        <w:tabs>
          <w:tab w:val="num" w:pos="3600"/>
        </w:tabs>
        <w:ind w:left="3600" w:hanging="360"/>
      </w:pPr>
      <w:rPr>
        <w:rFonts w:ascii="Wingdings 2" w:hAnsi="Wingdings 2" w:hint="default"/>
      </w:rPr>
    </w:lvl>
    <w:lvl w:ilvl="5" w:tplc="C69284CC" w:tentative="1">
      <w:start w:val="1"/>
      <w:numFmt w:val="bullet"/>
      <w:lvlText w:val=""/>
      <w:lvlJc w:val="left"/>
      <w:pPr>
        <w:tabs>
          <w:tab w:val="num" w:pos="4320"/>
        </w:tabs>
        <w:ind w:left="4320" w:hanging="360"/>
      </w:pPr>
      <w:rPr>
        <w:rFonts w:ascii="Wingdings 2" w:hAnsi="Wingdings 2" w:hint="default"/>
      </w:rPr>
    </w:lvl>
    <w:lvl w:ilvl="6" w:tplc="047ED68A" w:tentative="1">
      <w:start w:val="1"/>
      <w:numFmt w:val="bullet"/>
      <w:lvlText w:val=""/>
      <w:lvlJc w:val="left"/>
      <w:pPr>
        <w:tabs>
          <w:tab w:val="num" w:pos="5040"/>
        </w:tabs>
        <w:ind w:left="5040" w:hanging="360"/>
      </w:pPr>
      <w:rPr>
        <w:rFonts w:ascii="Wingdings 2" w:hAnsi="Wingdings 2" w:hint="default"/>
      </w:rPr>
    </w:lvl>
    <w:lvl w:ilvl="7" w:tplc="0D9A1EB0" w:tentative="1">
      <w:start w:val="1"/>
      <w:numFmt w:val="bullet"/>
      <w:lvlText w:val=""/>
      <w:lvlJc w:val="left"/>
      <w:pPr>
        <w:tabs>
          <w:tab w:val="num" w:pos="5760"/>
        </w:tabs>
        <w:ind w:left="5760" w:hanging="360"/>
      </w:pPr>
      <w:rPr>
        <w:rFonts w:ascii="Wingdings 2" w:hAnsi="Wingdings 2" w:hint="default"/>
      </w:rPr>
    </w:lvl>
    <w:lvl w:ilvl="8" w:tplc="BD700D12" w:tentative="1">
      <w:start w:val="1"/>
      <w:numFmt w:val="bullet"/>
      <w:lvlText w:val=""/>
      <w:lvlJc w:val="left"/>
      <w:pPr>
        <w:tabs>
          <w:tab w:val="num" w:pos="6480"/>
        </w:tabs>
        <w:ind w:left="6480" w:hanging="360"/>
      </w:pPr>
      <w:rPr>
        <w:rFonts w:ascii="Wingdings 2" w:hAnsi="Wingdings 2" w:hint="default"/>
      </w:rPr>
    </w:lvl>
  </w:abstractNum>
  <w:num w:numId="1">
    <w:abstractNumId w:val="3"/>
    <w:lvlOverride w:ilvl="0">
      <w:lvl w:ilvl="0">
        <w:numFmt w:val="decimal"/>
        <w:lvlText w:val="%1."/>
        <w:lvlJc w:val="left"/>
        <w:rPr>
          <w:u w:val="none"/>
        </w:rPr>
      </w:lvl>
    </w:lvlOverride>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62B"/>
    <w:rsid w:val="000B337C"/>
    <w:rsid w:val="000F18A1"/>
    <w:rsid w:val="00113E2E"/>
    <w:rsid w:val="001D66E0"/>
    <w:rsid w:val="0023113C"/>
    <w:rsid w:val="00244BFD"/>
    <w:rsid w:val="0031451F"/>
    <w:rsid w:val="00326A83"/>
    <w:rsid w:val="00473001"/>
    <w:rsid w:val="00497093"/>
    <w:rsid w:val="00503CF6"/>
    <w:rsid w:val="005375E6"/>
    <w:rsid w:val="006363EA"/>
    <w:rsid w:val="006A09B3"/>
    <w:rsid w:val="006A762B"/>
    <w:rsid w:val="006B323F"/>
    <w:rsid w:val="008911B0"/>
    <w:rsid w:val="0098044E"/>
    <w:rsid w:val="00A53817"/>
    <w:rsid w:val="00A762F2"/>
    <w:rsid w:val="00C665C9"/>
    <w:rsid w:val="00C83530"/>
    <w:rsid w:val="00CC4190"/>
    <w:rsid w:val="00D0062F"/>
    <w:rsid w:val="00D4570F"/>
    <w:rsid w:val="00D55335"/>
    <w:rsid w:val="00DE28A6"/>
    <w:rsid w:val="00DF79E9"/>
    <w:rsid w:val="00E567DB"/>
    <w:rsid w:val="00EA1E18"/>
    <w:rsid w:val="00F167BF"/>
    <w:rsid w:val="00F20C15"/>
    <w:rsid w:val="00F376C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3F2B3"/>
  <w15:docId w15:val="{60B30407-2651-4FC0-85E5-09A5C079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62B"/>
    <w:pPr>
      <w:spacing w:after="160" w:line="259" w:lineRule="auto"/>
    </w:pPr>
    <w:rPr>
      <w:rFonts w:eastAsiaTheme="minorHAnsi"/>
      <w:sz w:val="22"/>
      <w:szCs w:val="22"/>
      <w:lang w:val="en-CA"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62B"/>
    <w:pPr>
      <w:ind w:left="720"/>
      <w:contextualSpacing/>
    </w:pPr>
  </w:style>
  <w:style w:type="paragraph" w:styleId="BalloonText">
    <w:name w:val="Balloon Text"/>
    <w:basedOn w:val="Normal"/>
    <w:link w:val="BalloonTextChar"/>
    <w:uiPriority w:val="99"/>
    <w:semiHidden/>
    <w:unhideWhenUsed/>
    <w:rsid w:val="006A76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762B"/>
    <w:rPr>
      <w:rFonts w:ascii="Lucida Grande" w:eastAsiaTheme="minorHAnsi" w:hAnsi="Lucida Grande" w:cs="Lucida Grande"/>
      <w:sz w:val="18"/>
      <w:szCs w:val="18"/>
      <w:lang w:val="en-CA"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127006">
      <w:bodyDiv w:val="1"/>
      <w:marLeft w:val="0"/>
      <w:marRight w:val="0"/>
      <w:marTop w:val="0"/>
      <w:marBottom w:val="0"/>
      <w:divBdr>
        <w:top w:val="none" w:sz="0" w:space="0" w:color="auto"/>
        <w:left w:val="none" w:sz="0" w:space="0" w:color="auto"/>
        <w:bottom w:val="none" w:sz="0" w:space="0" w:color="auto"/>
        <w:right w:val="none" w:sz="0" w:space="0" w:color="auto"/>
      </w:divBdr>
    </w:div>
    <w:div w:id="765032711">
      <w:bodyDiv w:val="1"/>
      <w:marLeft w:val="0"/>
      <w:marRight w:val="0"/>
      <w:marTop w:val="0"/>
      <w:marBottom w:val="0"/>
      <w:divBdr>
        <w:top w:val="none" w:sz="0" w:space="0" w:color="auto"/>
        <w:left w:val="none" w:sz="0" w:space="0" w:color="auto"/>
        <w:bottom w:val="none" w:sz="0" w:space="0" w:color="auto"/>
        <w:right w:val="none" w:sz="0" w:space="0" w:color="auto"/>
      </w:divBdr>
    </w:div>
    <w:div w:id="1277710085">
      <w:bodyDiv w:val="1"/>
      <w:marLeft w:val="0"/>
      <w:marRight w:val="0"/>
      <w:marTop w:val="0"/>
      <w:marBottom w:val="0"/>
      <w:divBdr>
        <w:top w:val="none" w:sz="0" w:space="0" w:color="auto"/>
        <w:left w:val="none" w:sz="0" w:space="0" w:color="auto"/>
        <w:bottom w:val="none" w:sz="0" w:space="0" w:color="auto"/>
        <w:right w:val="none" w:sz="0" w:space="0" w:color="auto"/>
      </w:divBdr>
      <w:divsChild>
        <w:div w:id="1258364577">
          <w:marLeft w:val="432"/>
          <w:marRight w:val="0"/>
          <w:marTop w:val="120"/>
          <w:marBottom w:val="0"/>
          <w:divBdr>
            <w:top w:val="none" w:sz="0" w:space="0" w:color="auto"/>
            <w:left w:val="none" w:sz="0" w:space="0" w:color="auto"/>
            <w:bottom w:val="none" w:sz="0" w:space="0" w:color="auto"/>
            <w:right w:val="none" w:sz="0" w:space="0" w:color="auto"/>
          </w:divBdr>
        </w:div>
        <w:div w:id="1560481761">
          <w:marLeft w:val="432"/>
          <w:marRight w:val="0"/>
          <w:marTop w:val="120"/>
          <w:marBottom w:val="0"/>
          <w:divBdr>
            <w:top w:val="none" w:sz="0" w:space="0" w:color="auto"/>
            <w:left w:val="none" w:sz="0" w:space="0" w:color="auto"/>
            <w:bottom w:val="none" w:sz="0" w:space="0" w:color="auto"/>
            <w:right w:val="none" w:sz="0" w:space="0" w:color="auto"/>
          </w:divBdr>
        </w:div>
        <w:div w:id="752047003">
          <w:marLeft w:val="432"/>
          <w:marRight w:val="0"/>
          <w:marTop w:val="120"/>
          <w:marBottom w:val="0"/>
          <w:divBdr>
            <w:top w:val="none" w:sz="0" w:space="0" w:color="auto"/>
            <w:left w:val="none" w:sz="0" w:space="0" w:color="auto"/>
            <w:bottom w:val="none" w:sz="0" w:space="0" w:color="auto"/>
            <w:right w:val="none" w:sz="0" w:space="0" w:color="auto"/>
          </w:divBdr>
        </w:div>
        <w:div w:id="71513859">
          <w:marLeft w:val="432"/>
          <w:marRight w:val="0"/>
          <w:marTop w:val="120"/>
          <w:marBottom w:val="0"/>
          <w:divBdr>
            <w:top w:val="none" w:sz="0" w:space="0" w:color="auto"/>
            <w:left w:val="none" w:sz="0" w:space="0" w:color="auto"/>
            <w:bottom w:val="none" w:sz="0" w:space="0" w:color="auto"/>
            <w:right w:val="none" w:sz="0" w:space="0" w:color="auto"/>
          </w:divBdr>
        </w:div>
        <w:div w:id="1740516784">
          <w:marLeft w:val="432"/>
          <w:marRight w:val="0"/>
          <w:marTop w:val="12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1592</Words>
  <Characters>9078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Lower Canada College</Company>
  <LinksUpToDate>false</LinksUpToDate>
  <CharactersWithSpaces>10649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owen</dc:creator>
  <cp:lastModifiedBy>bianca v</cp:lastModifiedBy>
  <cp:revision>3</cp:revision>
  <dcterms:created xsi:type="dcterms:W3CDTF">2016-10-04T18:38:00Z</dcterms:created>
  <dcterms:modified xsi:type="dcterms:W3CDTF">2016-10-06T03:57:00Z</dcterms:modified>
</cp:coreProperties>
</file>