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7BC5" w:rsidRPr="00D87BC5" w:rsidRDefault="00D87BC5">
      <w:pPr>
        <w:rPr>
          <w:u w:val="single"/>
          <w:lang w:val="en-CA"/>
        </w:rPr>
      </w:pPr>
      <w:r w:rsidRPr="00D87BC5">
        <w:rPr>
          <w:u w:val="single"/>
          <w:lang w:val="en-CA"/>
        </w:rPr>
        <w:t>Results</w:t>
      </w:r>
    </w:p>
    <w:p w:rsidR="00D87BC5" w:rsidRDefault="00D87BC5">
      <w:pPr>
        <w:rPr>
          <w:lang w:val="en-CA"/>
        </w:rPr>
      </w:pPr>
    </w:p>
    <w:p w:rsidR="00683C78" w:rsidRDefault="00683C78">
      <w:pPr>
        <w:rPr>
          <w:lang w:val="en-CA"/>
        </w:rPr>
      </w:pPr>
      <w:r>
        <w:rPr>
          <w:lang w:val="en-CA"/>
        </w:rPr>
        <w:t xml:space="preserve">In the following table and graph, the dominant arm represents the subject’s right </w:t>
      </w:r>
      <w:r w:rsidR="009A2FD9">
        <w:rPr>
          <w:lang w:val="en-CA"/>
        </w:rPr>
        <w:t>fore</w:t>
      </w:r>
      <w:r>
        <w:rPr>
          <w:lang w:val="en-CA"/>
        </w:rPr>
        <w:t xml:space="preserve">arm, while the non-dominant arm represents the subject’s left </w:t>
      </w:r>
      <w:r w:rsidR="009A2FD9">
        <w:rPr>
          <w:lang w:val="en-CA"/>
        </w:rPr>
        <w:t>fore</w:t>
      </w:r>
      <w:r>
        <w:rPr>
          <w:lang w:val="en-CA"/>
        </w:rPr>
        <w:t>arm.</w:t>
      </w:r>
    </w:p>
    <w:p w:rsidR="00683C78" w:rsidRDefault="00683C78">
      <w:pPr>
        <w:rPr>
          <w:lang w:val="en-CA"/>
        </w:rPr>
      </w:pPr>
    </w:p>
    <w:p w:rsidR="004A00C3" w:rsidRDefault="00683C78" w:rsidP="00293E11">
      <w:pPr>
        <w:rPr>
          <w:lang w:val="en-CA"/>
        </w:rPr>
      </w:pPr>
      <w:r>
        <w:rPr>
          <w:lang w:val="en-CA"/>
        </w:rPr>
        <w:t>Exercise 1 &amp; 3</w:t>
      </w:r>
    </w:p>
    <w:p w:rsidR="00683C78" w:rsidRDefault="00DD7AB8" w:rsidP="00293E11">
      <w:pPr>
        <w:rPr>
          <w:lang w:val="en-CA"/>
        </w:rPr>
      </w:pPr>
      <w:r>
        <w:rPr>
          <w:noProof/>
        </w:rPr>
        <w:drawing>
          <wp:inline distT="0" distB="0" distL="0" distR="0" wp14:anchorId="0B79B2FE" wp14:editId="1A835744">
            <wp:extent cx="5766435" cy="3572421"/>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sidR="007D0CDE">
        <w:rPr>
          <w:lang w:val="en-CA"/>
        </w:rPr>
        <w:t>Figure 1. Relationship between intensity of EMG activity and force of a muscle contraction in the dominant and non-dominant forearms.</w:t>
      </w:r>
    </w:p>
    <w:p w:rsidR="007D0CDE" w:rsidRDefault="007D0CDE" w:rsidP="00293E11">
      <w:pPr>
        <w:rPr>
          <w:lang w:val="en-CA"/>
        </w:rPr>
      </w:pPr>
    </w:p>
    <w:p w:rsidR="00683C78" w:rsidRDefault="00683C78" w:rsidP="00293E11">
      <w:pPr>
        <w:rPr>
          <w:lang w:val="en-CA"/>
        </w:rPr>
      </w:pPr>
      <w:r>
        <w:rPr>
          <w:lang w:val="en-CA"/>
        </w:rPr>
        <w:t>Exercise 2 &amp; 4</w:t>
      </w:r>
    </w:p>
    <w:tbl>
      <w:tblPr>
        <w:tblStyle w:val="TableGrid"/>
        <w:tblW w:w="9634" w:type="dxa"/>
        <w:tblLook w:val="04A0" w:firstRow="1" w:lastRow="0" w:firstColumn="1" w:lastColumn="0" w:noHBand="0" w:noVBand="1"/>
      </w:tblPr>
      <w:tblGrid>
        <w:gridCol w:w="3148"/>
        <w:gridCol w:w="3149"/>
        <w:gridCol w:w="3337"/>
      </w:tblGrid>
      <w:tr w:rsidR="007B5CB5" w:rsidTr="00293E11">
        <w:trPr>
          <w:trHeight w:val="269"/>
        </w:trPr>
        <w:tc>
          <w:tcPr>
            <w:tcW w:w="3148" w:type="dxa"/>
          </w:tcPr>
          <w:p w:rsidR="007B5CB5" w:rsidRDefault="007B5CB5" w:rsidP="00293E11">
            <w:pPr>
              <w:jc w:val="center"/>
              <w:rPr>
                <w:lang w:val="en-CA"/>
              </w:rPr>
            </w:pPr>
          </w:p>
        </w:tc>
        <w:tc>
          <w:tcPr>
            <w:tcW w:w="3149" w:type="dxa"/>
          </w:tcPr>
          <w:p w:rsidR="007B5CB5" w:rsidRDefault="007B5CB5" w:rsidP="00293E11">
            <w:pPr>
              <w:jc w:val="center"/>
              <w:rPr>
                <w:lang w:val="en-CA"/>
              </w:rPr>
            </w:pPr>
            <w:r>
              <w:rPr>
                <w:lang w:val="en-CA"/>
              </w:rPr>
              <w:t>Dominant Arm</w:t>
            </w:r>
          </w:p>
        </w:tc>
        <w:tc>
          <w:tcPr>
            <w:tcW w:w="3337" w:type="dxa"/>
          </w:tcPr>
          <w:p w:rsidR="007B5CB5" w:rsidRDefault="007B5CB5" w:rsidP="00293E11">
            <w:pPr>
              <w:jc w:val="center"/>
              <w:rPr>
                <w:lang w:val="en-CA"/>
              </w:rPr>
            </w:pPr>
            <w:r>
              <w:rPr>
                <w:lang w:val="en-CA"/>
              </w:rPr>
              <w:t>Non-Dominant Arm</w:t>
            </w:r>
          </w:p>
          <w:p w:rsidR="00293E11" w:rsidRDefault="00293E11" w:rsidP="00293E11">
            <w:pPr>
              <w:jc w:val="center"/>
              <w:rPr>
                <w:lang w:val="en-CA"/>
              </w:rPr>
            </w:pPr>
          </w:p>
        </w:tc>
      </w:tr>
      <w:tr w:rsidR="007B5CB5" w:rsidTr="00293E11">
        <w:trPr>
          <w:trHeight w:val="293"/>
        </w:trPr>
        <w:tc>
          <w:tcPr>
            <w:tcW w:w="3148" w:type="dxa"/>
          </w:tcPr>
          <w:p w:rsidR="007B5CB5" w:rsidRDefault="005A0883" w:rsidP="00293E11">
            <w:pPr>
              <w:jc w:val="center"/>
              <w:rPr>
                <w:lang w:val="en-CA"/>
              </w:rPr>
            </w:pPr>
            <w:r>
              <w:rPr>
                <w:lang w:val="en-CA"/>
              </w:rPr>
              <w:t>Max Force (kg)</w:t>
            </w:r>
          </w:p>
        </w:tc>
        <w:tc>
          <w:tcPr>
            <w:tcW w:w="3149" w:type="dxa"/>
          </w:tcPr>
          <w:p w:rsidR="007B5CB5" w:rsidRDefault="005A0883" w:rsidP="00293E11">
            <w:pPr>
              <w:jc w:val="center"/>
              <w:rPr>
                <w:lang w:val="en-CA"/>
              </w:rPr>
            </w:pPr>
            <w:r>
              <w:rPr>
                <w:lang w:val="en-CA"/>
              </w:rPr>
              <w:t>8.581</w:t>
            </w:r>
          </w:p>
          <w:p w:rsidR="00293E11" w:rsidRDefault="00293E11" w:rsidP="00293E11">
            <w:pPr>
              <w:jc w:val="center"/>
              <w:rPr>
                <w:lang w:val="en-CA"/>
              </w:rPr>
            </w:pPr>
          </w:p>
        </w:tc>
        <w:tc>
          <w:tcPr>
            <w:tcW w:w="3337" w:type="dxa"/>
          </w:tcPr>
          <w:p w:rsidR="007B5CB5" w:rsidRDefault="005A0883" w:rsidP="00293E11">
            <w:pPr>
              <w:jc w:val="center"/>
              <w:rPr>
                <w:lang w:val="en-CA"/>
              </w:rPr>
            </w:pPr>
            <w:r>
              <w:rPr>
                <w:lang w:val="en-CA"/>
              </w:rPr>
              <w:t>7.880</w:t>
            </w:r>
          </w:p>
        </w:tc>
      </w:tr>
      <w:tr w:rsidR="007B5CB5" w:rsidTr="00293E11">
        <w:trPr>
          <w:trHeight w:val="269"/>
        </w:trPr>
        <w:tc>
          <w:tcPr>
            <w:tcW w:w="3148" w:type="dxa"/>
          </w:tcPr>
          <w:p w:rsidR="007B5CB5" w:rsidRDefault="005A0883" w:rsidP="00293E11">
            <w:pPr>
              <w:jc w:val="center"/>
              <w:rPr>
                <w:lang w:val="en-CA"/>
              </w:rPr>
            </w:pPr>
            <w:r>
              <w:rPr>
                <w:lang w:val="en-CA"/>
              </w:rPr>
              <w:t>Time to 50% Max (s)</w:t>
            </w:r>
          </w:p>
        </w:tc>
        <w:tc>
          <w:tcPr>
            <w:tcW w:w="3149" w:type="dxa"/>
          </w:tcPr>
          <w:p w:rsidR="007B5CB5" w:rsidRDefault="005A0883" w:rsidP="00293E11">
            <w:pPr>
              <w:jc w:val="center"/>
              <w:rPr>
                <w:lang w:val="en-CA"/>
              </w:rPr>
            </w:pPr>
            <w:r>
              <w:rPr>
                <w:lang w:val="en-CA"/>
              </w:rPr>
              <w:t>18.190</w:t>
            </w:r>
          </w:p>
          <w:p w:rsidR="00293E11" w:rsidRDefault="00293E11" w:rsidP="00293E11">
            <w:pPr>
              <w:jc w:val="center"/>
              <w:rPr>
                <w:lang w:val="en-CA"/>
              </w:rPr>
            </w:pPr>
          </w:p>
        </w:tc>
        <w:tc>
          <w:tcPr>
            <w:tcW w:w="3337" w:type="dxa"/>
          </w:tcPr>
          <w:p w:rsidR="007B5CB5" w:rsidRDefault="005A0883" w:rsidP="00293E11">
            <w:pPr>
              <w:jc w:val="center"/>
              <w:rPr>
                <w:lang w:val="en-CA"/>
              </w:rPr>
            </w:pPr>
            <w:r>
              <w:rPr>
                <w:lang w:val="en-CA"/>
              </w:rPr>
              <w:t>12.806</w:t>
            </w:r>
          </w:p>
        </w:tc>
      </w:tr>
      <w:tr w:rsidR="00293E11" w:rsidTr="00293E11">
        <w:trPr>
          <w:trHeight w:val="269"/>
        </w:trPr>
        <w:tc>
          <w:tcPr>
            <w:tcW w:w="3148" w:type="dxa"/>
          </w:tcPr>
          <w:p w:rsidR="00293E11" w:rsidRDefault="00293E11" w:rsidP="00293E11">
            <w:pPr>
              <w:jc w:val="center"/>
              <w:rPr>
                <w:lang w:val="en-CA"/>
              </w:rPr>
            </w:pPr>
            <w:r>
              <w:rPr>
                <w:lang w:val="en-CA"/>
              </w:rPr>
              <w:t>Half Max Force (kg)</w:t>
            </w:r>
          </w:p>
          <w:p w:rsidR="00293E11" w:rsidRDefault="00293E11" w:rsidP="00293E11">
            <w:pPr>
              <w:jc w:val="center"/>
              <w:rPr>
                <w:lang w:val="en-CA"/>
              </w:rPr>
            </w:pPr>
          </w:p>
        </w:tc>
        <w:tc>
          <w:tcPr>
            <w:tcW w:w="3149" w:type="dxa"/>
          </w:tcPr>
          <w:p w:rsidR="00293E11" w:rsidRDefault="00293E11" w:rsidP="00293E11">
            <w:pPr>
              <w:jc w:val="center"/>
              <w:rPr>
                <w:lang w:val="en-CA"/>
              </w:rPr>
            </w:pPr>
            <w:r>
              <w:rPr>
                <w:lang w:val="en-CA"/>
              </w:rPr>
              <w:t>4.2905</w:t>
            </w:r>
          </w:p>
        </w:tc>
        <w:tc>
          <w:tcPr>
            <w:tcW w:w="3337" w:type="dxa"/>
          </w:tcPr>
          <w:p w:rsidR="00293E11" w:rsidRDefault="00293E11" w:rsidP="00293E11">
            <w:pPr>
              <w:jc w:val="center"/>
              <w:rPr>
                <w:lang w:val="en-CA"/>
              </w:rPr>
            </w:pPr>
            <w:r>
              <w:rPr>
                <w:lang w:val="en-CA"/>
              </w:rPr>
              <w:t>3.940</w:t>
            </w:r>
          </w:p>
        </w:tc>
      </w:tr>
      <w:tr w:rsidR="007B5CB5" w:rsidTr="00293E11">
        <w:trPr>
          <w:trHeight w:val="269"/>
        </w:trPr>
        <w:tc>
          <w:tcPr>
            <w:tcW w:w="3148" w:type="dxa"/>
          </w:tcPr>
          <w:p w:rsidR="007B5CB5" w:rsidRDefault="005A0883" w:rsidP="00293E11">
            <w:pPr>
              <w:jc w:val="center"/>
              <w:rPr>
                <w:lang w:val="en-CA"/>
              </w:rPr>
            </w:pPr>
            <w:r>
              <w:rPr>
                <w:lang w:val="en-CA"/>
              </w:rPr>
              <w:t>Forearm Circumference (mm)</w:t>
            </w:r>
          </w:p>
        </w:tc>
        <w:tc>
          <w:tcPr>
            <w:tcW w:w="3149" w:type="dxa"/>
          </w:tcPr>
          <w:p w:rsidR="007B5CB5" w:rsidRDefault="005A0883" w:rsidP="00293E11">
            <w:pPr>
              <w:jc w:val="center"/>
              <w:rPr>
                <w:lang w:val="en-CA"/>
              </w:rPr>
            </w:pPr>
            <w:r>
              <w:rPr>
                <w:lang w:val="en-CA"/>
              </w:rPr>
              <w:t>265</w:t>
            </w:r>
          </w:p>
        </w:tc>
        <w:tc>
          <w:tcPr>
            <w:tcW w:w="3337" w:type="dxa"/>
          </w:tcPr>
          <w:p w:rsidR="00293E11" w:rsidRDefault="005A0883" w:rsidP="00293E11">
            <w:pPr>
              <w:jc w:val="center"/>
              <w:rPr>
                <w:lang w:val="en-CA"/>
              </w:rPr>
            </w:pPr>
            <w:r>
              <w:rPr>
                <w:lang w:val="en-CA"/>
              </w:rPr>
              <w:t>266</w:t>
            </w:r>
          </w:p>
          <w:p w:rsidR="00293E11" w:rsidRDefault="00293E11" w:rsidP="00293E11">
            <w:pPr>
              <w:jc w:val="center"/>
              <w:rPr>
                <w:lang w:val="en-CA"/>
              </w:rPr>
            </w:pPr>
          </w:p>
        </w:tc>
      </w:tr>
      <w:tr w:rsidR="00293E11" w:rsidTr="00293E11">
        <w:trPr>
          <w:trHeight w:val="269"/>
        </w:trPr>
        <w:tc>
          <w:tcPr>
            <w:tcW w:w="3148" w:type="dxa"/>
          </w:tcPr>
          <w:p w:rsidR="00293E11" w:rsidRDefault="00B844C9" w:rsidP="00293E11">
            <w:pPr>
              <w:jc w:val="center"/>
              <w:rPr>
                <w:lang w:val="en-CA"/>
              </w:rPr>
            </w:pPr>
            <w:r>
              <w:rPr>
                <w:lang w:val="en-CA"/>
              </w:rPr>
              <w:t>V2-V1 (kg)</w:t>
            </w:r>
          </w:p>
          <w:p w:rsidR="00293E11" w:rsidRDefault="00293E11" w:rsidP="00293E11">
            <w:pPr>
              <w:jc w:val="center"/>
              <w:rPr>
                <w:lang w:val="en-CA"/>
              </w:rPr>
            </w:pPr>
          </w:p>
        </w:tc>
        <w:tc>
          <w:tcPr>
            <w:tcW w:w="3149" w:type="dxa"/>
          </w:tcPr>
          <w:p w:rsidR="00293E11" w:rsidRDefault="0038692E" w:rsidP="00293E11">
            <w:pPr>
              <w:jc w:val="center"/>
              <w:rPr>
                <w:lang w:val="en-CA"/>
              </w:rPr>
            </w:pPr>
            <w:r>
              <w:rPr>
                <w:lang w:val="en-CA"/>
              </w:rPr>
              <w:t>8.596</w:t>
            </w:r>
          </w:p>
        </w:tc>
        <w:tc>
          <w:tcPr>
            <w:tcW w:w="3337" w:type="dxa"/>
          </w:tcPr>
          <w:p w:rsidR="00293E11" w:rsidRDefault="0038692E" w:rsidP="00293E11">
            <w:pPr>
              <w:jc w:val="center"/>
              <w:rPr>
                <w:lang w:val="en-CA"/>
              </w:rPr>
            </w:pPr>
            <w:r>
              <w:rPr>
                <w:lang w:val="en-CA"/>
              </w:rPr>
              <w:t>6.017</w:t>
            </w:r>
          </w:p>
        </w:tc>
      </w:tr>
    </w:tbl>
    <w:p w:rsidR="00DD7AB8" w:rsidRDefault="00D654E0">
      <w:pPr>
        <w:rPr>
          <w:lang w:val="en-CA"/>
        </w:rPr>
      </w:pPr>
      <w:r>
        <w:rPr>
          <w:lang w:val="en-CA"/>
        </w:rPr>
        <w:t xml:space="preserve">Figure 2. </w:t>
      </w:r>
      <w:r w:rsidR="00352EE6">
        <w:rPr>
          <w:lang w:val="en-CA"/>
        </w:rPr>
        <w:t>Observations of length and strength of muscle contraction and EMG</w:t>
      </w:r>
      <w:r w:rsidR="009A2FD9">
        <w:rPr>
          <w:lang w:val="en-CA"/>
        </w:rPr>
        <w:t xml:space="preserve"> activity from the dominant and </w:t>
      </w:r>
      <w:r w:rsidR="00293E11">
        <w:rPr>
          <w:lang w:val="en-CA"/>
        </w:rPr>
        <w:t>non-dominant forearms</w:t>
      </w:r>
      <w:r w:rsidR="007D0CDE">
        <w:rPr>
          <w:lang w:val="en-CA"/>
        </w:rPr>
        <w:t xml:space="preserve"> during a</w:t>
      </w:r>
      <w:r w:rsidR="00DD7AB8">
        <w:rPr>
          <w:lang w:val="en-CA"/>
        </w:rPr>
        <w:t xml:space="preserve"> fatigue exercise.</w:t>
      </w:r>
    </w:p>
    <w:p w:rsidR="003A4A28" w:rsidRPr="00E44966" w:rsidRDefault="003A4A28">
      <w:pPr>
        <w:rPr>
          <w:lang w:val="en-CA"/>
        </w:rPr>
      </w:pPr>
      <w:r w:rsidRPr="003A4A28">
        <w:rPr>
          <w:u w:val="single"/>
          <w:lang w:val="en-CA"/>
        </w:rPr>
        <w:t>Discussion</w:t>
      </w:r>
    </w:p>
    <w:p w:rsidR="003A4A28" w:rsidRDefault="003A4A28">
      <w:pPr>
        <w:rPr>
          <w:u w:val="single"/>
          <w:lang w:val="en-CA"/>
        </w:rPr>
      </w:pPr>
    </w:p>
    <w:p w:rsidR="003A4A28" w:rsidRDefault="00FF45F0">
      <w:pPr>
        <w:rPr>
          <w:lang w:val="en-CA"/>
        </w:rPr>
      </w:pPr>
      <w:r>
        <w:rPr>
          <w:lang w:val="en-CA"/>
        </w:rPr>
        <w:tab/>
      </w:r>
      <w:r w:rsidRPr="00FF45F0">
        <w:rPr>
          <w:lang w:val="en-CA"/>
        </w:rPr>
        <w:t>Yes,</w:t>
      </w:r>
      <w:r>
        <w:rPr>
          <w:lang w:val="en-CA"/>
        </w:rPr>
        <w:t xml:space="preserve"> there is a linear relationship between the area under the EMG trace for each clench and the force of the clench. </w:t>
      </w:r>
      <w:r w:rsidR="00A0377B">
        <w:rPr>
          <w:lang w:val="en-CA"/>
        </w:rPr>
        <w:t>The reasoning for this linear relationship is due to the fact that with each clench, the force increased a</w:t>
      </w:r>
      <w:r w:rsidR="00290EA2">
        <w:rPr>
          <w:lang w:val="en-CA"/>
        </w:rPr>
        <w:t xml:space="preserve">s the subject squeezed harder, which led to an increase in EMG activity. The area under the absolute integral of the EMG proves to be linearly proportional to the strength of the muscle contraction. </w:t>
      </w:r>
    </w:p>
    <w:p w:rsidR="00FF45F0" w:rsidRDefault="00FF45F0">
      <w:pPr>
        <w:rPr>
          <w:lang w:val="en-CA"/>
        </w:rPr>
      </w:pPr>
    </w:p>
    <w:p w:rsidR="00FF45F0" w:rsidRDefault="001D0407">
      <w:pPr>
        <w:rPr>
          <w:rFonts w:ascii="Calibri" w:hAnsi="Calibri" w:cs="Arial"/>
          <w:color w:val="000000" w:themeColor="text1"/>
        </w:rPr>
      </w:pPr>
      <w:r>
        <w:rPr>
          <w:lang w:val="en-CA"/>
        </w:rPr>
        <w:tab/>
        <w:t>As the</w:t>
      </w:r>
      <w:r w:rsidR="00FF45F0">
        <w:rPr>
          <w:lang w:val="en-CA"/>
        </w:rPr>
        <w:t xml:space="preserve"> amplitude and duration of the EMG signal of a muscle contraction </w:t>
      </w:r>
      <w:r>
        <w:rPr>
          <w:lang w:val="en-CA"/>
        </w:rPr>
        <w:t xml:space="preserve">is increased, the motor units being recruited will start to become larger and larger. Initially, when a muscle is activated, small motor units will be recruited, which generate a weaker degree of tension. With increasing strength of a muscle contraction, continually </w:t>
      </w:r>
      <w:r w:rsidR="00B57E73">
        <w:rPr>
          <w:lang w:val="en-CA"/>
        </w:rPr>
        <w:t xml:space="preserve">larger and larger motor units will be </w:t>
      </w:r>
      <w:r w:rsidR="00080466">
        <w:rPr>
          <w:lang w:val="en-CA"/>
        </w:rPr>
        <w:t>recruited. This eventually leads to a smoot</w:t>
      </w:r>
      <w:r w:rsidR="009958CE">
        <w:rPr>
          <w:lang w:val="en-CA"/>
        </w:rPr>
        <w:t xml:space="preserve">h </w:t>
      </w:r>
      <w:r w:rsidR="005F528B">
        <w:rPr>
          <w:lang w:val="en-CA"/>
        </w:rPr>
        <w:t>increase in muscle strength by</w:t>
      </w:r>
      <w:r w:rsidR="00080466">
        <w:rPr>
          <w:lang w:val="en-CA"/>
        </w:rPr>
        <w:t xml:space="preserve"> </w:t>
      </w:r>
      <w:r w:rsidR="009958CE">
        <w:rPr>
          <w:lang w:val="en-CA"/>
        </w:rPr>
        <w:t xml:space="preserve">the orderly addition of progressively </w:t>
      </w:r>
      <w:r w:rsidR="005F528B">
        <w:rPr>
          <w:lang w:val="en-CA"/>
        </w:rPr>
        <w:t>l</w:t>
      </w:r>
      <w:r w:rsidR="006B12F0">
        <w:rPr>
          <w:lang w:val="en-CA"/>
        </w:rPr>
        <w:t>arger and stronger motor units, also referred to as the size principle (</w:t>
      </w:r>
      <w:r w:rsidR="006B12F0">
        <w:rPr>
          <w:rFonts w:ascii="Calibri" w:hAnsi="Calibri" w:cs="Arial"/>
          <w:color w:val="000000" w:themeColor="text1"/>
        </w:rPr>
        <w:t xml:space="preserve">Olson et al., 1968). </w:t>
      </w:r>
      <w:r w:rsidR="008278FB">
        <w:rPr>
          <w:rFonts w:ascii="Calibri" w:hAnsi="Calibri" w:cs="Arial"/>
          <w:color w:val="000000" w:themeColor="text1"/>
        </w:rPr>
        <w:t xml:space="preserve">The stimulation of each motor unit also increases with increasing muscle contraction, becoming the dominating mechanism to increase motor strength once all motor units have been recruited. </w:t>
      </w:r>
      <w:r w:rsidR="00EE4FC5">
        <w:rPr>
          <w:rFonts w:ascii="Calibri" w:hAnsi="Calibri" w:cs="Arial"/>
          <w:color w:val="000000" w:themeColor="text1"/>
        </w:rPr>
        <w:t xml:space="preserve">The sequence of recruitment typically </w:t>
      </w:r>
      <w:r w:rsidR="00DE4F2A">
        <w:rPr>
          <w:rFonts w:ascii="Calibri" w:hAnsi="Calibri" w:cs="Arial"/>
          <w:color w:val="000000" w:themeColor="text1"/>
        </w:rPr>
        <w:t xml:space="preserve">beings with Type I motor units, slow oxidative, which are slow twitch, fatigue- resistant and have the smallest force and contraction. Eventually, motor </w:t>
      </w:r>
      <w:proofErr w:type="gramStart"/>
      <w:r w:rsidR="00DE4F2A">
        <w:rPr>
          <w:rFonts w:ascii="Calibri" w:hAnsi="Calibri" w:cs="Arial"/>
          <w:color w:val="000000" w:themeColor="text1"/>
        </w:rPr>
        <w:t>units</w:t>
      </w:r>
      <w:proofErr w:type="gramEnd"/>
      <w:r w:rsidR="00DE4F2A">
        <w:rPr>
          <w:rFonts w:ascii="Calibri" w:hAnsi="Calibri" w:cs="Arial"/>
          <w:color w:val="000000" w:themeColor="text1"/>
        </w:rPr>
        <w:t xml:space="preserve"> progress to Type </w:t>
      </w:r>
      <w:proofErr w:type="spellStart"/>
      <w:r w:rsidR="00DE4F2A">
        <w:rPr>
          <w:rFonts w:ascii="Calibri" w:hAnsi="Calibri" w:cs="Arial"/>
          <w:color w:val="000000" w:themeColor="text1"/>
        </w:rPr>
        <w:t>IIb</w:t>
      </w:r>
      <w:proofErr w:type="spellEnd"/>
      <w:r w:rsidR="00DE4F2A">
        <w:rPr>
          <w:rFonts w:ascii="Calibri" w:hAnsi="Calibri" w:cs="Arial"/>
          <w:color w:val="000000" w:themeColor="text1"/>
        </w:rPr>
        <w:t xml:space="preserve"> units, fast glycolytic, which are fast twitch, easily fatigued, with the largest force and fastest contraction (Olsen et al., 1968). Between this progression, Type </w:t>
      </w:r>
      <w:proofErr w:type="spellStart"/>
      <w:r w:rsidR="00DE4F2A">
        <w:rPr>
          <w:rFonts w:ascii="Calibri" w:hAnsi="Calibri" w:cs="Arial"/>
          <w:color w:val="000000" w:themeColor="text1"/>
        </w:rPr>
        <w:t>IIa</w:t>
      </w:r>
      <w:proofErr w:type="spellEnd"/>
      <w:r w:rsidR="00DE4F2A">
        <w:rPr>
          <w:rFonts w:ascii="Calibri" w:hAnsi="Calibri" w:cs="Arial"/>
          <w:color w:val="000000" w:themeColor="text1"/>
        </w:rPr>
        <w:t xml:space="preserve"> motor units are recruited, fast oxidative, which are also fast twitch with large forces and fast contraction, but are fatigue resistant. </w:t>
      </w:r>
      <w:r w:rsidR="00ED2F2F">
        <w:rPr>
          <w:rFonts w:ascii="Calibri" w:hAnsi="Calibri" w:cs="Arial"/>
          <w:color w:val="000000" w:themeColor="text1"/>
        </w:rPr>
        <w:t xml:space="preserve">The stronger forearm has a slightly greater grip strength and EMG than the non-dominant arm. </w:t>
      </w:r>
      <w:r w:rsidR="00757E40">
        <w:rPr>
          <w:rFonts w:ascii="Calibri" w:hAnsi="Calibri" w:cs="Arial"/>
          <w:color w:val="000000" w:themeColor="text1"/>
        </w:rPr>
        <w:t>Typically</w:t>
      </w:r>
      <w:r w:rsidR="001B2A49">
        <w:rPr>
          <w:rFonts w:ascii="Calibri" w:hAnsi="Calibri" w:cs="Arial"/>
          <w:color w:val="000000" w:themeColor="text1"/>
        </w:rPr>
        <w:t>,</w:t>
      </w:r>
      <w:r w:rsidR="00587473">
        <w:rPr>
          <w:rFonts w:ascii="Calibri" w:hAnsi="Calibri" w:cs="Arial"/>
          <w:color w:val="000000" w:themeColor="text1"/>
        </w:rPr>
        <w:t xml:space="preserve"> the dominant </w:t>
      </w:r>
      <w:r w:rsidR="00757E40">
        <w:rPr>
          <w:rFonts w:ascii="Calibri" w:hAnsi="Calibri" w:cs="Arial"/>
          <w:color w:val="000000" w:themeColor="text1"/>
        </w:rPr>
        <w:t>hand is said to posses a 10</w:t>
      </w:r>
      <w:r w:rsidR="009704E0">
        <w:rPr>
          <w:rFonts w:ascii="Calibri" w:hAnsi="Calibri" w:cs="Arial"/>
          <w:color w:val="000000" w:themeColor="text1"/>
        </w:rPr>
        <w:t>%</w:t>
      </w:r>
      <w:r w:rsidR="00757E40">
        <w:rPr>
          <w:rFonts w:ascii="Calibri" w:hAnsi="Calibri" w:cs="Arial"/>
          <w:color w:val="000000" w:themeColor="text1"/>
        </w:rPr>
        <w:t xml:space="preserve"> greater grip strength than the non-dominant hand (Armstrong et al., 1999). </w:t>
      </w:r>
      <w:r w:rsidR="00ED2F2F">
        <w:rPr>
          <w:rFonts w:ascii="Calibri" w:hAnsi="Calibri" w:cs="Arial"/>
          <w:color w:val="000000" w:themeColor="text1"/>
        </w:rPr>
        <w:t>This could be d</w:t>
      </w:r>
      <w:r w:rsidR="00465CFC">
        <w:rPr>
          <w:rFonts w:ascii="Calibri" w:hAnsi="Calibri" w:cs="Arial"/>
          <w:color w:val="000000" w:themeColor="text1"/>
        </w:rPr>
        <w:t>ue to multiple factors such as a difference in muscle size between forearms caus</w:t>
      </w:r>
      <w:r w:rsidR="00A370C8">
        <w:rPr>
          <w:rFonts w:ascii="Calibri" w:hAnsi="Calibri" w:cs="Arial"/>
          <w:color w:val="000000" w:themeColor="text1"/>
        </w:rPr>
        <w:t>ed by more frequent</w:t>
      </w:r>
      <w:r w:rsidR="00465CFC">
        <w:rPr>
          <w:rFonts w:ascii="Calibri" w:hAnsi="Calibri" w:cs="Arial"/>
          <w:color w:val="000000" w:themeColor="text1"/>
        </w:rPr>
        <w:t xml:space="preserve"> use of the dominant arm, leading to a greater grip strength</w:t>
      </w:r>
      <w:r w:rsidR="007E3470">
        <w:rPr>
          <w:rFonts w:ascii="Calibri" w:hAnsi="Calibri" w:cs="Arial"/>
          <w:color w:val="000000" w:themeColor="text1"/>
        </w:rPr>
        <w:t>,</w:t>
      </w:r>
      <w:r w:rsidR="00465CFC">
        <w:rPr>
          <w:rFonts w:ascii="Calibri" w:hAnsi="Calibri" w:cs="Arial"/>
          <w:color w:val="000000" w:themeColor="text1"/>
        </w:rPr>
        <w:t xml:space="preserve"> or </w:t>
      </w:r>
      <w:r w:rsidR="00B147CD">
        <w:rPr>
          <w:rFonts w:ascii="Calibri" w:hAnsi="Calibri" w:cs="Arial"/>
          <w:color w:val="000000" w:themeColor="text1"/>
        </w:rPr>
        <w:t>a temperature difference occurring between the two exercises, which would lead to a poor per</w:t>
      </w:r>
      <w:r w:rsidR="002A0E4F">
        <w:rPr>
          <w:rFonts w:ascii="Calibri" w:hAnsi="Calibri" w:cs="Arial"/>
          <w:color w:val="000000" w:themeColor="text1"/>
        </w:rPr>
        <w:t>formance from the colder forearm</w:t>
      </w:r>
      <w:r w:rsidR="00BB0E5E">
        <w:rPr>
          <w:rFonts w:ascii="Calibri" w:hAnsi="Calibri" w:cs="Arial"/>
          <w:color w:val="000000" w:themeColor="text1"/>
        </w:rPr>
        <w:t xml:space="preserve">. Although the difference between the two forearms wasn’t quite 10%, a difference was still observable. </w:t>
      </w:r>
    </w:p>
    <w:p w:rsidR="007F09F6" w:rsidRDefault="007F09F6">
      <w:pPr>
        <w:rPr>
          <w:lang w:val="en-CA"/>
        </w:rPr>
      </w:pPr>
    </w:p>
    <w:p w:rsidR="00271241" w:rsidRDefault="004F6C31">
      <w:pPr>
        <w:rPr>
          <w:lang w:val="en-CA"/>
        </w:rPr>
      </w:pPr>
      <w:r>
        <w:rPr>
          <w:lang w:val="en-CA"/>
        </w:rPr>
        <w:tab/>
      </w:r>
      <w:r w:rsidR="00612395">
        <w:rPr>
          <w:lang w:val="en-CA"/>
        </w:rPr>
        <w:t>Forearm circumference provides the most practical method of assessing muscle mass and grip strength for both men and women (</w:t>
      </w:r>
      <w:proofErr w:type="spellStart"/>
      <w:r w:rsidR="00612395">
        <w:rPr>
          <w:lang w:val="en-CA"/>
        </w:rPr>
        <w:t>Anakwe</w:t>
      </w:r>
      <w:proofErr w:type="spellEnd"/>
      <w:r w:rsidR="00612395">
        <w:rPr>
          <w:lang w:val="en-CA"/>
        </w:rPr>
        <w:t xml:space="preserve"> et al., 2007). The relationship between forearm circumference and hand grip strength is positivel</w:t>
      </w:r>
      <w:r w:rsidR="001C127C">
        <w:rPr>
          <w:lang w:val="en-CA"/>
        </w:rPr>
        <w:t>y correlated, meaning typically the larger the circumference, the greater the grip strength</w:t>
      </w:r>
      <w:r w:rsidR="00C11728">
        <w:rPr>
          <w:lang w:val="en-CA"/>
        </w:rPr>
        <w:t xml:space="preserve">. </w:t>
      </w:r>
      <w:r w:rsidR="00212BF0">
        <w:rPr>
          <w:lang w:val="en-CA"/>
        </w:rPr>
        <w:t xml:space="preserve">There may or may not be a difference in the circumference between forearms, but a difference may be seen in one who doesn’t exercise regularly. </w:t>
      </w:r>
      <w:r w:rsidR="00C11728">
        <w:rPr>
          <w:lang w:val="en-CA"/>
        </w:rPr>
        <w:t xml:space="preserve">The difference in size between forearms can be accounted for by a difference in </w:t>
      </w:r>
      <w:r w:rsidR="008D1A41">
        <w:rPr>
          <w:lang w:val="en-CA"/>
        </w:rPr>
        <w:t>t</w:t>
      </w:r>
      <w:r w:rsidR="00212BF0">
        <w:rPr>
          <w:lang w:val="en-CA"/>
        </w:rPr>
        <w:t>he diameter in each musc</w:t>
      </w:r>
      <w:r w:rsidR="007E3470">
        <w:rPr>
          <w:lang w:val="en-CA"/>
        </w:rPr>
        <w:t>le fibre, rather than an increase in</w:t>
      </w:r>
      <w:r w:rsidR="00212BF0">
        <w:rPr>
          <w:lang w:val="en-CA"/>
        </w:rPr>
        <w:t xml:space="preserve"> the number of muscle fibres. The diameter of muscle fibres may vary from motor units, with Type </w:t>
      </w:r>
      <w:proofErr w:type="spellStart"/>
      <w:r w:rsidR="00212BF0">
        <w:rPr>
          <w:lang w:val="en-CA"/>
        </w:rPr>
        <w:t>IIb</w:t>
      </w:r>
      <w:proofErr w:type="spellEnd"/>
      <w:r w:rsidR="00212BF0">
        <w:rPr>
          <w:lang w:val="en-CA"/>
        </w:rPr>
        <w:t xml:space="preserve"> having a larger diameter as they generate higher potentials due </w:t>
      </w:r>
      <w:r w:rsidR="0046738C">
        <w:rPr>
          <w:lang w:val="en-CA"/>
        </w:rPr>
        <w:t xml:space="preserve">to their increased firing rate (Olson et al., 1968). </w:t>
      </w:r>
    </w:p>
    <w:p w:rsidR="00AF6E6B" w:rsidRDefault="00AF6E6B">
      <w:pPr>
        <w:rPr>
          <w:lang w:val="en-CA"/>
        </w:rPr>
      </w:pPr>
    </w:p>
    <w:p w:rsidR="00AF6E6B" w:rsidRDefault="00AF6E6B">
      <w:pPr>
        <w:rPr>
          <w:lang w:val="en-CA"/>
        </w:rPr>
      </w:pPr>
      <w:r>
        <w:rPr>
          <w:lang w:val="en-CA"/>
        </w:rPr>
        <w:tab/>
      </w:r>
      <w:r w:rsidR="007A75A2">
        <w:rPr>
          <w:lang w:val="en-CA"/>
        </w:rPr>
        <w:t xml:space="preserve">Antagonistic </w:t>
      </w:r>
      <w:r w:rsidR="002E0E25">
        <w:rPr>
          <w:lang w:val="en-CA"/>
        </w:rPr>
        <w:t xml:space="preserve">pairs of muscles create movement when one contracts and the other (the antagonist) relaxes. Antagonistic muscles are recruited during a bicep curl because </w:t>
      </w:r>
      <w:r w:rsidR="00087199">
        <w:rPr>
          <w:lang w:val="en-CA"/>
        </w:rPr>
        <w:t>as the bicep (agonist) contracts, the triceps (ant</w:t>
      </w:r>
      <w:r w:rsidR="002F1C81">
        <w:rPr>
          <w:lang w:val="en-CA"/>
        </w:rPr>
        <w:t xml:space="preserve">agonist) relaxes when on the way up, but on the way down, the roles reverse. </w:t>
      </w:r>
      <w:r w:rsidR="000B7469">
        <w:rPr>
          <w:lang w:val="en-CA"/>
        </w:rPr>
        <w:t>The contracting of the antagonist allows the movement to occur. Muscle spindles also play a role in this relationship, as they are attached to regular muscle fibres, and are able to sense when a muscle is being stretched, which then sends a signal to the muscle’s motor neurons, causing the muscle to reflexively contract (</w:t>
      </w:r>
      <w:r w:rsidR="00316463">
        <w:rPr>
          <w:lang w:val="en-CA"/>
        </w:rPr>
        <w:t xml:space="preserve">Brown, 2007). </w:t>
      </w:r>
      <w:r w:rsidR="007F5B4E">
        <w:rPr>
          <w:lang w:val="en-CA"/>
        </w:rPr>
        <w:t xml:space="preserve">Many factors may affect the quality of EMG signals, such as skin preparation, electrode material, size and positioning. </w:t>
      </w:r>
      <w:r w:rsidR="00E01EAF">
        <w:rPr>
          <w:lang w:val="en-CA"/>
        </w:rPr>
        <w:t>EMG activity of muscle shortening and lengthening during a bicep curl show different patterns. During the shortening phase, the EMG amplitude is lower for the same force output during lengthening muscle actions (</w:t>
      </w:r>
      <w:proofErr w:type="spellStart"/>
      <w:r w:rsidR="008C2096">
        <w:rPr>
          <w:lang w:val="en-CA"/>
        </w:rPr>
        <w:t>Disselhorst</w:t>
      </w:r>
      <w:proofErr w:type="spellEnd"/>
      <w:r w:rsidR="008C2096">
        <w:rPr>
          <w:lang w:val="en-CA"/>
        </w:rPr>
        <w:t xml:space="preserve">-Klug et al., 2009). </w:t>
      </w:r>
    </w:p>
    <w:p w:rsidR="00AF6E6B" w:rsidRDefault="00AF6E6B">
      <w:pPr>
        <w:rPr>
          <w:u w:val="single"/>
          <w:lang w:val="en-CA"/>
        </w:rPr>
      </w:pPr>
    </w:p>
    <w:p w:rsidR="003A4A28" w:rsidRDefault="003A4A28">
      <w:pPr>
        <w:rPr>
          <w:u w:val="single"/>
          <w:lang w:val="en-CA"/>
        </w:rPr>
      </w:pPr>
      <w:r>
        <w:rPr>
          <w:u w:val="single"/>
          <w:lang w:val="en-CA"/>
        </w:rPr>
        <w:t>Appendix</w:t>
      </w:r>
    </w:p>
    <w:p w:rsidR="003A4A28" w:rsidRDefault="003A4A28">
      <w:pPr>
        <w:rPr>
          <w:u w:val="single"/>
          <w:lang w:val="en-CA"/>
        </w:rPr>
      </w:pPr>
    </w:p>
    <w:p w:rsidR="00BC56F1" w:rsidRDefault="00BC56F1">
      <w:pPr>
        <w:rPr>
          <w:u w:val="single"/>
          <w:lang w:val="en-CA"/>
        </w:rPr>
      </w:pPr>
      <w:r>
        <w:rPr>
          <w:lang w:val="en-CA"/>
        </w:rPr>
        <w:t>Exercise 5</w:t>
      </w:r>
    </w:p>
    <w:p w:rsidR="003A4A28" w:rsidRDefault="003A4A28">
      <w:pPr>
        <w:rPr>
          <w:lang w:val="en-CA"/>
        </w:rPr>
      </w:pPr>
      <w:r>
        <w:rPr>
          <w:noProof/>
          <w:u w:val="single"/>
        </w:rPr>
        <w:drawing>
          <wp:inline distT="0" distB="0" distL="0" distR="0" wp14:anchorId="4FABA485" wp14:editId="6619367A">
            <wp:extent cx="5880735" cy="4512962"/>
            <wp:effectExtent l="0" t="0" r="12065" b="8255"/>
            <wp:docPr id="3" name="Picture 3" descr="/Users/mands/Downloads/curl - emily aman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mands/Downloads/curl - emily amanda.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22077" cy="4544688"/>
                    </a:xfrm>
                    <a:prstGeom prst="rect">
                      <a:avLst/>
                    </a:prstGeom>
                    <a:noFill/>
                    <a:ln>
                      <a:noFill/>
                    </a:ln>
                  </pic:spPr>
                </pic:pic>
              </a:graphicData>
            </a:graphic>
          </wp:inline>
        </w:drawing>
      </w:r>
    </w:p>
    <w:p w:rsidR="00BC56F1" w:rsidRDefault="00D37715">
      <w:pPr>
        <w:rPr>
          <w:lang w:val="en-CA"/>
        </w:rPr>
      </w:pPr>
      <w:r>
        <w:rPr>
          <w:lang w:val="en-CA"/>
        </w:rPr>
        <w:t>Figure 3. EMG during arm curls</w:t>
      </w:r>
    </w:p>
    <w:p w:rsidR="00825DAC" w:rsidRDefault="003A4A28">
      <w:pPr>
        <w:rPr>
          <w:lang w:val="en-CA"/>
        </w:rPr>
      </w:pPr>
      <w:r>
        <w:rPr>
          <w:noProof/>
          <w:u w:val="single"/>
        </w:rPr>
        <w:drawing>
          <wp:inline distT="0" distB="0" distL="0" distR="0" wp14:anchorId="0D362DE3" wp14:editId="34C375D9">
            <wp:extent cx="5880735" cy="4512961"/>
            <wp:effectExtent l="0" t="0" r="12065" b="8255"/>
            <wp:docPr id="2" name="Picture 2" descr="/Users/mands/Downloads/arm raise - emily aman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nds/Downloads/arm raise - emily amanda.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90138" cy="4596918"/>
                    </a:xfrm>
                    <a:prstGeom prst="rect">
                      <a:avLst/>
                    </a:prstGeom>
                    <a:noFill/>
                    <a:ln>
                      <a:noFill/>
                    </a:ln>
                  </pic:spPr>
                </pic:pic>
              </a:graphicData>
            </a:graphic>
          </wp:inline>
        </w:drawing>
      </w:r>
    </w:p>
    <w:p w:rsidR="00870471" w:rsidRDefault="00D37715">
      <w:pPr>
        <w:rPr>
          <w:lang w:val="en-CA"/>
        </w:rPr>
      </w:pPr>
      <w:r>
        <w:rPr>
          <w:lang w:val="en-CA"/>
        </w:rPr>
        <w:t>Figure 4. EMG durin</w:t>
      </w:r>
      <w:r w:rsidR="009034E1">
        <w:rPr>
          <w:lang w:val="en-CA"/>
        </w:rPr>
        <w:t>g arm raises</w:t>
      </w:r>
    </w:p>
    <w:p w:rsidR="00156EE0" w:rsidRDefault="00156EE0">
      <w:pPr>
        <w:rPr>
          <w:color w:val="000000" w:themeColor="text1"/>
          <w:u w:val="single"/>
          <w:lang w:val="en-CA"/>
        </w:rPr>
      </w:pPr>
    </w:p>
    <w:p w:rsidR="00316463" w:rsidRDefault="00316463">
      <w:pPr>
        <w:rPr>
          <w:color w:val="000000" w:themeColor="text1"/>
          <w:u w:val="single"/>
          <w:lang w:val="en-CA"/>
        </w:rPr>
      </w:pPr>
    </w:p>
    <w:p w:rsidR="00316463" w:rsidRDefault="00316463">
      <w:pPr>
        <w:rPr>
          <w:color w:val="000000" w:themeColor="text1"/>
          <w:u w:val="single"/>
          <w:lang w:val="en-CA"/>
        </w:rPr>
      </w:pPr>
    </w:p>
    <w:p w:rsidR="00316463" w:rsidRDefault="00316463">
      <w:pPr>
        <w:rPr>
          <w:color w:val="000000" w:themeColor="text1"/>
          <w:u w:val="single"/>
          <w:lang w:val="en-CA"/>
        </w:rPr>
      </w:pPr>
    </w:p>
    <w:p w:rsidR="00316463" w:rsidRDefault="00316463">
      <w:pPr>
        <w:rPr>
          <w:color w:val="000000" w:themeColor="text1"/>
          <w:u w:val="single"/>
          <w:lang w:val="en-CA"/>
        </w:rPr>
      </w:pPr>
    </w:p>
    <w:p w:rsidR="00316463" w:rsidRDefault="00316463">
      <w:pPr>
        <w:rPr>
          <w:color w:val="000000" w:themeColor="text1"/>
          <w:u w:val="single"/>
          <w:lang w:val="en-CA"/>
        </w:rPr>
      </w:pPr>
    </w:p>
    <w:p w:rsidR="00316463" w:rsidRDefault="00316463">
      <w:pPr>
        <w:rPr>
          <w:color w:val="000000" w:themeColor="text1"/>
          <w:u w:val="single"/>
          <w:lang w:val="en-CA"/>
        </w:rPr>
      </w:pPr>
    </w:p>
    <w:p w:rsidR="00316463" w:rsidRDefault="00316463">
      <w:pPr>
        <w:rPr>
          <w:color w:val="000000" w:themeColor="text1"/>
          <w:u w:val="single"/>
          <w:lang w:val="en-CA"/>
        </w:rPr>
      </w:pPr>
    </w:p>
    <w:p w:rsidR="00316463" w:rsidRDefault="00316463">
      <w:pPr>
        <w:rPr>
          <w:color w:val="000000" w:themeColor="text1"/>
          <w:u w:val="single"/>
          <w:lang w:val="en-CA"/>
        </w:rPr>
      </w:pPr>
    </w:p>
    <w:p w:rsidR="00316463" w:rsidRDefault="00316463">
      <w:pPr>
        <w:rPr>
          <w:color w:val="000000" w:themeColor="text1"/>
          <w:u w:val="single"/>
          <w:lang w:val="en-CA"/>
        </w:rPr>
      </w:pPr>
    </w:p>
    <w:p w:rsidR="00316463" w:rsidRDefault="00316463">
      <w:pPr>
        <w:rPr>
          <w:color w:val="000000" w:themeColor="text1"/>
          <w:u w:val="single"/>
          <w:lang w:val="en-CA"/>
        </w:rPr>
      </w:pPr>
    </w:p>
    <w:p w:rsidR="00316463" w:rsidRDefault="00316463">
      <w:pPr>
        <w:rPr>
          <w:color w:val="000000" w:themeColor="text1"/>
          <w:u w:val="single"/>
          <w:lang w:val="en-CA"/>
        </w:rPr>
      </w:pPr>
    </w:p>
    <w:p w:rsidR="00316463" w:rsidRDefault="00316463">
      <w:pPr>
        <w:rPr>
          <w:color w:val="000000" w:themeColor="text1"/>
          <w:u w:val="single"/>
          <w:lang w:val="en-CA"/>
        </w:rPr>
      </w:pPr>
    </w:p>
    <w:p w:rsidR="00316463" w:rsidRDefault="00316463">
      <w:pPr>
        <w:rPr>
          <w:color w:val="000000" w:themeColor="text1"/>
          <w:u w:val="single"/>
          <w:lang w:val="en-CA"/>
        </w:rPr>
      </w:pPr>
    </w:p>
    <w:p w:rsidR="00316463" w:rsidRDefault="00316463">
      <w:pPr>
        <w:rPr>
          <w:color w:val="000000" w:themeColor="text1"/>
          <w:u w:val="single"/>
          <w:lang w:val="en-CA"/>
        </w:rPr>
      </w:pPr>
    </w:p>
    <w:p w:rsidR="00316463" w:rsidRDefault="00316463">
      <w:pPr>
        <w:rPr>
          <w:color w:val="000000" w:themeColor="text1"/>
          <w:u w:val="single"/>
          <w:lang w:val="en-CA"/>
        </w:rPr>
      </w:pPr>
    </w:p>
    <w:p w:rsidR="00E01EAF" w:rsidRDefault="00E01EAF" w:rsidP="00E01EAF">
      <w:pPr>
        <w:jc w:val="center"/>
        <w:rPr>
          <w:color w:val="000000" w:themeColor="text1"/>
          <w:u w:val="single"/>
          <w:lang w:val="en-CA"/>
        </w:rPr>
      </w:pPr>
    </w:p>
    <w:p w:rsidR="00F37D14" w:rsidRDefault="00F37D14" w:rsidP="00F37D14">
      <w:pPr>
        <w:rPr>
          <w:color w:val="000000" w:themeColor="text1"/>
          <w:u w:val="single"/>
          <w:lang w:val="en-CA"/>
        </w:rPr>
      </w:pPr>
    </w:p>
    <w:p w:rsidR="00825DAC" w:rsidRPr="00F17AD0" w:rsidRDefault="00825DAC" w:rsidP="00F37D14">
      <w:pPr>
        <w:jc w:val="center"/>
        <w:rPr>
          <w:color w:val="000000" w:themeColor="text1"/>
          <w:u w:val="single"/>
          <w:lang w:val="en-CA"/>
        </w:rPr>
      </w:pPr>
      <w:r w:rsidRPr="00F17AD0">
        <w:rPr>
          <w:color w:val="000000" w:themeColor="text1"/>
          <w:u w:val="single"/>
          <w:lang w:val="en-CA"/>
        </w:rPr>
        <w:t>References</w:t>
      </w:r>
    </w:p>
    <w:p w:rsidR="00F17AD0" w:rsidRDefault="00F17AD0">
      <w:pPr>
        <w:rPr>
          <w:rFonts w:ascii="Calibri" w:hAnsi="Calibri"/>
          <w:color w:val="000000" w:themeColor="text1"/>
          <w:u w:val="single"/>
          <w:lang w:val="en-CA"/>
        </w:rPr>
      </w:pPr>
    </w:p>
    <w:p w:rsidR="00D9357C" w:rsidRPr="00E01EAF" w:rsidRDefault="00D9357C">
      <w:pPr>
        <w:rPr>
          <w:rFonts w:cs="Arial"/>
          <w:color w:val="000000" w:themeColor="text1"/>
        </w:rPr>
      </w:pPr>
      <w:proofErr w:type="spellStart"/>
      <w:r w:rsidRPr="00E01EAF">
        <w:rPr>
          <w:rFonts w:cs="Arial"/>
          <w:color w:val="000000" w:themeColor="text1"/>
        </w:rPr>
        <w:t>Anakwe</w:t>
      </w:r>
      <w:proofErr w:type="spellEnd"/>
      <w:r w:rsidRPr="00E01EAF">
        <w:rPr>
          <w:rFonts w:cs="Arial"/>
          <w:color w:val="000000" w:themeColor="text1"/>
        </w:rPr>
        <w:t xml:space="preserve">, R. E., Huntley, J. S., &amp; </w:t>
      </w:r>
      <w:proofErr w:type="spellStart"/>
      <w:r w:rsidRPr="00E01EAF">
        <w:rPr>
          <w:rFonts w:cs="Arial"/>
          <w:color w:val="000000" w:themeColor="text1"/>
        </w:rPr>
        <w:t>McEachan</w:t>
      </w:r>
      <w:proofErr w:type="spellEnd"/>
      <w:r w:rsidRPr="00E01EAF">
        <w:rPr>
          <w:rFonts w:cs="Arial"/>
          <w:color w:val="000000" w:themeColor="text1"/>
        </w:rPr>
        <w:t xml:space="preserve">, J. E. (2007). Grip strength and forearm circumference </w:t>
      </w:r>
    </w:p>
    <w:p w:rsidR="000B7469" w:rsidRPr="00E01EAF" w:rsidRDefault="00D9357C" w:rsidP="000B7469">
      <w:pPr>
        <w:ind w:firstLine="720"/>
        <w:rPr>
          <w:rFonts w:ascii="Calibri" w:hAnsi="Calibri" w:cs="Arial"/>
          <w:color w:val="000000" w:themeColor="text1"/>
        </w:rPr>
      </w:pPr>
      <w:r w:rsidRPr="00E01EAF">
        <w:rPr>
          <w:rFonts w:ascii="Calibri" w:hAnsi="Calibri" w:cs="Arial"/>
          <w:color w:val="000000" w:themeColor="text1"/>
        </w:rPr>
        <w:t xml:space="preserve">in a healthy population. </w:t>
      </w:r>
      <w:r w:rsidRPr="00E01EAF">
        <w:rPr>
          <w:rFonts w:ascii="Calibri" w:hAnsi="Calibri" w:cs="Arial"/>
          <w:iCs/>
          <w:color w:val="000000" w:themeColor="text1"/>
        </w:rPr>
        <w:t>Journal of Hand Surgery (European Volume)</w:t>
      </w:r>
      <w:r w:rsidRPr="00E01EAF">
        <w:rPr>
          <w:rFonts w:ascii="Calibri" w:hAnsi="Calibri" w:cs="Arial"/>
          <w:color w:val="000000" w:themeColor="text1"/>
        </w:rPr>
        <w:t xml:space="preserve">, </w:t>
      </w:r>
      <w:r w:rsidRPr="00E01EAF">
        <w:rPr>
          <w:rFonts w:ascii="Calibri" w:hAnsi="Calibri" w:cs="Arial"/>
          <w:iCs/>
          <w:color w:val="000000" w:themeColor="text1"/>
        </w:rPr>
        <w:t>32</w:t>
      </w:r>
      <w:r w:rsidRPr="00E01EAF">
        <w:rPr>
          <w:rFonts w:ascii="Calibri" w:hAnsi="Calibri" w:cs="Arial"/>
          <w:color w:val="000000" w:themeColor="text1"/>
        </w:rPr>
        <w:t>(2), 203-209.</w:t>
      </w:r>
    </w:p>
    <w:p w:rsidR="000B7469" w:rsidRPr="00E01EAF" w:rsidRDefault="000B7469">
      <w:pPr>
        <w:rPr>
          <w:rFonts w:ascii="Calibri" w:hAnsi="Calibri"/>
          <w:color w:val="000000" w:themeColor="text1"/>
          <w:lang w:val="en-CA"/>
        </w:rPr>
      </w:pPr>
    </w:p>
    <w:p w:rsidR="00156EE0" w:rsidRPr="00E01EAF" w:rsidRDefault="00156EE0">
      <w:pPr>
        <w:rPr>
          <w:rFonts w:ascii="Calibri" w:hAnsi="Calibri" w:cs="Arial"/>
          <w:color w:val="000000" w:themeColor="text1"/>
        </w:rPr>
      </w:pPr>
      <w:r w:rsidRPr="00E01EAF">
        <w:rPr>
          <w:rFonts w:ascii="Calibri" w:hAnsi="Calibri" w:cs="Arial"/>
          <w:color w:val="000000" w:themeColor="text1"/>
        </w:rPr>
        <w:t xml:space="preserve">Armstrong, C. A., &amp; Oldham, J. A. (1999). A comparison of dominant and non-dominant hand </w:t>
      </w:r>
    </w:p>
    <w:p w:rsidR="00156EE0" w:rsidRPr="00E01EAF" w:rsidRDefault="00156EE0" w:rsidP="00156EE0">
      <w:pPr>
        <w:ind w:firstLine="720"/>
        <w:rPr>
          <w:rFonts w:ascii="Calibri" w:hAnsi="Calibri" w:cs="Arial"/>
          <w:color w:val="000000" w:themeColor="text1"/>
        </w:rPr>
      </w:pPr>
      <w:r w:rsidRPr="00E01EAF">
        <w:rPr>
          <w:rFonts w:ascii="Calibri" w:hAnsi="Calibri" w:cs="Arial"/>
          <w:color w:val="000000" w:themeColor="text1"/>
        </w:rPr>
        <w:t xml:space="preserve">strengths. </w:t>
      </w:r>
      <w:r w:rsidRPr="00E01EAF">
        <w:rPr>
          <w:rFonts w:ascii="Calibri" w:hAnsi="Calibri" w:cs="Arial"/>
          <w:iCs/>
          <w:color w:val="000000" w:themeColor="text1"/>
        </w:rPr>
        <w:t>Journal of Hand Surgery</w:t>
      </w:r>
      <w:r w:rsidRPr="00E01EAF">
        <w:rPr>
          <w:rFonts w:ascii="Calibri" w:hAnsi="Calibri" w:cs="Arial"/>
          <w:color w:val="000000" w:themeColor="text1"/>
        </w:rPr>
        <w:t xml:space="preserve">, </w:t>
      </w:r>
      <w:r w:rsidRPr="00E01EAF">
        <w:rPr>
          <w:rFonts w:ascii="Calibri" w:hAnsi="Calibri" w:cs="Arial"/>
          <w:iCs/>
          <w:color w:val="000000" w:themeColor="text1"/>
        </w:rPr>
        <w:t>24</w:t>
      </w:r>
      <w:r w:rsidRPr="00E01EAF">
        <w:rPr>
          <w:rFonts w:ascii="Calibri" w:hAnsi="Calibri" w:cs="Arial"/>
          <w:color w:val="000000" w:themeColor="text1"/>
        </w:rPr>
        <w:t>(4), 421-425.</w:t>
      </w:r>
    </w:p>
    <w:p w:rsidR="000B7469" w:rsidRPr="00E01EAF" w:rsidRDefault="000B7469" w:rsidP="00156EE0">
      <w:pPr>
        <w:ind w:firstLine="720"/>
        <w:rPr>
          <w:color w:val="000000" w:themeColor="text1"/>
          <w:lang w:val="en-CA"/>
        </w:rPr>
      </w:pPr>
    </w:p>
    <w:p w:rsidR="000B7469" w:rsidRPr="00E01EAF" w:rsidRDefault="000B7469" w:rsidP="000B7469">
      <w:pPr>
        <w:rPr>
          <w:rFonts w:cs="Times"/>
          <w:color w:val="000000" w:themeColor="text1"/>
        </w:rPr>
      </w:pPr>
      <w:r w:rsidRPr="00E01EAF">
        <w:rPr>
          <w:rFonts w:cs="Times"/>
          <w:color w:val="000000" w:themeColor="text1"/>
        </w:rPr>
        <w:t xml:space="preserve">Brown, L. (2007). </w:t>
      </w:r>
      <w:r w:rsidRPr="00E01EAF">
        <w:rPr>
          <w:rFonts w:cs="Times"/>
          <w:iCs/>
          <w:color w:val="000000" w:themeColor="text1"/>
        </w:rPr>
        <w:t>Strength training</w:t>
      </w:r>
      <w:r w:rsidRPr="00E01EAF">
        <w:rPr>
          <w:rFonts w:cs="Times"/>
          <w:color w:val="000000" w:themeColor="text1"/>
        </w:rPr>
        <w:t xml:space="preserve"> (1st ed.). Champaign, IL: Human Kinetics.</w:t>
      </w:r>
    </w:p>
    <w:p w:rsidR="00156EE0" w:rsidRPr="00E01EAF" w:rsidRDefault="00156EE0">
      <w:pPr>
        <w:rPr>
          <w:color w:val="000000" w:themeColor="text1"/>
          <w:lang w:val="en-CA"/>
        </w:rPr>
      </w:pPr>
    </w:p>
    <w:p w:rsidR="00E01EAF" w:rsidRPr="00E01EAF" w:rsidRDefault="00E01EAF">
      <w:pPr>
        <w:rPr>
          <w:rFonts w:cs="Arial"/>
          <w:color w:val="000000" w:themeColor="text1"/>
        </w:rPr>
      </w:pPr>
      <w:proofErr w:type="spellStart"/>
      <w:r w:rsidRPr="00E01EAF">
        <w:rPr>
          <w:rFonts w:cs="Arial"/>
          <w:color w:val="000000" w:themeColor="text1"/>
        </w:rPr>
        <w:t>Disselhorst</w:t>
      </w:r>
      <w:proofErr w:type="spellEnd"/>
      <w:r w:rsidRPr="00E01EAF">
        <w:rPr>
          <w:rFonts w:cs="Arial"/>
          <w:color w:val="000000" w:themeColor="text1"/>
        </w:rPr>
        <w:t xml:space="preserve">-Klug, C., Schmitz-Rode, T., &amp; Rau, G. (2009). Surface electromyography and muscle </w:t>
      </w:r>
    </w:p>
    <w:p w:rsidR="00E01EAF" w:rsidRPr="00E01EAF" w:rsidRDefault="00E01EAF" w:rsidP="00E01EAF">
      <w:pPr>
        <w:ind w:firstLine="720"/>
        <w:rPr>
          <w:rFonts w:cs="Arial"/>
          <w:iCs/>
          <w:color w:val="000000" w:themeColor="text1"/>
        </w:rPr>
      </w:pPr>
      <w:r w:rsidRPr="00E01EAF">
        <w:rPr>
          <w:rFonts w:cs="Arial"/>
          <w:color w:val="000000" w:themeColor="text1"/>
        </w:rPr>
        <w:t xml:space="preserve">force: limits in </w:t>
      </w:r>
      <w:proofErr w:type="spellStart"/>
      <w:r w:rsidRPr="00E01EAF">
        <w:rPr>
          <w:rFonts w:cs="Arial"/>
          <w:color w:val="000000" w:themeColor="text1"/>
        </w:rPr>
        <w:t>sEMG</w:t>
      </w:r>
      <w:proofErr w:type="spellEnd"/>
      <w:r w:rsidRPr="00E01EAF">
        <w:rPr>
          <w:rFonts w:cs="Arial"/>
          <w:color w:val="000000" w:themeColor="text1"/>
        </w:rPr>
        <w:t xml:space="preserve">–force relationship and new approaches for applications. </w:t>
      </w:r>
      <w:r w:rsidRPr="00E01EAF">
        <w:rPr>
          <w:rFonts w:cs="Arial"/>
          <w:iCs/>
          <w:color w:val="000000" w:themeColor="text1"/>
        </w:rPr>
        <w:t xml:space="preserve">Clinical </w:t>
      </w:r>
    </w:p>
    <w:p w:rsidR="00E01EAF" w:rsidRPr="00E01EAF" w:rsidRDefault="00E01EAF" w:rsidP="00E01EAF">
      <w:pPr>
        <w:ind w:firstLine="720"/>
        <w:rPr>
          <w:color w:val="000000" w:themeColor="text1"/>
          <w:lang w:val="en-CA"/>
        </w:rPr>
      </w:pPr>
      <w:r w:rsidRPr="00E01EAF">
        <w:rPr>
          <w:rFonts w:cs="Arial"/>
          <w:iCs/>
          <w:color w:val="000000" w:themeColor="text1"/>
        </w:rPr>
        <w:t>biomechanics</w:t>
      </w:r>
      <w:r w:rsidRPr="00E01EAF">
        <w:rPr>
          <w:rFonts w:cs="Arial"/>
          <w:color w:val="000000" w:themeColor="text1"/>
        </w:rPr>
        <w:t xml:space="preserve">, </w:t>
      </w:r>
      <w:r w:rsidRPr="00E01EAF">
        <w:rPr>
          <w:rFonts w:cs="Arial"/>
          <w:iCs/>
          <w:color w:val="000000" w:themeColor="text1"/>
        </w:rPr>
        <w:t>24</w:t>
      </w:r>
      <w:r w:rsidRPr="00E01EAF">
        <w:rPr>
          <w:rFonts w:cs="Arial"/>
          <w:color w:val="000000" w:themeColor="text1"/>
        </w:rPr>
        <w:t>(3), 225-235.</w:t>
      </w:r>
    </w:p>
    <w:p w:rsidR="00E01EAF" w:rsidRPr="00E01EAF" w:rsidRDefault="00E01EAF">
      <w:pPr>
        <w:rPr>
          <w:rFonts w:ascii="Calibri" w:hAnsi="Calibri"/>
          <w:color w:val="000000" w:themeColor="text1"/>
          <w:lang w:val="en-CA"/>
        </w:rPr>
      </w:pPr>
    </w:p>
    <w:p w:rsidR="00FF0D95" w:rsidRPr="00E01EAF" w:rsidRDefault="00FF0D95">
      <w:pPr>
        <w:rPr>
          <w:rFonts w:ascii="Calibri" w:hAnsi="Calibri" w:cs="Arial"/>
          <w:color w:val="000000" w:themeColor="text1"/>
        </w:rPr>
      </w:pPr>
      <w:r w:rsidRPr="00E01EAF">
        <w:rPr>
          <w:rFonts w:ascii="Calibri" w:hAnsi="Calibri" w:cs="Arial"/>
          <w:color w:val="000000" w:themeColor="text1"/>
        </w:rPr>
        <w:t xml:space="preserve">Olson, C. B., Carpenter, D. O., &amp; </w:t>
      </w:r>
      <w:proofErr w:type="spellStart"/>
      <w:r w:rsidRPr="00E01EAF">
        <w:rPr>
          <w:rFonts w:ascii="Calibri" w:hAnsi="Calibri" w:cs="Arial"/>
          <w:color w:val="000000" w:themeColor="text1"/>
        </w:rPr>
        <w:t>Henneman</w:t>
      </w:r>
      <w:proofErr w:type="spellEnd"/>
      <w:r w:rsidRPr="00E01EAF">
        <w:rPr>
          <w:rFonts w:ascii="Calibri" w:hAnsi="Calibri" w:cs="Arial"/>
          <w:color w:val="000000" w:themeColor="text1"/>
        </w:rPr>
        <w:t xml:space="preserve">, E. (1968). Orderly recruitment of muscle action </w:t>
      </w:r>
    </w:p>
    <w:p w:rsidR="00FF0D95" w:rsidRPr="00E01EAF" w:rsidRDefault="00FF0D95" w:rsidP="00FF0D95">
      <w:pPr>
        <w:ind w:firstLine="720"/>
        <w:rPr>
          <w:rFonts w:ascii="Calibri" w:hAnsi="Calibri" w:cs="Arial"/>
          <w:color w:val="000000" w:themeColor="text1"/>
        </w:rPr>
      </w:pPr>
      <w:r w:rsidRPr="00E01EAF">
        <w:rPr>
          <w:rFonts w:ascii="Calibri" w:hAnsi="Calibri" w:cs="Arial"/>
          <w:color w:val="000000" w:themeColor="text1"/>
        </w:rPr>
        <w:t xml:space="preserve">potentials: motor unit threshold and EMG amplitude. </w:t>
      </w:r>
      <w:r w:rsidRPr="00E01EAF">
        <w:rPr>
          <w:rFonts w:ascii="Calibri" w:hAnsi="Calibri" w:cs="Arial"/>
          <w:iCs/>
          <w:color w:val="000000" w:themeColor="text1"/>
        </w:rPr>
        <w:t>Archives of Neurology</w:t>
      </w:r>
      <w:r w:rsidRPr="00E01EAF">
        <w:rPr>
          <w:rFonts w:ascii="Calibri" w:hAnsi="Calibri" w:cs="Arial"/>
          <w:color w:val="000000" w:themeColor="text1"/>
        </w:rPr>
        <w:t xml:space="preserve">, </w:t>
      </w:r>
      <w:r w:rsidRPr="00E01EAF">
        <w:rPr>
          <w:rFonts w:ascii="Calibri" w:hAnsi="Calibri" w:cs="Arial"/>
          <w:iCs/>
          <w:color w:val="000000" w:themeColor="text1"/>
        </w:rPr>
        <w:t>19</w:t>
      </w:r>
      <w:r w:rsidRPr="00E01EAF">
        <w:rPr>
          <w:rFonts w:ascii="Calibri" w:hAnsi="Calibri" w:cs="Arial"/>
          <w:color w:val="000000" w:themeColor="text1"/>
        </w:rPr>
        <w:t>(6), 591-</w:t>
      </w:r>
    </w:p>
    <w:p w:rsidR="00FF0D95" w:rsidRPr="00E01EAF" w:rsidRDefault="00FF0D95" w:rsidP="00FF0D95">
      <w:pPr>
        <w:ind w:firstLine="720"/>
        <w:rPr>
          <w:rFonts w:ascii="Calibri" w:hAnsi="Calibri" w:cs="Arial"/>
          <w:color w:val="000000" w:themeColor="text1"/>
        </w:rPr>
      </w:pPr>
      <w:r w:rsidRPr="00E01EAF">
        <w:rPr>
          <w:rFonts w:ascii="Calibri" w:hAnsi="Calibri" w:cs="Arial"/>
          <w:color w:val="000000" w:themeColor="text1"/>
        </w:rPr>
        <w:t>597.</w:t>
      </w:r>
    </w:p>
    <w:p w:rsidR="00FF0D95" w:rsidRPr="00E01EAF" w:rsidRDefault="00FF0D95">
      <w:pPr>
        <w:rPr>
          <w:rFonts w:ascii="Calibri" w:hAnsi="Calibri"/>
          <w:color w:val="000000" w:themeColor="text1"/>
          <w:lang w:val="en-CA"/>
        </w:rPr>
      </w:pPr>
    </w:p>
    <w:p w:rsidR="0027678E" w:rsidRPr="00E01EAF" w:rsidRDefault="00557F75" w:rsidP="0027678E">
      <w:pPr>
        <w:rPr>
          <w:rFonts w:ascii="Calibri" w:hAnsi="Calibri" w:cs="Times"/>
          <w:color w:val="000000" w:themeColor="text1"/>
        </w:rPr>
      </w:pPr>
      <w:r w:rsidRPr="00E01EAF">
        <w:rPr>
          <w:rFonts w:ascii="Calibri" w:hAnsi="Calibri" w:cs="Times"/>
          <w:color w:val="000000" w:themeColor="text1"/>
        </w:rPr>
        <w:t>Stanfield, C. (2013</w:t>
      </w:r>
      <w:r w:rsidR="00F17AD0" w:rsidRPr="00E01EAF">
        <w:rPr>
          <w:rFonts w:ascii="Calibri" w:hAnsi="Calibri" w:cs="Times"/>
          <w:color w:val="000000" w:themeColor="text1"/>
        </w:rPr>
        <w:t xml:space="preserve">). </w:t>
      </w:r>
      <w:r w:rsidR="00F17AD0" w:rsidRPr="00E01EAF">
        <w:rPr>
          <w:rFonts w:ascii="Calibri" w:hAnsi="Calibri" w:cs="Times"/>
          <w:iCs/>
          <w:color w:val="000000" w:themeColor="text1"/>
        </w:rPr>
        <w:t>Principles of human physiology</w:t>
      </w:r>
      <w:r w:rsidR="00D36869" w:rsidRPr="00E01EAF">
        <w:rPr>
          <w:rFonts w:ascii="Calibri" w:hAnsi="Calibri" w:cs="Times"/>
          <w:color w:val="000000" w:themeColor="text1"/>
        </w:rPr>
        <w:t xml:space="preserve"> (5th</w:t>
      </w:r>
      <w:r w:rsidR="0027678E" w:rsidRPr="00E01EAF">
        <w:rPr>
          <w:rFonts w:ascii="Calibri" w:hAnsi="Calibri" w:cs="Times"/>
          <w:color w:val="000000" w:themeColor="text1"/>
        </w:rPr>
        <w:t xml:space="preserve"> ed.). San Francisco: Pearson </w:t>
      </w:r>
      <w:r w:rsidR="00F17AD0" w:rsidRPr="00E01EAF">
        <w:rPr>
          <w:rFonts w:ascii="Calibri" w:hAnsi="Calibri" w:cs="Times"/>
          <w:color w:val="000000" w:themeColor="text1"/>
        </w:rPr>
        <w:t xml:space="preserve">Benjamin </w:t>
      </w:r>
    </w:p>
    <w:p w:rsidR="00F17AD0" w:rsidRPr="00E01EAF" w:rsidRDefault="00F17AD0" w:rsidP="0027678E">
      <w:pPr>
        <w:ind w:firstLine="720"/>
        <w:rPr>
          <w:rFonts w:ascii="Calibri" w:hAnsi="Calibri" w:cs="Times"/>
          <w:color w:val="000000" w:themeColor="text1"/>
        </w:rPr>
      </w:pPr>
      <w:r w:rsidRPr="00E01EAF">
        <w:rPr>
          <w:rFonts w:ascii="Calibri" w:hAnsi="Calibri" w:cs="Times"/>
          <w:color w:val="000000" w:themeColor="text1"/>
        </w:rPr>
        <w:t>Cummings.</w:t>
      </w:r>
    </w:p>
    <w:p w:rsidR="00270FFF" w:rsidRDefault="00270FFF" w:rsidP="0027678E">
      <w:pPr>
        <w:ind w:firstLine="720"/>
        <w:rPr>
          <w:rFonts w:cs="Times"/>
          <w:color w:val="000000" w:themeColor="text1"/>
        </w:rPr>
      </w:pPr>
    </w:p>
    <w:p w:rsidR="0027678E" w:rsidRPr="00F17AD0" w:rsidRDefault="0027678E">
      <w:pPr>
        <w:rPr>
          <w:color w:val="000000" w:themeColor="text1"/>
          <w:u w:val="single"/>
          <w:lang w:val="en-CA"/>
        </w:rPr>
      </w:pPr>
    </w:p>
    <w:sectPr w:rsidR="0027678E" w:rsidRPr="00F17AD0" w:rsidSect="000C1A8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BC5"/>
    <w:rsid w:val="00074E1D"/>
    <w:rsid w:val="00080466"/>
    <w:rsid w:val="00087199"/>
    <w:rsid w:val="000A77CF"/>
    <w:rsid w:val="000B7469"/>
    <w:rsid w:val="000C1A81"/>
    <w:rsid w:val="00156EE0"/>
    <w:rsid w:val="001B2A49"/>
    <w:rsid w:val="001C127C"/>
    <w:rsid w:val="001D0407"/>
    <w:rsid w:val="00212BF0"/>
    <w:rsid w:val="00225F75"/>
    <w:rsid w:val="00236528"/>
    <w:rsid w:val="00270FFF"/>
    <w:rsid w:val="00271241"/>
    <w:rsid w:val="0027678E"/>
    <w:rsid w:val="0028729D"/>
    <w:rsid w:val="00290EA2"/>
    <w:rsid w:val="00293E11"/>
    <w:rsid w:val="00296FB0"/>
    <w:rsid w:val="002A0E4F"/>
    <w:rsid w:val="002E0E25"/>
    <w:rsid w:val="002F1C81"/>
    <w:rsid w:val="00316463"/>
    <w:rsid w:val="00352EE6"/>
    <w:rsid w:val="003759D5"/>
    <w:rsid w:val="0038692E"/>
    <w:rsid w:val="003A4A28"/>
    <w:rsid w:val="00457FEF"/>
    <w:rsid w:val="00465CFC"/>
    <w:rsid w:val="0046738C"/>
    <w:rsid w:val="004A00C3"/>
    <w:rsid w:val="004A33F8"/>
    <w:rsid w:val="004A5EAF"/>
    <w:rsid w:val="004F6C31"/>
    <w:rsid w:val="005258A1"/>
    <w:rsid w:val="00557F75"/>
    <w:rsid w:val="00587473"/>
    <w:rsid w:val="005A0883"/>
    <w:rsid w:val="005F528B"/>
    <w:rsid w:val="00612395"/>
    <w:rsid w:val="0062296F"/>
    <w:rsid w:val="00683C78"/>
    <w:rsid w:val="006B12F0"/>
    <w:rsid w:val="00704C78"/>
    <w:rsid w:val="00757E40"/>
    <w:rsid w:val="00784AF9"/>
    <w:rsid w:val="007A75A2"/>
    <w:rsid w:val="007B5CB5"/>
    <w:rsid w:val="007C1011"/>
    <w:rsid w:val="007C26F8"/>
    <w:rsid w:val="007D0CDE"/>
    <w:rsid w:val="007E3470"/>
    <w:rsid w:val="007F09F6"/>
    <w:rsid w:val="007F2F5A"/>
    <w:rsid w:val="007F5B4E"/>
    <w:rsid w:val="008152F5"/>
    <w:rsid w:val="00824DC4"/>
    <w:rsid w:val="00825DAC"/>
    <w:rsid w:val="008278FB"/>
    <w:rsid w:val="008672DB"/>
    <w:rsid w:val="00870471"/>
    <w:rsid w:val="008C2096"/>
    <w:rsid w:val="008D1A41"/>
    <w:rsid w:val="009034E1"/>
    <w:rsid w:val="00903AC3"/>
    <w:rsid w:val="00904969"/>
    <w:rsid w:val="009704E0"/>
    <w:rsid w:val="00982728"/>
    <w:rsid w:val="009958CE"/>
    <w:rsid w:val="009A2FD9"/>
    <w:rsid w:val="009B2B15"/>
    <w:rsid w:val="009E131D"/>
    <w:rsid w:val="00A0377B"/>
    <w:rsid w:val="00A370C8"/>
    <w:rsid w:val="00A46FBE"/>
    <w:rsid w:val="00AF6E6B"/>
    <w:rsid w:val="00B147CD"/>
    <w:rsid w:val="00B560DE"/>
    <w:rsid w:val="00B57E73"/>
    <w:rsid w:val="00B844C9"/>
    <w:rsid w:val="00B9506C"/>
    <w:rsid w:val="00BA7C0D"/>
    <w:rsid w:val="00BB0E5E"/>
    <w:rsid w:val="00BC56F1"/>
    <w:rsid w:val="00C01C74"/>
    <w:rsid w:val="00C11728"/>
    <w:rsid w:val="00C26537"/>
    <w:rsid w:val="00C625E4"/>
    <w:rsid w:val="00C95555"/>
    <w:rsid w:val="00CB25EC"/>
    <w:rsid w:val="00D36869"/>
    <w:rsid w:val="00D37715"/>
    <w:rsid w:val="00D647DA"/>
    <w:rsid w:val="00D654E0"/>
    <w:rsid w:val="00D87BC5"/>
    <w:rsid w:val="00D9357C"/>
    <w:rsid w:val="00DD7AB8"/>
    <w:rsid w:val="00DE4F2A"/>
    <w:rsid w:val="00E01EAF"/>
    <w:rsid w:val="00E024CF"/>
    <w:rsid w:val="00E44966"/>
    <w:rsid w:val="00ED2F2F"/>
    <w:rsid w:val="00EE4FC5"/>
    <w:rsid w:val="00F17AD0"/>
    <w:rsid w:val="00F37D14"/>
    <w:rsid w:val="00FF0D95"/>
    <w:rsid w:val="00FF4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09CB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5C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hart" Target="charts/chart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Workbook3"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Sheet1!$B$1</c:f>
              <c:strCache>
                <c:ptCount val="1"/>
                <c:pt idx="0">
                  <c:v>Dominant </c:v>
                </c:pt>
              </c:strCache>
            </c:strRef>
          </c:tx>
          <c:spPr>
            <a:ln w="19050" cap="rnd">
              <a:solidFill>
                <a:schemeClr val="tx1"/>
              </a:solidFill>
              <a:round/>
            </a:ln>
            <a:effectLst/>
          </c:spPr>
          <c:marker>
            <c:symbol val="none"/>
          </c:marker>
          <c:xVal>
            <c:numRef>
              <c:f>Sheet1!$A$2:$A$9</c:f>
              <c:numCache>
                <c:formatCode>General</c:formatCode>
                <c:ptCount val="8"/>
                <c:pt idx="0">
                  <c:v>6.012</c:v>
                </c:pt>
                <c:pt idx="1">
                  <c:v>12.35</c:v>
                </c:pt>
                <c:pt idx="2">
                  <c:v>14.459</c:v>
                </c:pt>
                <c:pt idx="3">
                  <c:v>19.911</c:v>
                </c:pt>
                <c:pt idx="4">
                  <c:v>3.023</c:v>
                </c:pt>
                <c:pt idx="5">
                  <c:v>6.542</c:v>
                </c:pt>
                <c:pt idx="6">
                  <c:v>11.593</c:v>
                </c:pt>
                <c:pt idx="7">
                  <c:v>15.225</c:v>
                </c:pt>
              </c:numCache>
            </c:numRef>
          </c:xVal>
          <c:yVal>
            <c:numRef>
              <c:f>Sheet1!$B$2:$B$9</c:f>
              <c:numCache>
                <c:formatCode>General</c:formatCode>
                <c:ptCount val="8"/>
                <c:pt idx="0">
                  <c:v>11.54</c:v>
                </c:pt>
                <c:pt idx="1">
                  <c:v>19.939</c:v>
                </c:pt>
                <c:pt idx="2">
                  <c:v>25.565</c:v>
                </c:pt>
                <c:pt idx="3">
                  <c:v>36.586</c:v>
                </c:pt>
              </c:numCache>
            </c:numRef>
          </c:yVal>
          <c:smooth val="1"/>
        </c:ser>
        <c:ser>
          <c:idx val="1"/>
          <c:order val="1"/>
          <c:tx>
            <c:strRef>
              <c:f>Sheet1!$C$1</c:f>
              <c:strCache>
                <c:ptCount val="1"/>
                <c:pt idx="0">
                  <c:v>Non-Dominant </c:v>
                </c:pt>
              </c:strCache>
            </c:strRef>
          </c:tx>
          <c:spPr>
            <a:ln w="19050" cap="rnd">
              <a:solidFill>
                <a:schemeClr val="bg1">
                  <a:lumMod val="65000"/>
                </a:schemeClr>
              </a:solidFill>
              <a:round/>
            </a:ln>
            <a:effectLst/>
          </c:spPr>
          <c:marker>
            <c:symbol val="none"/>
          </c:marker>
          <c:xVal>
            <c:numRef>
              <c:f>Sheet1!$A$2:$A$9</c:f>
              <c:numCache>
                <c:formatCode>General</c:formatCode>
                <c:ptCount val="8"/>
                <c:pt idx="0">
                  <c:v>6.012</c:v>
                </c:pt>
                <c:pt idx="1">
                  <c:v>12.35</c:v>
                </c:pt>
                <c:pt idx="2">
                  <c:v>14.459</c:v>
                </c:pt>
                <c:pt idx="3">
                  <c:v>19.911</c:v>
                </c:pt>
                <c:pt idx="4">
                  <c:v>3.023</c:v>
                </c:pt>
                <c:pt idx="5">
                  <c:v>6.542</c:v>
                </c:pt>
                <c:pt idx="6">
                  <c:v>11.593</c:v>
                </c:pt>
                <c:pt idx="7">
                  <c:v>15.225</c:v>
                </c:pt>
              </c:numCache>
            </c:numRef>
          </c:xVal>
          <c:yVal>
            <c:numRef>
              <c:f>Sheet1!$C$2:$C$9</c:f>
              <c:numCache>
                <c:formatCode>General</c:formatCode>
                <c:ptCount val="8"/>
                <c:pt idx="4">
                  <c:v>4.569</c:v>
                </c:pt>
                <c:pt idx="5">
                  <c:v>12.976</c:v>
                </c:pt>
                <c:pt idx="6">
                  <c:v>21.179</c:v>
                </c:pt>
                <c:pt idx="7">
                  <c:v>24.581</c:v>
                </c:pt>
              </c:numCache>
            </c:numRef>
          </c:yVal>
          <c:smooth val="1"/>
        </c:ser>
        <c:dLbls>
          <c:showLegendKey val="0"/>
          <c:showVal val="0"/>
          <c:showCatName val="0"/>
          <c:showSerName val="0"/>
          <c:showPercent val="0"/>
          <c:showBubbleSize val="0"/>
        </c:dLbls>
        <c:axId val="1810640208"/>
        <c:axId val="1849297568"/>
      </c:scatterChart>
      <c:valAx>
        <c:axId val="18106402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EMG</a:t>
                </a:r>
                <a:r>
                  <a:rPr lang="en-US" baseline="0"/>
                  <a:t> (mV)</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9297568"/>
        <c:crosses val="autoZero"/>
        <c:crossBetween val="midCat"/>
      </c:valAx>
      <c:valAx>
        <c:axId val="1849297568"/>
        <c:scaling>
          <c:orientation val="minMax"/>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Force</a:t>
                </a:r>
                <a:r>
                  <a:rPr lang="en-US" baseline="0"/>
                  <a:t> (kg)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064020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FC4DC-24C2-5B4E-BA86-CEFEBAADE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Pages>
  <Words>881</Words>
  <Characters>5027</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McCall</dc:creator>
  <cp:keywords/>
  <dc:description/>
  <cp:lastModifiedBy>Amanda McCall</cp:lastModifiedBy>
  <cp:revision>102</cp:revision>
  <dcterms:created xsi:type="dcterms:W3CDTF">2017-02-06T20:39:00Z</dcterms:created>
  <dcterms:modified xsi:type="dcterms:W3CDTF">2017-03-05T20:50:00Z</dcterms:modified>
</cp:coreProperties>
</file>