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36"/>
          <w:szCs w:val="36"/>
          <w:rtl w:val="0"/>
        </w:rPr>
        <w:t xml:space="preserve">Perméabilité du Globule Rouge</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BIO1540 Section A6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Démonstrateurs:  Johanne Mathieu et Yann Roussel</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Prof: Fabien Avaron </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4 Février 2017</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Département de Biologie</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36"/>
          <w:szCs w:val="36"/>
          <w:rtl w:val="0"/>
        </w:rPr>
        <w:t xml:space="preserve">Université d’Ottawa</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b w:val="1"/>
          <w:sz w:val="24"/>
          <w:szCs w:val="24"/>
          <w:rtl w:val="0"/>
        </w:rPr>
        <w:t xml:space="preserve">Tableau 1.</w:t>
      </w:r>
      <w:r w:rsidDel="00000000" w:rsidR="00000000" w:rsidRPr="00000000">
        <w:rPr>
          <w:rFonts w:ascii="Times New Roman" w:cs="Times New Roman" w:eastAsia="Times New Roman" w:hAnsi="Times New Roman"/>
          <w:sz w:val="24"/>
          <w:szCs w:val="24"/>
          <w:rtl w:val="0"/>
        </w:rPr>
        <w:t xml:space="preserve"> Temps écoulé depuis le mélange de la solution et le sang de mouton. Mesure du temps d’hémolyse.  </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tbl>
      <w:tblPr>
        <w:tblStyle w:val="Table1"/>
        <w:bidiVisual w:val="0"/>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20" w:hRule="atLeast"/>
        </w:trPr>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gridSpan w:val="3"/>
            <w:tcBorders>
              <w:lef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Times New Roman" w:cs="Times New Roman" w:eastAsia="Times New Roman" w:hAnsi="Times New Roman"/>
                <w:rtl w:val="0"/>
              </w:rPr>
              <w:t xml:space="preserve">                                                        Temps d’hémolyse</w:t>
            </w:r>
          </w:p>
        </w:tc>
      </w:tr>
      <w:tr>
        <w:trPr>
          <w:trHeight w:val="460" w:hRule="atLeast"/>
        </w:trPr>
        <w:tc>
          <w:tcPr>
            <w:tcBorders>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Times New Roman" w:cs="Times New Roman" w:eastAsia="Times New Roman" w:hAnsi="Times New Roman"/>
                <w:rtl w:val="0"/>
              </w:rPr>
              <w:t xml:space="preserve">Solutions</w:t>
            </w:r>
          </w:p>
        </w:tc>
        <w:tc>
          <w:tcPr>
            <w:tcBorders>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perscript"/>
                <w:rtl w:val="0"/>
              </w:rPr>
              <w:t xml:space="preserve">a</w:t>
            </w:r>
          </w:p>
        </w:tc>
        <w:tc>
          <w:tcPr>
            <w:tcBorders>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Times New Roman" w:cs="Times New Roman" w:eastAsia="Times New Roman" w:hAnsi="Times New Roman"/>
                <w:rtl w:val="0"/>
              </w:rPr>
              <w:t xml:space="preserve">                                          E</w:t>
            </w:r>
            <w:r w:rsidDel="00000000" w:rsidR="00000000" w:rsidRPr="00000000">
              <w:rPr>
                <w:rFonts w:ascii="Times New Roman" w:cs="Times New Roman" w:eastAsia="Times New Roman" w:hAnsi="Times New Roman"/>
                <w:vertAlign w:val="superscript"/>
                <w:rtl w:val="0"/>
              </w:rPr>
              <w:t xml:space="preserve">b</w:t>
            </w:r>
          </w:p>
        </w:tc>
        <w:tc>
          <w:tcPr>
            <w:tcBorders>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160" w:hRule="atLeast"/>
        </w:trPr>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240" w:hRule="atLeast"/>
        </w:trPr>
        <w:tc>
          <w:tcPr>
            <w:tcBorders>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rtl w:val="0"/>
              </w:rPr>
              <w:t xml:space="preserve">Solution 1 (Eau)</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Borders>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2(3)</w:t>
            </w:r>
            <w:r w:rsidDel="00000000" w:rsidR="00000000" w:rsidRPr="00000000">
              <w:rPr>
                <w:rFonts w:ascii="Times New Roman" w:cs="Times New Roman" w:eastAsia="Times New Roman" w:hAnsi="Times New Roman"/>
                <w:vertAlign w:val="superscript"/>
                <w:rtl w:val="0"/>
              </w:rPr>
              <w:t xml:space="preserve">c</w:t>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0</w:t>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rtl w:val="0"/>
              </w:rPr>
              <w:t xml:space="preserve">Solution 5 (Ethanol)</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2(3</w:t>
            </w:r>
            <w:r w:rsidDel="00000000" w:rsidR="00000000" w:rsidRPr="00000000">
              <w:rPr>
                <w:rFonts w:ascii="Times New Roman" w:cs="Times New Roman" w:eastAsia="Times New Roman" w:hAnsi="Times New Roman"/>
                <w:vertAlign w:val="superscript"/>
                <w:rtl w:val="0"/>
              </w:rPr>
              <w:t xml:space="preserve">)c</w:t>
            </w: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0</w:t>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rtl w:val="0"/>
              </w:rPr>
              <w:t xml:space="preserve">Solution 3 (Triton X-100)</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2(3</w:t>
            </w:r>
            <w:r w:rsidDel="00000000" w:rsidR="00000000" w:rsidRPr="00000000">
              <w:rPr>
                <w:rFonts w:ascii="Times New Roman" w:cs="Times New Roman" w:eastAsia="Times New Roman" w:hAnsi="Times New Roman"/>
                <w:vertAlign w:val="superscript"/>
                <w:rtl w:val="0"/>
              </w:rPr>
              <w:t xml:space="preserve">)c</w:t>
            </w: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0</w:t>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rtl w:val="0"/>
              </w:rPr>
              <w:t xml:space="preserve">Solution 2 (Thirouee)</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55.27333333(3)</w:t>
            </w:r>
          </w:p>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1.123392679</w:t>
            </w:r>
          </w:p>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420" w:hRule="atLeast"/>
        </w:trPr>
        <w:tc>
          <w:tcPr>
            <w:tcBorders>
              <w:top w:color="ffffff" w:space="0" w:sz="8" w:val="single"/>
              <w:left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rtl w:val="0"/>
              </w:rPr>
              <w:t xml:space="preserve">Solution 4 (Dextrose)</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c>
          <w:tcPr>
            <w:tcBorders>
              <w:top w:color="ffffff" w:space="0" w:sz="8" w:val="single"/>
              <w:left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1200(3</w:t>
            </w:r>
            <w:r w:rsidDel="00000000" w:rsidR="00000000" w:rsidRPr="00000000">
              <w:rPr>
                <w:rFonts w:ascii="Times New Roman" w:cs="Times New Roman" w:eastAsia="Times New Roman" w:hAnsi="Times New Roman"/>
                <w:vertAlign w:val="superscript"/>
                <w:rtl w:val="0"/>
              </w:rPr>
              <w:t xml:space="preserve">)d</w:t>
            </w:r>
          </w:p>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right w:color="ffffff" w:space="0" w:sz="8" w:val="single"/>
            </w:tcBorders>
            <w:tcMar>
              <w:left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rFonts w:ascii="Times New Roman" w:cs="Times New Roman" w:eastAsia="Times New Roman" w:hAnsi="Times New Roman"/>
                <w:rtl w:val="0"/>
              </w:rPr>
              <w:t xml:space="preserve">0</w:t>
            </w:r>
          </w:p>
          <w:p w:rsidR="00000000" w:rsidDel="00000000" w:rsidP="00000000" w:rsidRDefault="00000000" w:rsidRPr="00000000">
            <w:pPr>
              <w:widowControl w:val="0"/>
              <w:spacing w:line="240" w:lineRule="auto"/>
              <w:contextualSpacing w:val="0"/>
              <w:jc w:val="righ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tl w:val="0"/>
              </w:rPr>
            </w:r>
          </w:p>
        </w:tc>
        <w:tc>
          <w:tcPr>
            <w:tcBorders>
              <w:top w:color="ffffff" w:space="0" w:sz="8" w:val="single"/>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Borders>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24"/>
          <w:szCs w:val="24"/>
          <w:rtl w:val="0"/>
        </w:rPr>
        <w:t xml:space="preserve">a= Moyenne des trois essaies.</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24"/>
          <w:szCs w:val="24"/>
          <w:rtl w:val="0"/>
        </w:rPr>
        <w:t xml:space="preserve">b= Erreur-type des trois essaies.</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24"/>
          <w:szCs w:val="24"/>
          <w:rtl w:val="0"/>
        </w:rPr>
        <w:t xml:space="preserve">c= Si l’hémolyse était instantané, 2 a été indiqué dans les données.</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sz w:val="24"/>
          <w:szCs w:val="24"/>
          <w:rtl w:val="0"/>
        </w:rPr>
        <w:t xml:space="preserve">d= Si l’hémolyse n’a pas eu lieu après 20 minutes, 1200 a été indiqué dans les données.</w:t>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Fonts w:ascii="Times New Roman" w:cs="Times New Roman" w:eastAsia="Times New Roman" w:hAnsi="Times New Roman"/>
          <w:sz w:val="24"/>
          <w:szCs w:val="24"/>
          <w:rtl w:val="0"/>
        </w:rPr>
        <w:t xml:space="preserve">I- La taille des solutés, et la polarité des molécules sont les facteurs qui affectent la diffusion des solutés à travers la membrane cellulaire.</w:t>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Fonts w:ascii="Times New Roman" w:cs="Times New Roman" w:eastAsia="Times New Roman" w:hAnsi="Times New Roman"/>
          <w:sz w:val="24"/>
          <w:szCs w:val="24"/>
          <w:rtl w:val="0"/>
        </w:rPr>
        <w:t xml:space="preserve">II- </w:t>
        <w:tab/>
        <w:t xml:space="preserve">L’eau et l’éthylène sont des molécules polaire très petites. Les phospholipides qui forment la membrane sont amphipathiques, elles ont une tête hydrophile et des queus hydrophobes. Les molécules polaires restent d’habitude collé à la tête hydrophile et ne peuvent pas normalement pénétrer la bicouche (ce qui crée une couche gluante). Dans ce cas, les molécules sont tellement minuscules qu’ils peuvent pénétrer la membrane. L’hydrolyse a pris moins que deux secondes.</w:t>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Fonts w:ascii="Times New Roman" w:cs="Times New Roman" w:eastAsia="Times New Roman" w:hAnsi="Times New Roman"/>
          <w:sz w:val="24"/>
          <w:szCs w:val="24"/>
          <w:rtl w:val="0"/>
        </w:rPr>
        <w:tab/>
        <w:t xml:space="preserve">La thiourée est aussi une molécule polaire, mais elle est plus grande donc ne traverse pas si facilement la membrane. Ces molécules restent prises sur les têtes hydrophiles. Il est aussi possible que les molécules forment des liens souffre et ne peuvent pas leur sortir ? L’hémolyse a pris près d’une minute en moyenne. Ceci veut dire que ces molécules sont assez petites pour traverser la membrane après être ralenti par les têtes</w:t>
      </w:r>
    </w:p>
    <w:p w:rsidR="00000000" w:rsidDel="00000000" w:rsidP="00000000" w:rsidRDefault="00000000" w:rsidRPr="00000000">
      <w:pPr>
        <w:keepNext w:val="0"/>
        <w:keepLines w:val="0"/>
        <w:widowControl w:val="1"/>
        <w:spacing w:after="0" w:before="0" w:line="36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360" w:lineRule="auto"/>
        <w:ind w:left="0" w:right="0" w:firstLine="720"/>
        <w:contextualSpacing w:val="0"/>
        <w:jc w:val="left"/>
      </w:pPr>
      <w:r w:rsidDel="00000000" w:rsidR="00000000" w:rsidRPr="00000000">
        <w:rPr>
          <w:rFonts w:ascii="Times New Roman" w:cs="Times New Roman" w:eastAsia="Times New Roman" w:hAnsi="Times New Roman"/>
          <w:sz w:val="24"/>
          <w:szCs w:val="24"/>
          <w:rtl w:val="0"/>
        </w:rPr>
        <w:t xml:space="preserve">La dextrose est une molécule très grande et polaire. Ceci fait en sorte que les molécules ne sont pas capables de traverser la membrane par diffusion passive. Les sucres entrent habituellement dans la cellule grâce aux enzymes (ponts) intramembranaires. Ces enzymes font du transport actif pour un prix énergétique. Cette méthode de transport est beaucoup plus lente que passif, ce qui fait en sorte que l'hémolyse n’a même pas eu lieu après 20 minutes.</w:t>
      </w:r>
    </w:p>
    <w:sectPr>
      <w:headerReference r:id="rId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